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3D80" w14:textId="77777777" w:rsidR="00FF26C1" w:rsidRPr="00B46C3F" w:rsidRDefault="00FF26C1" w:rsidP="0048757B">
      <w:pPr>
        <w:jc w:val="center"/>
        <w:rPr>
          <w:b/>
          <w:sz w:val="28"/>
          <w:szCs w:val="28"/>
        </w:rPr>
      </w:pPr>
      <w:r w:rsidRPr="00B46C3F">
        <w:rPr>
          <w:b/>
          <w:sz w:val="28"/>
          <w:szCs w:val="28"/>
        </w:rPr>
        <w:t>Equality Impact Assessment</w:t>
      </w:r>
    </w:p>
    <w:p w14:paraId="672A6659" w14:textId="77777777" w:rsidR="007068B6" w:rsidRDefault="007068B6" w:rsidP="00B71F31">
      <w:pPr>
        <w:rPr>
          <w:b/>
          <w:sz w:val="28"/>
          <w:szCs w:val="28"/>
        </w:rPr>
      </w:pPr>
    </w:p>
    <w:p w14:paraId="34BD4B34" w14:textId="77777777" w:rsidR="00FF26C1" w:rsidRDefault="00FF26C1" w:rsidP="00B71F31">
      <w:pPr>
        <w:rPr>
          <w:b/>
          <w:sz w:val="28"/>
          <w:szCs w:val="28"/>
        </w:rPr>
      </w:pPr>
      <w:r w:rsidRPr="00B46C3F">
        <w:rPr>
          <w:b/>
          <w:sz w:val="28"/>
          <w:szCs w:val="28"/>
        </w:rPr>
        <w:t xml:space="preserve">Part 1:  Background and information </w:t>
      </w:r>
    </w:p>
    <w:p w14:paraId="0A37501D" w14:textId="77777777" w:rsidR="00200664" w:rsidRDefault="00200664" w:rsidP="00B71F31">
      <w:pPr>
        <w:rPr>
          <w:b/>
          <w:sz w:val="28"/>
          <w:szCs w:val="28"/>
        </w:rPr>
      </w:pPr>
    </w:p>
    <w:p w14:paraId="5DAB6C7B" w14:textId="77777777" w:rsidR="00D83EE4" w:rsidRDefault="00D83EE4" w:rsidP="00B71F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394"/>
      </w:tblGrid>
      <w:tr w:rsidR="00021AF5" w14:paraId="5138DD9E" w14:textId="77777777" w:rsidTr="541CAECE">
        <w:tc>
          <w:tcPr>
            <w:tcW w:w="2659" w:type="dxa"/>
            <w:shd w:val="clear" w:color="auto" w:fill="auto"/>
          </w:tcPr>
          <w:p w14:paraId="50330030" w14:textId="77777777" w:rsidR="00021AF5" w:rsidRPr="00716290" w:rsidRDefault="00021AF5" w:rsidP="00B71F31">
            <w:pPr>
              <w:rPr>
                <w:b/>
              </w:rPr>
            </w:pPr>
            <w:r w:rsidRPr="00716290">
              <w:rPr>
                <w:b/>
              </w:rPr>
              <w:t xml:space="preserve">Title of proposal </w:t>
            </w:r>
          </w:p>
          <w:p w14:paraId="02EB378F" w14:textId="77777777" w:rsidR="00021AF5" w:rsidRPr="00716290" w:rsidRDefault="00021AF5" w:rsidP="00B71F31">
            <w:pPr>
              <w:rPr>
                <w:b/>
              </w:rPr>
            </w:pPr>
          </w:p>
        </w:tc>
        <w:tc>
          <w:tcPr>
            <w:tcW w:w="6577" w:type="dxa"/>
            <w:shd w:val="clear" w:color="auto" w:fill="auto"/>
          </w:tcPr>
          <w:p w14:paraId="6A05A809" w14:textId="4854A9BF" w:rsidR="00021AF5" w:rsidRPr="00716290" w:rsidRDefault="2BA024E5" w:rsidP="628EE7C1">
            <w:pPr>
              <w:rPr>
                <w:b/>
                <w:bCs/>
              </w:rPr>
            </w:pPr>
            <w:r w:rsidRPr="628EE7C1">
              <w:rPr>
                <w:b/>
                <w:bCs/>
              </w:rPr>
              <w:t>CLD Plan 2021 - 2024</w:t>
            </w:r>
          </w:p>
        </w:tc>
      </w:tr>
      <w:tr w:rsidR="00021AF5" w14:paraId="215E3110" w14:textId="77777777" w:rsidTr="541CAECE">
        <w:tc>
          <w:tcPr>
            <w:tcW w:w="2659" w:type="dxa"/>
            <w:shd w:val="clear" w:color="auto" w:fill="auto"/>
          </w:tcPr>
          <w:p w14:paraId="529C5926" w14:textId="77777777" w:rsidR="00021AF5" w:rsidRPr="00716290" w:rsidRDefault="00021AF5" w:rsidP="00B71F31">
            <w:pPr>
              <w:rPr>
                <w:b/>
              </w:rPr>
            </w:pPr>
            <w:r w:rsidRPr="00716290">
              <w:rPr>
                <w:b/>
              </w:rPr>
              <w:t xml:space="preserve">Brief description </w:t>
            </w:r>
          </w:p>
          <w:p w14:paraId="3508817C" w14:textId="77777777" w:rsidR="00021AF5" w:rsidRPr="00716290" w:rsidRDefault="00021AF5" w:rsidP="00B71F31">
            <w:pPr>
              <w:rPr>
                <w:b/>
              </w:rPr>
            </w:pPr>
            <w:r w:rsidRPr="00716290">
              <w:rPr>
                <w:b/>
              </w:rPr>
              <w:t xml:space="preserve">of proposal (including intended outcomes &amp; purpose) </w:t>
            </w:r>
          </w:p>
        </w:tc>
        <w:tc>
          <w:tcPr>
            <w:tcW w:w="6577" w:type="dxa"/>
            <w:shd w:val="clear" w:color="auto" w:fill="auto"/>
          </w:tcPr>
          <w:p w14:paraId="146596DC" w14:textId="0AB8CD16" w:rsidR="00021AF5" w:rsidRDefault="6DA0CAAF" w:rsidP="541CAECE">
            <w:pPr>
              <w:spacing w:beforeAutospacing="1" w:afterAutospacing="1"/>
              <w:rPr>
                <w:rFonts w:asciiTheme="majorHAnsi" w:eastAsiaTheme="majorEastAsia" w:hAnsiTheme="majorHAnsi" w:cstheme="majorBidi"/>
                <w:color w:val="000000" w:themeColor="text1"/>
                <w:sz w:val="22"/>
                <w:szCs w:val="22"/>
              </w:rPr>
            </w:pPr>
            <w:r w:rsidRPr="541CAECE">
              <w:rPr>
                <w:rStyle w:val="normaltextrun"/>
                <w:rFonts w:asciiTheme="majorHAnsi" w:eastAsiaTheme="majorEastAsia" w:hAnsiTheme="majorHAnsi" w:cstheme="majorBidi"/>
                <w:color w:val="000000" w:themeColor="text1"/>
                <w:sz w:val="22"/>
                <w:szCs w:val="22"/>
              </w:rPr>
              <w:t>The plan is one of the key delivery vehicles for the Plan for Fife. It outlines how community learning and development activity will contribute to the Plan for Fife outcomes over the next three years. The plan identifies the needs and gaps in our current delivery around how we address poverty and inequality in Fife and sets out how we are going to collectively work to tackle these gaps and will report on progress through measurable impacts at a local and regional level.</w:t>
            </w:r>
          </w:p>
          <w:p w14:paraId="4DE5DAC2" w14:textId="2DCFA2F4" w:rsidR="00021AF5" w:rsidRDefault="00021AF5" w:rsidP="24FB3D9E">
            <w:pPr>
              <w:spacing w:beforeAutospacing="1" w:afterAutospacing="1"/>
              <w:rPr>
                <w:rFonts w:asciiTheme="majorHAnsi" w:eastAsiaTheme="majorEastAsia" w:hAnsiTheme="majorHAnsi" w:cstheme="majorBidi"/>
                <w:color w:val="000000" w:themeColor="text1"/>
                <w:sz w:val="22"/>
                <w:szCs w:val="22"/>
              </w:rPr>
            </w:pPr>
          </w:p>
          <w:p w14:paraId="25B9E0DD" w14:textId="2193E021" w:rsidR="00021AF5" w:rsidRDefault="6DA0CAAF" w:rsidP="24FB3D9E">
            <w:pPr>
              <w:spacing w:beforeAutospacing="1" w:afterAutospacing="1"/>
              <w:rPr>
                <w:rFonts w:asciiTheme="majorHAnsi" w:eastAsiaTheme="majorEastAsia" w:hAnsiTheme="majorHAnsi" w:cstheme="majorBidi"/>
                <w:color w:val="000000" w:themeColor="text1"/>
                <w:sz w:val="22"/>
                <w:szCs w:val="22"/>
              </w:rPr>
            </w:pPr>
            <w:r w:rsidRPr="24FB3D9E">
              <w:rPr>
                <w:rStyle w:val="normaltextrun"/>
                <w:rFonts w:asciiTheme="majorHAnsi" w:eastAsiaTheme="majorEastAsia" w:hAnsiTheme="majorHAnsi" w:cstheme="majorBidi"/>
                <w:color w:val="000000" w:themeColor="text1"/>
                <w:sz w:val="22"/>
                <w:szCs w:val="22"/>
              </w:rPr>
              <w:t xml:space="preserve">Community learning and development in Fife is characterised by strong partnership working across public sector agencies, third sector providers and with communities. It is a vehicle for change in our communities and uses a distinct form of educational practice that is collaborative, anti-discriminatory and </w:t>
            </w:r>
            <w:proofErr w:type="gramStart"/>
            <w:r w:rsidRPr="24FB3D9E">
              <w:rPr>
                <w:rStyle w:val="normaltextrun"/>
                <w:rFonts w:asciiTheme="majorHAnsi" w:eastAsiaTheme="majorEastAsia" w:hAnsiTheme="majorHAnsi" w:cstheme="majorBidi"/>
                <w:color w:val="000000" w:themeColor="text1"/>
                <w:sz w:val="22"/>
                <w:szCs w:val="22"/>
              </w:rPr>
              <w:t>equalities-focused</w:t>
            </w:r>
            <w:proofErr w:type="gramEnd"/>
            <w:r w:rsidRPr="24FB3D9E">
              <w:rPr>
                <w:rStyle w:val="normaltextrun"/>
                <w:rFonts w:asciiTheme="majorHAnsi" w:eastAsiaTheme="majorEastAsia" w:hAnsiTheme="majorHAnsi" w:cstheme="majorBidi"/>
                <w:color w:val="000000" w:themeColor="text1"/>
                <w:sz w:val="22"/>
                <w:szCs w:val="22"/>
              </w:rPr>
              <w:t xml:space="preserve">. It is concerned with the empowerment of individuals, families and communities to identify their individual and collective goals, to take part in learning and take action to bring about positive change.  </w:t>
            </w:r>
          </w:p>
          <w:p w14:paraId="657828B3" w14:textId="352E095A" w:rsidR="00021AF5" w:rsidRDefault="00021AF5" w:rsidP="24FB3D9E">
            <w:pPr>
              <w:spacing w:beforeAutospacing="1" w:afterAutospacing="1"/>
              <w:rPr>
                <w:rFonts w:asciiTheme="majorHAnsi" w:eastAsiaTheme="majorEastAsia" w:hAnsiTheme="majorHAnsi" w:cstheme="majorBidi"/>
                <w:color w:val="000000" w:themeColor="text1"/>
                <w:sz w:val="22"/>
                <w:szCs w:val="22"/>
              </w:rPr>
            </w:pPr>
          </w:p>
          <w:p w14:paraId="16363564" w14:textId="6DB0C7BB" w:rsidR="00021AF5" w:rsidRDefault="6DA0CAAF" w:rsidP="24FB3D9E">
            <w:pPr>
              <w:spacing w:beforeAutospacing="1" w:afterAutospacing="1"/>
              <w:rPr>
                <w:rFonts w:asciiTheme="majorHAnsi" w:eastAsiaTheme="majorEastAsia" w:hAnsiTheme="majorHAnsi" w:cstheme="majorBidi"/>
                <w:color w:val="000000" w:themeColor="text1"/>
                <w:sz w:val="22"/>
                <w:szCs w:val="22"/>
              </w:rPr>
            </w:pPr>
            <w:r w:rsidRPr="24FB3D9E">
              <w:rPr>
                <w:rStyle w:val="normaltextrun"/>
                <w:rFonts w:asciiTheme="majorHAnsi" w:eastAsiaTheme="majorEastAsia" w:hAnsiTheme="majorHAnsi" w:cstheme="majorBidi"/>
                <w:color w:val="000000" w:themeColor="text1"/>
                <w:sz w:val="22"/>
                <w:szCs w:val="22"/>
              </w:rPr>
              <w:t>Our practitioners and volunteers are guided by a professional practice framework based on competencies and values supported by a code of ethics and a critically reflective responsibility to how they approach their work.</w:t>
            </w:r>
            <w:r w:rsidRPr="24FB3D9E">
              <w:rPr>
                <w:rFonts w:asciiTheme="majorHAnsi" w:eastAsiaTheme="majorEastAsia" w:hAnsiTheme="majorHAnsi" w:cstheme="majorBidi"/>
                <w:color w:val="000000" w:themeColor="text1"/>
                <w:sz w:val="22"/>
                <w:szCs w:val="22"/>
              </w:rPr>
              <w:t xml:space="preserve"> </w:t>
            </w:r>
            <w:r w:rsidRPr="24FB3D9E">
              <w:rPr>
                <w:rStyle w:val="normaltextrun"/>
                <w:rFonts w:asciiTheme="majorHAnsi" w:eastAsiaTheme="majorEastAsia" w:hAnsiTheme="majorHAnsi" w:cstheme="majorBidi"/>
                <w:color w:val="000000" w:themeColor="text1"/>
                <w:sz w:val="22"/>
                <w:szCs w:val="22"/>
              </w:rPr>
              <w:t>Its key priorities are to deliver:</w:t>
            </w:r>
          </w:p>
          <w:p w14:paraId="0284FC01" w14:textId="5CD1F794" w:rsidR="00021AF5" w:rsidRDefault="00021AF5" w:rsidP="24FB3D9E">
            <w:pPr>
              <w:spacing w:beforeAutospacing="1" w:afterAutospacing="1"/>
              <w:jc w:val="both"/>
              <w:rPr>
                <w:rFonts w:asciiTheme="majorHAnsi" w:eastAsiaTheme="majorEastAsia" w:hAnsiTheme="majorHAnsi" w:cstheme="majorBidi"/>
                <w:color w:val="000000" w:themeColor="text1"/>
                <w:sz w:val="22"/>
                <w:szCs w:val="22"/>
              </w:rPr>
            </w:pPr>
          </w:p>
          <w:p w14:paraId="2DD6C3CB" w14:textId="22A0275F" w:rsidR="00021AF5" w:rsidRDefault="6DA0CAAF" w:rsidP="24FB3D9E">
            <w:pPr>
              <w:pStyle w:val="ListParagraph"/>
              <w:numPr>
                <w:ilvl w:val="0"/>
                <w:numId w:val="7"/>
              </w:numPr>
              <w:spacing w:beforeAutospacing="1" w:afterAutospacing="1"/>
              <w:jc w:val="both"/>
              <w:rPr>
                <w:rFonts w:ascii="Calibri" w:eastAsia="Calibri" w:hAnsi="Calibri" w:cs="Calibri"/>
                <w:color w:val="000000" w:themeColor="text1"/>
                <w:sz w:val="22"/>
                <w:szCs w:val="22"/>
              </w:rPr>
            </w:pPr>
            <w:r w:rsidRPr="24FB3D9E">
              <w:rPr>
                <w:rStyle w:val="normaltextrun"/>
                <w:rFonts w:asciiTheme="majorHAnsi" w:eastAsiaTheme="majorEastAsia" w:hAnsiTheme="majorHAnsi" w:cstheme="majorBidi"/>
                <w:color w:val="000000" w:themeColor="text1"/>
                <w:sz w:val="22"/>
                <w:szCs w:val="22"/>
              </w:rPr>
              <w:t>Improved life chances for people of all ages through learning, personal development and active citizenship.</w:t>
            </w:r>
          </w:p>
          <w:p w14:paraId="22D21C5F" w14:textId="5319A409" w:rsidR="00021AF5" w:rsidRDefault="6DA0CAAF" w:rsidP="541CAECE">
            <w:pPr>
              <w:pStyle w:val="ListParagraph"/>
              <w:numPr>
                <w:ilvl w:val="0"/>
                <w:numId w:val="7"/>
              </w:numPr>
              <w:spacing w:beforeAutospacing="1" w:afterAutospacing="1"/>
              <w:jc w:val="both"/>
              <w:rPr>
                <w:rStyle w:val="eop"/>
                <w:rFonts w:asciiTheme="majorHAnsi" w:eastAsiaTheme="majorEastAsia" w:hAnsiTheme="majorHAnsi" w:cstheme="majorBidi"/>
                <w:color w:val="000000" w:themeColor="text1"/>
                <w:sz w:val="22"/>
                <w:szCs w:val="22"/>
              </w:rPr>
            </w:pPr>
            <w:r w:rsidRPr="541CAECE">
              <w:rPr>
                <w:rStyle w:val="eop"/>
                <w:rFonts w:asciiTheme="majorHAnsi" w:eastAsiaTheme="majorEastAsia" w:hAnsiTheme="majorHAnsi" w:cstheme="majorBidi"/>
                <w:color w:val="000000" w:themeColor="text1"/>
                <w:sz w:val="22"/>
                <w:szCs w:val="22"/>
              </w:rPr>
              <w:t>Create stronger, more resilient and inclusive communities.</w:t>
            </w:r>
          </w:p>
          <w:p w14:paraId="4EA154A6" w14:textId="4B5787BC" w:rsidR="00021AF5" w:rsidRDefault="00021AF5" w:rsidP="541CAECE">
            <w:pPr>
              <w:pStyle w:val="Default"/>
            </w:pPr>
          </w:p>
          <w:p w14:paraId="1509A4AD" w14:textId="1C21840D" w:rsidR="00021AF5" w:rsidRDefault="6225047B" w:rsidP="541CAECE">
            <w:pPr>
              <w:pStyle w:val="Default"/>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 xml:space="preserve">The CLD plan provides a guide for practitioners and volunteers across the CLD sector in Fife to inform and shape their thinking and planning </w:t>
            </w:r>
            <w:r w:rsidR="5A78350A" w:rsidRPr="541CAECE">
              <w:rPr>
                <w:rFonts w:asciiTheme="majorHAnsi" w:eastAsiaTheme="majorEastAsia" w:hAnsiTheme="majorHAnsi" w:cstheme="majorBidi"/>
                <w:sz w:val="22"/>
                <w:szCs w:val="22"/>
              </w:rPr>
              <w:t>in response t</w:t>
            </w:r>
            <w:r w:rsidR="1D652467" w:rsidRPr="541CAECE">
              <w:rPr>
                <w:rFonts w:asciiTheme="majorHAnsi" w:eastAsiaTheme="majorEastAsia" w:hAnsiTheme="majorHAnsi" w:cstheme="majorBidi"/>
                <w:sz w:val="22"/>
                <w:szCs w:val="22"/>
              </w:rPr>
              <w:t>o</w:t>
            </w:r>
            <w:r w:rsidRPr="541CAECE">
              <w:rPr>
                <w:rFonts w:asciiTheme="majorHAnsi" w:eastAsiaTheme="majorEastAsia" w:hAnsiTheme="majorHAnsi" w:cstheme="majorBidi"/>
                <w:sz w:val="22"/>
                <w:szCs w:val="22"/>
              </w:rPr>
              <w:t xml:space="preserve"> community issues</w:t>
            </w:r>
            <w:r w:rsidR="6FF23184" w:rsidRPr="541CAECE">
              <w:rPr>
                <w:rFonts w:asciiTheme="majorHAnsi" w:eastAsiaTheme="majorEastAsia" w:hAnsiTheme="majorHAnsi" w:cstheme="majorBidi"/>
                <w:sz w:val="22"/>
                <w:szCs w:val="22"/>
              </w:rPr>
              <w:t xml:space="preserve"> and aspirations</w:t>
            </w:r>
            <w:r w:rsidR="51054103" w:rsidRPr="541CAECE">
              <w:rPr>
                <w:rFonts w:asciiTheme="majorHAnsi" w:eastAsiaTheme="majorEastAsia" w:hAnsiTheme="majorHAnsi" w:cstheme="majorBidi"/>
                <w:sz w:val="22"/>
                <w:szCs w:val="22"/>
              </w:rPr>
              <w:t xml:space="preserve">, as such it should be viewed as a supportive tool to support how we address issues associated with the active </w:t>
            </w:r>
            <w:r w:rsidR="40313E07" w:rsidRPr="541CAECE">
              <w:rPr>
                <w:rFonts w:asciiTheme="majorHAnsi" w:eastAsiaTheme="majorEastAsia" w:hAnsiTheme="majorHAnsi" w:cstheme="majorBidi"/>
                <w:sz w:val="22"/>
                <w:szCs w:val="22"/>
              </w:rPr>
              <w:t>engagement and participation of marginalised communities and improving cross-community interactions.</w:t>
            </w:r>
          </w:p>
        </w:tc>
      </w:tr>
      <w:tr w:rsidR="00021AF5" w14:paraId="60DBE316" w14:textId="77777777" w:rsidTr="541CAECE">
        <w:tc>
          <w:tcPr>
            <w:tcW w:w="2659" w:type="dxa"/>
            <w:shd w:val="clear" w:color="auto" w:fill="auto"/>
          </w:tcPr>
          <w:p w14:paraId="7CF01C79" w14:textId="77777777" w:rsidR="00021AF5" w:rsidRPr="00716290" w:rsidRDefault="00021AF5" w:rsidP="00B71F31">
            <w:pPr>
              <w:rPr>
                <w:b/>
              </w:rPr>
            </w:pPr>
            <w:r w:rsidRPr="00716290">
              <w:rPr>
                <w:b/>
              </w:rPr>
              <w:t xml:space="preserve">Lead Directorate / Service / Partnership </w:t>
            </w:r>
          </w:p>
        </w:tc>
        <w:tc>
          <w:tcPr>
            <w:tcW w:w="6577" w:type="dxa"/>
            <w:shd w:val="clear" w:color="auto" w:fill="auto"/>
          </w:tcPr>
          <w:p w14:paraId="5A39BBE3" w14:textId="5552673A" w:rsidR="00021AF5" w:rsidRDefault="0C985C5F" w:rsidP="00B71F31">
            <w:r>
              <w:t>CLD Partnership</w:t>
            </w:r>
          </w:p>
        </w:tc>
      </w:tr>
      <w:tr w:rsidR="00021AF5" w14:paraId="4FD23CA0" w14:textId="77777777" w:rsidTr="541CAECE">
        <w:tc>
          <w:tcPr>
            <w:tcW w:w="2659" w:type="dxa"/>
            <w:shd w:val="clear" w:color="auto" w:fill="auto"/>
          </w:tcPr>
          <w:p w14:paraId="5B9D9F22" w14:textId="77777777" w:rsidR="00021AF5" w:rsidRPr="00716290" w:rsidRDefault="00021AF5" w:rsidP="00B71F31">
            <w:pPr>
              <w:rPr>
                <w:b/>
              </w:rPr>
            </w:pPr>
            <w:proofErr w:type="spellStart"/>
            <w:r w:rsidRPr="00716290">
              <w:rPr>
                <w:b/>
              </w:rPr>
              <w:t>EqIA</w:t>
            </w:r>
            <w:proofErr w:type="spellEnd"/>
            <w:r w:rsidRPr="00716290">
              <w:rPr>
                <w:b/>
              </w:rPr>
              <w:t xml:space="preserve"> lead person </w:t>
            </w:r>
          </w:p>
          <w:p w14:paraId="41C8F396" w14:textId="77777777" w:rsidR="00021AF5" w:rsidRPr="00716290" w:rsidRDefault="00021AF5" w:rsidP="00B71F31">
            <w:pPr>
              <w:rPr>
                <w:b/>
              </w:rPr>
            </w:pPr>
          </w:p>
        </w:tc>
        <w:tc>
          <w:tcPr>
            <w:tcW w:w="6577" w:type="dxa"/>
            <w:shd w:val="clear" w:color="auto" w:fill="auto"/>
          </w:tcPr>
          <w:p w14:paraId="72A3D3EC" w14:textId="050DAB04" w:rsidR="00021AF5" w:rsidRDefault="7E157926" w:rsidP="00B71F31">
            <w:r>
              <w:t>Ross Martin</w:t>
            </w:r>
          </w:p>
        </w:tc>
      </w:tr>
      <w:tr w:rsidR="00021AF5" w14:paraId="017190C7" w14:textId="77777777" w:rsidTr="541CAECE">
        <w:tc>
          <w:tcPr>
            <w:tcW w:w="2659" w:type="dxa"/>
            <w:shd w:val="clear" w:color="auto" w:fill="auto"/>
          </w:tcPr>
          <w:p w14:paraId="1A11A3F4" w14:textId="77777777" w:rsidR="00021AF5" w:rsidRPr="00716290" w:rsidRDefault="00021AF5" w:rsidP="00B71F31">
            <w:pPr>
              <w:rPr>
                <w:b/>
              </w:rPr>
            </w:pPr>
            <w:proofErr w:type="spellStart"/>
            <w:r w:rsidRPr="00716290">
              <w:rPr>
                <w:b/>
              </w:rPr>
              <w:t>EqIA</w:t>
            </w:r>
            <w:proofErr w:type="spellEnd"/>
            <w:r w:rsidRPr="00716290">
              <w:rPr>
                <w:b/>
              </w:rPr>
              <w:t xml:space="preserve"> contributors </w:t>
            </w:r>
          </w:p>
          <w:p w14:paraId="0D0B940D" w14:textId="77777777" w:rsidR="00021AF5" w:rsidRPr="00716290" w:rsidRDefault="00021AF5" w:rsidP="00B71F31">
            <w:pPr>
              <w:rPr>
                <w:b/>
              </w:rPr>
            </w:pPr>
          </w:p>
        </w:tc>
        <w:tc>
          <w:tcPr>
            <w:tcW w:w="6577" w:type="dxa"/>
            <w:shd w:val="clear" w:color="auto" w:fill="auto"/>
          </w:tcPr>
          <w:p w14:paraId="0841B7B3" w14:textId="6FFCB1E8" w:rsidR="00021AF5" w:rsidRPr="00716290" w:rsidRDefault="1D8C5D8A" w:rsidP="24FB3D9E">
            <w:r w:rsidRPr="24FB3D9E">
              <w:t>Andrew Gallacher and Helen Rorrison, co-chairs of the partnership, Nina Munday (FCE).</w:t>
            </w:r>
          </w:p>
        </w:tc>
      </w:tr>
      <w:tr w:rsidR="00021AF5" w14:paraId="46D1FBB0" w14:textId="77777777" w:rsidTr="541CAECE">
        <w:tc>
          <w:tcPr>
            <w:tcW w:w="2659" w:type="dxa"/>
            <w:shd w:val="clear" w:color="auto" w:fill="auto"/>
          </w:tcPr>
          <w:p w14:paraId="24580E80" w14:textId="77777777" w:rsidR="00021AF5" w:rsidRPr="00716290" w:rsidRDefault="009E7A63" w:rsidP="00B71F31">
            <w:pPr>
              <w:rPr>
                <w:b/>
              </w:rPr>
            </w:pPr>
            <w:r>
              <w:rPr>
                <w:b/>
              </w:rPr>
              <w:t>D</w:t>
            </w:r>
            <w:r w:rsidR="00021AF5" w:rsidRPr="00716290">
              <w:rPr>
                <w:b/>
              </w:rPr>
              <w:t xml:space="preserve">ate of </w:t>
            </w:r>
            <w:proofErr w:type="spellStart"/>
            <w:r w:rsidR="00021AF5" w:rsidRPr="00716290">
              <w:rPr>
                <w:b/>
              </w:rPr>
              <w:t>EqIA</w:t>
            </w:r>
            <w:proofErr w:type="spellEnd"/>
            <w:r w:rsidR="00021AF5" w:rsidRPr="00716290">
              <w:rPr>
                <w:b/>
              </w:rPr>
              <w:t xml:space="preserve"> </w:t>
            </w:r>
          </w:p>
          <w:p w14:paraId="0E27B00A" w14:textId="77777777" w:rsidR="00021AF5" w:rsidRPr="00716290" w:rsidRDefault="00021AF5" w:rsidP="00B71F31">
            <w:pPr>
              <w:rPr>
                <w:b/>
              </w:rPr>
            </w:pPr>
          </w:p>
        </w:tc>
        <w:tc>
          <w:tcPr>
            <w:tcW w:w="6577" w:type="dxa"/>
            <w:shd w:val="clear" w:color="auto" w:fill="auto"/>
          </w:tcPr>
          <w:p w14:paraId="60061E4C" w14:textId="50E02620" w:rsidR="00021AF5" w:rsidRDefault="5BE56FC4" w:rsidP="00B71F31">
            <w:r>
              <w:t>1</w:t>
            </w:r>
            <w:r w:rsidR="2E05DF1F">
              <w:t>7</w:t>
            </w:r>
            <w:r>
              <w:t xml:space="preserve"> August 2021</w:t>
            </w:r>
          </w:p>
        </w:tc>
      </w:tr>
    </w:tbl>
    <w:p w14:paraId="44EAFD9C" w14:textId="77777777" w:rsidR="00021AF5" w:rsidRDefault="00021AF5" w:rsidP="00B71F31"/>
    <w:p w14:paraId="526A12EB" w14:textId="6A67C252" w:rsidR="628EE7C1" w:rsidRDefault="628EE7C1" w:rsidP="628EE7C1"/>
    <w:p w14:paraId="0AB44D5E" w14:textId="20C6955E" w:rsidR="628EE7C1" w:rsidRDefault="628EE7C1" w:rsidP="628EE7C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730"/>
      </w:tblGrid>
      <w:tr w:rsidR="003F426C" w:rsidRPr="00414802" w14:paraId="5183B6AE" w14:textId="77777777" w:rsidTr="541CAECE">
        <w:tc>
          <w:tcPr>
            <w:tcW w:w="9270" w:type="dxa"/>
            <w:gridSpan w:val="2"/>
            <w:tcBorders>
              <w:top w:val="nil"/>
              <w:left w:val="nil"/>
              <w:bottom w:val="nil"/>
              <w:right w:val="nil"/>
            </w:tcBorders>
            <w:shd w:val="clear" w:color="auto" w:fill="auto"/>
          </w:tcPr>
          <w:p w14:paraId="20D333C5" w14:textId="77777777" w:rsidR="003F426C" w:rsidRPr="00606068" w:rsidRDefault="00E93A2F" w:rsidP="00800047">
            <w:pPr>
              <w:rPr>
                <w:color w:val="FF0000"/>
              </w:rPr>
            </w:pPr>
            <w:r>
              <w:rPr>
                <w:b/>
              </w:rPr>
              <w:t xml:space="preserve">How does the proposal meet </w:t>
            </w:r>
            <w:r w:rsidR="004422C4">
              <w:rPr>
                <w:b/>
              </w:rPr>
              <w:t xml:space="preserve">one or more of the </w:t>
            </w:r>
            <w:r>
              <w:rPr>
                <w:b/>
              </w:rPr>
              <w:t xml:space="preserve">general duties under </w:t>
            </w:r>
            <w:r w:rsidR="003F426C" w:rsidRPr="00414802">
              <w:rPr>
                <w:b/>
              </w:rPr>
              <w:t>the Equality Act 2010</w:t>
            </w:r>
            <w:r>
              <w:rPr>
                <w:b/>
              </w:rPr>
              <w:t xml:space="preserve">?  </w:t>
            </w:r>
            <w:r w:rsidR="00606068" w:rsidRPr="00606068">
              <w:t xml:space="preserve">(Consider proportionality and relevance on p.12 and </w:t>
            </w:r>
            <w:r w:rsidR="00606068">
              <w:t>see p.</w:t>
            </w:r>
            <w:r w:rsidR="00606068" w:rsidRPr="00606068">
              <w:t>13 for more information on what the general duties mean)</w:t>
            </w:r>
            <w:r w:rsidR="00183950">
              <w:t xml:space="preserve">.  If the decision is of a strategic nature, how does the proposal address socio-economic disadvantage or inequalities of outcome?) </w:t>
            </w:r>
          </w:p>
          <w:p w14:paraId="3DEEC669" w14:textId="77777777" w:rsidR="003F426C" w:rsidRPr="00414802" w:rsidRDefault="003F426C" w:rsidP="00800047">
            <w:pPr>
              <w:rPr>
                <w:b/>
              </w:rPr>
            </w:pPr>
          </w:p>
        </w:tc>
      </w:tr>
      <w:tr w:rsidR="00E93A2F" w:rsidRPr="00414802" w14:paraId="50CCBDDA" w14:textId="77777777" w:rsidTr="541CAECE">
        <w:tc>
          <w:tcPr>
            <w:tcW w:w="4428" w:type="dxa"/>
            <w:shd w:val="clear" w:color="auto" w:fill="auto"/>
          </w:tcPr>
          <w:p w14:paraId="1C671BBB" w14:textId="77777777" w:rsidR="00E93A2F" w:rsidRPr="00E93A2F" w:rsidRDefault="00E93A2F" w:rsidP="00800047">
            <w:pPr>
              <w:rPr>
                <w:b/>
              </w:rPr>
            </w:pPr>
            <w:r w:rsidRPr="00E93A2F">
              <w:rPr>
                <w:b/>
              </w:rPr>
              <w:t>General duties</w:t>
            </w:r>
            <w:r w:rsidR="000B342F">
              <w:rPr>
                <w:b/>
              </w:rPr>
              <w:t xml:space="preserve"> </w:t>
            </w:r>
          </w:p>
        </w:tc>
        <w:tc>
          <w:tcPr>
            <w:tcW w:w="4842" w:type="dxa"/>
            <w:shd w:val="clear" w:color="auto" w:fill="auto"/>
          </w:tcPr>
          <w:p w14:paraId="18DD8735" w14:textId="77777777" w:rsidR="00E93A2F" w:rsidRPr="00414802" w:rsidRDefault="006362B9" w:rsidP="006362B9">
            <w:pPr>
              <w:rPr>
                <w:b/>
              </w:rPr>
            </w:pPr>
            <w:r>
              <w:rPr>
                <w:b/>
              </w:rPr>
              <w:t>Please Explain</w:t>
            </w:r>
          </w:p>
        </w:tc>
      </w:tr>
      <w:tr w:rsidR="00FF26C1" w:rsidRPr="00414802" w14:paraId="312C7E49" w14:textId="77777777" w:rsidTr="541CAECE">
        <w:tc>
          <w:tcPr>
            <w:tcW w:w="4428" w:type="dxa"/>
            <w:shd w:val="clear" w:color="auto" w:fill="auto"/>
          </w:tcPr>
          <w:p w14:paraId="14E09AA4" w14:textId="77777777" w:rsidR="00FF26C1" w:rsidRDefault="00FF26C1" w:rsidP="00800047">
            <w:r>
              <w:t>Eliminating discrimi</w:t>
            </w:r>
            <w:r w:rsidR="003F426C">
              <w:t>n</w:t>
            </w:r>
            <w:r>
              <w:t>ation, harassment and victimisation</w:t>
            </w:r>
          </w:p>
        </w:tc>
        <w:tc>
          <w:tcPr>
            <w:tcW w:w="4842" w:type="dxa"/>
            <w:shd w:val="clear" w:color="auto" w:fill="auto"/>
          </w:tcPr>
          <w:p w14:paraId="432C8B58" w14:textId="5B7F6587" w:rsidR="00FF26C1" w:rsidRPr="00414802" w:rsidRDefault="46D822A2"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 xml:space="preserve">The CLD </w:t>
            </w:r>
            <w:r w:rsidR="31148E9A" w:rsidRPr="24FB3D9E">
              <w:rPr>
                <w:rFonts w:asciiTheme="majorHAnsi" w:eastAsiaTheme="majorEastAsia" w:hAnsiTheme="majorHAnsi" w:cstheme="majorBidi"/>
                <w:sz w:val="22"/>
                <w:szCs w:val="22"/>
              </w:rPr>
              <w:t>practice approach is non-discriminatory and challenging of inequalities, following a set of professional values and ethics. Staff and volunteers working in the sector are also offered regular workforce development op</w:t>
            </w:r>
            <w:r w:rsidR="28E7FB36" w:rsidRPr="24FB3D9E">
              <w:rPr>
                <w:rFonts w:asciiTheme="majorHAnsi" w:eastAsiaTheme="majorEastAsia" w:hAnsiTheme="majorHAnsi" w:cstheme="majorBidi"/>
                <w:sz w:val="22"/>
                <w:szCs w:val="22"/>
              </w:rPr>
              <w:t>portunities and this includes an overview of the Equality Act and how we put this into practice.</w:t>
            </w:r>
          </w:p>
          <w:p w14:paraId="6E7E54AD" w14:textId="1496C46F" w:rsidR="00FF26C1" w:rsidRPr="00414802" w:rsidRDefault="00FF26C1" w:rsidP="24FB3D9E">
            <w:pPr>
              <w:rPr>
                <w:rFonts w:asciiTheme="majorHAnsi" w:eastAsiaTheme="majorEastAsia" w:hAnsiTheme="majorHAnsi" w:cstheme="majorBidi"/>
                <w:sz w:val="22"/>
                <w:szCs w:val="22"/>
              </w:rPr>
            </w:pPr>
          </w:p>
          <w:p w14:paraId="3656B9AB" w14:textId="53DE9066" w:rsidR="00FF26C1" w:rsidRPr="00414802" w:rsidRDefault="3CF6D648" w:rsidP="24FB3D9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Our sector is guided by national outcomes and as such is required to provide regular updates on the participation rates of young people</w:t>
            </w:r>
            <w:r w:rsidR="18A01878" w:rsidRPr="541CAECE">
              <w:rPr>
                <w:rFonts w:asciiTheme="majorHAnsi" w:eastAsiaTheme="majorEastAsia" w:hAnsiTheme="majorHAnsi" w:cstheme="majorBidi"/>
                <w:sz w:val="22"/>
                <w:szCs w:val="22"/>
              </w:rPr>
              <w:t xml:space="preserve">. Families and adults. This includes reporting on the protected characteristics of participants. </w:t>
            </w:r>
          </w:p>
        </w:tc>
      </w:tr>
      <w:tr w:rsidR="00FF26C1" w:rsidRPr="00414802" w14:paraId="202589F0" w14:textId="77777777" w:rsidTr="541CAECE">
        <w:tc>
          <w:tcPr>
            <w:tcW w:w="4428" w:type="dxa"/>
            <w:shd w:val="clear" w:color="auto" w:fill="auto"/>
          </w:tcPr>
          <w:p w14:paraId="29105BA7" w14:textId="77777777" w:rsidR="00FF26C1" w:rsidRDefault="003F426C" w:rsidP="00B71F31">
            <w:r>
              <w:t xml:space="preserve">Advancing equality of opportunity </w:t>
            </w:r>
          </w:p>
        </w:tc>
        <w:tc>
          <w:tcPr>
            <w:tcW w:w="4842" w:type="dxa"/>
            <w:shd w:val="clear" w:color="auto" w:fill="auto"/>
          </w:tcPr>
          <w:p w14:paraId="3B1D4115" w14:textId="78458EB6" w:rsidR="00FF26C1" w:rsidRPr="00414802" w:rsidRDefault="2B4FA982"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The CLD sector will work in partnership to support our young people to become confident individuals, effective contributors, responsible citizens and successful learners.</w:t>
            </w:r>
            <w:r w:rsidR="00B730C7">
              <w:rPr>
                <w:rFonts w:asciiTheme="majorHAnsi" w:eastAsiaTheme="majorEastAsia" w:hAnsiTheme="majorHAnsi" w:cstheme="majorBidi"/>
                <w:sz w:val="22"/>
                <w:szCs w:val="22"/>
              </w:rPr>
              <w:t xml:space="preserve"> A focus will continue on work with young people aged 16 – 19 who leave school with no identified </w:t>
            </w:r>
            <w:r w:rsidR="005617B2">
              <w:rPr>
                <w:rFonts w:asciiTheme="majorHAnsi" w:eastAsiaTheme="majorEastAsia" w:hAnsiTheme="majorHAnsi" w:cstheme="majorBidi"/>
                <w:sz w:val="22"/>
                <w:szCs w:val="22"/>
              </w:rPr>
              <w:t xml:space="preserve">positive destination, those with a care experienced backgrounds and young people living in </w:t>
            </w:r>
            <w:proofErr w:type="gramStart"/>
            <w:r w:rsidR="005617B2">
              <w:rPr>
                <w:rFonts w:asciiTheme="majorHAnsi" w:eastAsiaTheme="majorEastAsia" w:hAnsiTheme="majorHAnsi" w:cstheme="majorBidi"/>
                <w:sz w:val="22"/>
                <w:szCs w:val="22"/>
              </w:rPr>
              <w:t>low income</w:t>
            </w:r>
            <w:proofErr w:type="gramEnd"/>
            <w:r w:rsidR="005617B2">
              <w:rPr>
                <w:rFonts w:asciiTheme="majorHAnsi" w:eastAsiaTheme="majorEastAsia" w:hAnsiTheme="majorHAnsi" w:cstheme="majorBidi"/>
                <w:sz w:val="22"/>
                <w:szCs w:val="22"/>
              </w:rPr>
              <w:t xml:space="preserve"> households.</w:t>
            </w:r>
          </w:p>
          <w:p w14:paraId="2DD0937F" w14:textId="3B269115" w:rsidR="00FF26C1" w:rsidRPr="00414802" w:rsidRDefault="00FF26C1" w:rsidP="541CAECE">
            <w:pPr>
              <w:rPr>
                <w:rFonts w:asciiTheme="majorHAnsi" w:eastAsiaTheme="majorEastAsia" w:hAnsiTheme="majorHAnsi" w:cstheme="majorBidi"/>
                <w:sz w:val="22"/>
                <w:szCs w:val="22"/>
              </w:rPr>
            </w:pPr>
          </w:p>
          <w:p w14:paraId="45FB0818" w14:textId="0DCE026A" w:rsidR="003010D8" w:rsidRPr="00414802" w:rsidRDefault="14C013C8"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Beyond thi</w:t>
            </w:r>
            <w:r w:rsidR="005617B2">
              <w:rPr>
                <w:rFonts w:asciiTheme="majorHAnsi" w:eastAsiaTheme="majorEastAsia" w:hAnsiTheme="majorHAnsi" w:cstheme="majorBidi"/>
                <w:sz w:val="22"/>
                <w:szCs w:val="22"/>
              </w:rPr>
              <w:t>s we</w:t>
            </w:r>
            <w:r w:rsidRPr="541CAECE">
              <w:rPr>
                <w:rFonts w:asciiTheme="majorHAnsi" w:eastAsiaTheme="majorEastAsia" w:hAnsiTheme="majorHAnsi" w:cstheme="majorBidi"/>
                <w:sz w:val="22"/>
                <w:szCs w:val="22"/>
              </w:rPr>
              <w:t xml:space="preserve"> will seek to improve levels of engagement with marginalised communitie</w:t>
            </w:r>
            <w:r w:rsidR="2E7BD827" w:rsidRPr="541CAECE">
              <w:rPr>
                <w:rFonts w:asciiTheme="majorHAnsi" w:eastAsiaTheme="majorEastAsia" w:hAnsiTheme="majorHAnsi" w:cstheme="majorBidi"/>
                <w:sz w:val="22"/>
                <w:szCs w:val="22"/>
              </w:rPr>
              <w:t>s</w:t>
            </w:r>
            <w:r w:rsidR="00C6525B">
              <w:rPr>
                <w:rFonts w:asciiTheme="majorHAnsi" w:eastAsiaTheme="majorEastAsia" w:hAnsiTheme="majorHAnsi" w:cstheme="majorBidi"/>
                <w:color w:val="FF0000"/>
                <w:sz w:val="22"/>
                <w:szCs w:val="22"/>
              </w:rPr>
              <w:t xml:space="preserve"> </w:t>
            </w:r>
            <w:r w:rsidR="005617B2" w:rsidRPr="005617B2">
              <w:rPr>
                <w:rFonts w:asciiTheme="majorHAnsi" w:eastAsiaTheme="majorEastAsia" w:hAnsiTheme="majorHAnsi" w:cstheme="majorBidi"/>
                <w:sz w:val="22"/>
                <w:szCs w:val="22"/>
              </w:rPr>
              <w:t xml:space="preserve">through our ESOL programmes </w:t>
            </w:r>
            <w:r w:rsidR="005617B2">
              <w:rPr>
                <w:rFonts w:asciiTheme="majorHAnsi" w:eastAsiaTheme="majorEastAsia" w:hAnsiTheme="majorHAnsi" w:cstheme="majorBidi"/>
                <w:sz w:val="22"/>
                <w:szCs w:val="22"/>
              </w:rPr>
              <w:t>targeting migrant and refugee families and households with low incomes.</w:t>
            </w:r>
          </w:p>
        </w:tc>
      </w:tr>
      <w:tr w:rsidR="00FF26C1" w:rsidRPr="00414802" w14:paraId="59E8583C" w14:textId="77777777" w:rsidTr="541CAECE">
        <w:tc>
          <w:tcPr>
            <w:tcW w:w="4428" w:type="dxa"/>
            <w:shd w:val="clear" w:color="auto" w:fill="auto"/>
          </w:tcPr>
          <w:p w14:paraId="6F9031F2" w14:textId="77777777" w:rsidR="00FF26C1" w:rsidRDefault="003F426C" w:rsidP="00B71F31">
            <w:r>
              <w:t xml:space="preserve">Fostering good relations </w:t>
            </w:r>
          </w:p>
        </w:tc>
        <w:tc>
          <w:tcPr>
            <w:tcW w:w="4842" w:type="dxa"/>
            <w:shd w:val="clear" w:color="auto" w:fill="auto"/>
          </w:tcPr>
          <w:p w14:paraId="085861C8" w14:textId="4253488A" w:rsidR="00FF26C1" w:rsidRPr="00414802" w:rsidRDefault="57B1DDDA"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 xml:space="preserve">The CLD </w:t>
            </w:r>
            <w:r w:rsidR="013C3D02" w:rsidRPr="24FB3D9E">
              <w:rPr>
                <w:rFonts w:asciiTheme="majorHAnsi" w:eastAsiaTheme="majorEastAsia" w:hAnsiTheme="majorHAnsi" w:cstheme="majorBidi"/>
                <w:sz w:val="22"/>
                <w:szCs w:val="22"/>
              </w:rPr>
              <w:t>p</w:t>
            </w:r>
            <w:r w:rsidRPr="24FB3D9E">
              <w:rPr>
                <w:rFonts w:asciiTheme="majorHAnsi" w:eastAsiaTheme="majorEastAsia" w:hAnsiTheme="majorHAnsi" w:cstheme="majorBidi"/>
                <w:sz w:val="22"/>
                <w:szCs w:val="22"/>
              </w:rPr>
              <w:t>lan seeks to work with communities and individuals in an empowering way so that the community as a whole work together to achieve lasting change in their communities.</w:t>
            </w:r>
          </w:p>
          <w:p w14:paraId="6F6D693C" w14:textId="0406E834" w:rsidR="00FF26C1" w:rsidRPr="00414802" w:rsidRDefault="00FF26C1" w:rsidP="24FB3D9E">
            <w:pPr>
              <w:rPr>
                <w:rFonts w:asciiTheme="majorHAnsi" w:eastAsiaTheme="majorEastAsia" w:hAnsiTheme="majorHAnsi" w:cstheme="majorBidi"/>
                <w:sz w:val="22"/>
                <w:szCs w:val="22"/>
              </w:rPr>
            </w:pPr>
          </w:p>
          <w:p w14:paraId="049F31CB" w14:textId="482C22C3" w:rsidR="00FF26C1" w:rsidRPr="00414802" w:rsidRDefault="49655260" w:rsidP="628EE7C1">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 xml:space="preserve">A focus of the CLD sector is being able to engage in dialogue and deliberation around </w:t>
            </w:r>
            <w:r w:rsidR="01EB5BFF" w:rsidRPr="541CAECE">
              <w:rPr>
                <w:rFonts w:asciiTheme="majorHAnsi" w:eastAsiaTheme="majorEastAsia" w:hAnsiTheme="majorHAnsi" w:cstheme="majorBidi"/>
                <w:sz w:val="22"/>
                <w:szCs w:val="22"/>
              </w:rPr>
              <w:t>community decisions, how these were reached and what the potential impacts and outcomes will be.</w:t>
            </w:r>
          </w:p>
        </w:tc>
      </w:tr>
      <w:tr w:rsidR="00183950" w:rsidRPr="00414802" w14:paraId="784793D7" w14:textId="77777777" w:rsidTr="541CAECE">
        <w:tc>
          <w:tcPr>
            <w:tcW w:w="4428" w:type="dxa"/>
            <w:shd w:val="clear" w:color="auto" w:fill="auto"/>
          </w:tcPr>
          <w:p w14:paraId="56B28EEF" w14:textId="77777777" w:rsidR="00183950" w:rsidRDefault="00183950" w:rsidP="00B71F31">
            <w:r>
              <w:t xml:space="preserve">Socio-economic disadvantage </w:t>
            </w:r>
          </w:p>
        </w:tc>
        <w:tc>
          <w:tcPr>
            <w:tcW w:w="4842" w:type="dxa"/>
            <w:shd w:val="clear" w:color="auto" w:fill="auto"/>
          </w:tcPr>
          <w:p w14:paraId="0E70FC34" w14:textId="752EDEE7" w:rsidR="005617B2" w:rsidRDefault="4CEB3F28" w:rsidP="24FB3D9E">
            <w:pPr>
              <w:rPr>
                <w:rFonts w:asciiTheme="majorHAnsi" w:eastAsiaTheme="majorEastAsia" w:hAnsiTheme="majorHAnsi" w:cstheme="majorBidi"/>
                <w:color w:val="000000" w:themeColor="text1"/>
                <w:sz w:val="22"/>
                <w:szCs w:val="22"/>
              </w:rPr>
            </w:pPr>
            <w:r w:rsidRPr="24FB3D9E">
              <w:rPr>
                <w:rFonts w:asciiTheme="majorHAnsi" w:eastAsiaTheme="majorEastAsia" w:hAnsiTheme="majorHAnsi" w:cstheme="majorBidi"/>
                <w:color w:val="000000" w:themeColor="text1"/>
                <w:sz w:val="22"/>
                <w:szCs w:val="22"/>
              </w:rPr>
              <w:t>Over the next three years the CLD sector will be prioritising work with disadvantaged communities, families and households to improve their capacity to participate in a broad range of learning-based programmes designed to overcome barriers to participation at personal, community and institutional levels.</w:t>
            </w:r>
            <w:r w:rsidR="00C6525B">
              <w:rPr>
                <w:rFonts w:asciiTheme="majorHAnsi" w:eastAsiaTheme="majorEastAsia" w:hAnsiTheme="majorHAnsi" w:cstheme="majorBidi"/>
                <w:color w:val="000000" w:themeColor="text1"/>
                <w:sz w:val="22"/>
                <w:szCs w:val="22"/>
              </w:rPr>
              <w:t xml:space="preserve"> </w:t>
            </w:r>
          </w:p>
          <w:p w14:paraId="588400B2" w14:textId="45A00C2B" w:rsidR="005617B2" w:rsidRDefault="005617B2" w:rsidP="24FB3D9E">
            <w:p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lastRenderedPageBreak/>
              <w:t>In doing so we will provide support to people and communities to overcome challenges with lower levels of core skills in the areas of:</w:t>
            </w:r>
          </w:p>
          <w:p w14:paraId="452A5367" w14:textId="3106D55E" w:rsidR="005617B2" w:rsidRDefault="005617B2" w:rsidP="005617B2">
            <w:pPr>
              <w:pStyle w:val="ListParagraph"/>
              <w:numPr>
                <w:ilvl w:val="0"/>
                <w:numId w:val="37"/>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Literacy</w:t>
            </w:r>
          </w:p>
          <w:p w14:paraId="6E344838" w14:textId="3ECB67C5" w:rsidR="005617B2" w:rsidRDefault="005617B2" w:rsidP="005617B2">
            <w:pPr>
              <w:pStyle w:val="Default"/>
              <w:numPr>
                <w:ilvl w:val="0"/>
                <w:numId w:val="37"/>
              </w:numPr>
              <w:rPr>
                <w:rFonts w:eastAsiaTheme="majorEastAsia"/>
              </w:rPr>
            </w:pPr>
            <w:r>
              <w:rPr>
                <w:rFonts w:eastAsiaTheme="majorEastAsia"/>
              </w:rPr>
              <w:t>Numeracy</w:t>
            </w:r>
          </w:p>
          <w:p w14:paraId="4201B401" w14:textId="5F77AEC8" w:rsidR="005617B2" w:rsidRDefault="005617B2" w:rsidP="005617B2">
            <w:pPr>
              <w:pStyle w:val="Default"/>
              <w:numPr>
                <w:ilvl w:val="0"/>
                <w:numId w:val="37"/>
              </w:numPr>
              <w:rPr>
                <w:rFonts w:eastAsiaTheme="majorEastAsia"/>
              </w:rPr>
            </w:pPr>
            <w:r>
              <w:rPr>
                <w:rFonts w:eastAsiaTheme="majorEastAsia"/>
              </w:rPr>
              <w:t>ICT</w:t>
            </w:r>
          </w:p>
          <w:p w14:paraId="0D791BD5" w14:textId="0ACA4C6A" w:rsidR="005617B2" w:rsidRDefault="005617B2" w:rsidP="005617B2">
            <w:pPr>
              <w:pStyle w:val="Default"/>
              <w:numPr>
                <w:ilvl w:val="0"/>
                <w:numId w:val="37"/>
              </w:numPr>
              <w:rPr>
                <w:rFonts w:eastAsiaTheme="majorEastAsia"/>
              </w:rPr>
            </w:pPr>
            <w:r>
              <w:rPr>
                <w:rFonts w:eastAsiaTheme="majorEastAsia"/>
              </w:rPr>
              <w:t>Problem-solving</w:t>
            </w:r>
          </w:p>
          <w:p w14:paraId="0DE227CC" w14:textId="6D1695D9" w:rsidR="005617B2" w:rsidRPr="005617B2" w:rsidRDefault="005617B2" w:rsidP="005617B2">
            <w:pPr>
              <w:pStyle w:val="Default"/>
              <w:numPr>
                <w:ilvl w:val="0"/>
                <w:numId w:val="37"/>
              </w:numPr>
              <w:rPr>
                <w:rFonts w:eastAsiaTheme="majorEastAsia"/>
              </w:rPr>
            </w:pPr>
            <w:r>
              <w:rPr>
                <w:rFonts w:eastAsiaTheme="majorEastAsia"/>
              </w:rPr>
              <w:t>Working with others</w:t>
            </w:r>
          </w:p>
          <w:p w14:paraId="21C61419" w14:textId="77777777" w:rsidR="005617B2" w:rsidRDefault="005617B2" w:rsidP="24FB3D9E">
            <w:pPr>
              <w:rPr>
                <w:rFonts w:asciiTheme="majorHAnsi" w:eastAsiaTheme="majorEastAsia" w:hAnsiTheme="majorHAnsi" w:cstheme="majorBidi"/>
                <w:color w:val="000000" w:themeColor="text1"/>
                <w:sz w:val="22"/>
                <w:szCs w:val="22"/>
              </w:rPr>
            </w:pPr>
          </w:p>
          <w:p w14:paraId="53128261" w14:textId="690A799F" w:rsidR="00183950" w:rsidRPr="00C6525B" w:rsidRDefault="005617B2" w:rsidP="24FB3D9E">
            <w:pPr>
              <w:rPr>
                <w:rFonts w:asciiTheme="majorHAnsi" w:eastAsiaTheme="majorEastAsia" w:hAnsiTheme="majorHAnsi" w:cstheme="majorBidi"/>
                <w:color w:val="FF0000"/>
                <w:sz w:val="22"/>
                <w:szCs w:val="22"/>
              </w:rPr>
            </w:pPr>
            <w:r>
              <w:rPr>
                <w:rStyle w:val="normaltextrun"/>
                <w:rFonts w:ascii="Calibri" w:hAnsi="Calibri" w:cs="Calibri"/>
                <w:color w:val="000000"/>
                <w:sz w:val="22"/>
                <w:szCs w:val="22"/>
                <w:shd w:val="clear" w:color="auto" w:fill="FFFFFF"/>
              </w:rPr>
              <w:t>We will work with Fife college and community-based training providers to develop supportive pathways for learners to progress from foundation building learning programmes into full or part time college or vocational learning programmes.</w:t>
            </w:r>
          </w:p>
        </w:tc>
      </w:tr>
      <w:tr w:rsidR="00201943" w:rsidRPr="00414802" w14:paraId="1042962D" w14:textId="77777777" w:rsidTr="541CAECE">
        <w:tc>
          <w:tcPr>
            <w:tcW w:w="4428" w:type="dxa"/>
            <w:shd w:val="clear" w:color="auto" w:fill="auto"/>
          </w:tcPr>
          <w:p w14:paraId="224AE0E6" w14:textId="77777777" w:rsidR="00201943" w:rsidRDefault="00201943" w:rsidP="00B71F31">
            <w:r>
              <w:lastRenderedPageBreak/>
              <w:t xml:space="preserve">Inequalities of outcome </w:t>
            </w:r>
          </w:p>
        </w:tc>
        <w:tc>
          <w:tcPr>
            <w:tcW w:w="4842" w:type="dxa"/>
            <w:shd w:val="clear" w:color="auto" w:fill="auto"/>
          </w:tcPr>
          <w:p w14:paraId="62486C05" w14:textId="77777777" w:rsidR="00201943" w:rsidRPr="00414802" w:rsidRDefault="00201943" w:rsidP="00B71F31">
            <w:pPr>
              <w:rPr>
                <w:b/>
              </w:rPr>
            </w:pPr>
          </w:p>
        </w:tc>
      </w:tr>
    </w:tbl>
    <w:p w14:paraId="4101652C" w14:textId="77777777" w:rsidR="003F426C" w:rsidRDefault="003F426C" w:rsidP="00B71F31">
      <w:pPr>
        <w:rPr>
          <w:color w:val="FF0000"/>
        </w:rPr>
      </w:pPr>
    </w:p>
    <w:p w14:paraId="4B99056E" w14:textId="77777777" w:rsidR="003F426C" w:rsidRDefault="003F426C" w:rsidP="00B71F31">
      <w:pPr>
        <w:rPr>
          <w:color w:val="FF0000"/>
        </w:rPr>
      </w:pPr>
    </w:p>
    <w:p w14:paraId="1299C43A" w14:textId="77777777" w:rsidR="00D809AF" w:rsidRDefault="00D809AF" w:rsidP="00B71F31">
      <w:pPr>
        <w:rPr>
          <w:color w:val="FF0000"/>
        </w:rPr>
      </w:pPr>
    </w:p>
    <w:p w14:paraId="1F49D542" w14:textId="77777777" w:rsidR="00D809AF" w:rsidRPr="00D809AF" w:rsidRDefault="006362B9" w:rsidP="00B71F31">
      <w:r>
        <w:t>H</w:t>
      </w:r>
      <w:r w:rsidR="00FD65E1">
        <w:t xml:space="preserve">aving considered the general duties above, </w:t>
      </w:r>
      <w:r w:rsidR="00A432EA">
        <w:t xml:space="preserve">if there is </w:t>
      </w:r>
      <w:r>
        <w:t>likely to be no impact on any of the equality groups</w:t>
      </w:r>
      <w:r w:rsidR="00A432EA">
        <w:t>, parts 2 and 3 of the impact assessment may not need to be completed.  P</w:t>
      </w:r>
      <w:r w:rsidR="00FD65E1">
        <w:t xml:space="preserve">lease </w:t>
      </w:r>
      <w:r w:rsidR="00A432EA">
        <w:t>provide an explanation (based on evidence) if this is the case</w:t>
      </w:r>
      <w:r w:rsidR="00FD65E1">
        <w:t xml:space="preserve">.  </w:t>
      </w:r>
    </w:p>
    <w:p w14:paraId="4DDBEF00" w14:textId="77777777" w:rsidR="003F426C" w:rsidRDefault="003F426C" w:rsidP="00B71F3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D65E1" w:rsidRPr="008317D2" w14:paraId="3461D779" w14:textId="77777777" w:rsidTr="24FB3D9E">
        <w:tc>
          <w:tcPr>
            <w:tcW w:w="9236" w:type="dxa"/>
            <w:shd w:val="clear" w:color="auto" w:fill="auto"/>
          </w:tcPr>
          <w:p w14:paraId="62EBF3C5" w14:textId="277AC5EF" w:rsidR="00FD65E1" w:rsidRPr="008317D2" w:rsidRDefault="30004DB9"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The plan will have both positive and negative impacts for different protected characteristics. It is anticipated that as we undertake further community engagement to identify learnin</w:t>
            </w:r>
            <w:r w:rsidR="512EDEFB" w:rsidRPr="24FB3D9E">
              <w:rPr>
                <w:rFonts w:asciiTheme="majorHAnsi" w:eastAsiaTheme="majorEastAsia" w:hAnsiTheme="majorHAnsi" w:cstheme="majorBidi"/>
                <w:sz w:val="22"/>
                <w:szCs w:val="22"/>
              </w:rPr>
              <w:t>g from the COVID pandemic, we will identify areas for further consideration and action. This may lead to different resource allocations at key points in the plan delivery, resulting in changes to the characteristics being impacted at that time.</w:t>
            </w:r>
          </w:p>
        </w:tc>
      </w:tr>
    </w:tbl>
    <w:p w14:paraId="7E7B12F3" w14:textId="77777777" w:rsidR="003F426C" w:rsidRDefault="003F426C" w:rsidP="00B71F31">
      <w:pPr>
        <w:rPr>
          <w:b/>
        </w:rPr>
      </w:pPr>
      <w:r>
        <w:rPr>
          <w:color w:val="FF0000"/>
        </w:rPr>
        <w:br w:type="page"/>
      </w:r>
      <w:r w:rsidRPr="000F2BB4">
        <w:rPr>
          <w:b/>
        </w:rPr>
        <w:lastRenderedPageBreak/>
        <w:t xml:space="preserve">Part 2:  Evidence and Impact Assessment </w:t>
      </w:r>
    </w:p>
    <w:p w14:paraId="6D98A12B" w14:textId="77777777" w:rsidR="00606068" w:rsidRPr="000F2BB4" w:rsidRDefault="00606068" w:rsidP="00B71F31">
      <w:pPr>
        <w:rPr>
          <w:b/>
        </w:rPr>
      </w:pPr>
    </w:p>
    <w:p w14:paraId="61D421EF" w14:textId="77777777" w:rsidR="00BA7F4E" w:rsidRPr="00BA7F4E" w:rsidRDefault="00EB36E0" w:rsidP="00B71F31">
      <w:r>
        <w:tab/>
      </w:r>
      <w:r w:rsidR="00BA7F4E" w:rsidRPr="00BA7F4E">
        <w:rPr>
          <w:b/>
        </w:rPr>
        <w:t xml:space="preserve">Explain what the positive </w:t>
      </w:r>
      <w:r w:rsidR="00A432EA">
        <w:rPr>
          <w:b/>
        </w:rPr>
        <w:t xml:space="preserve">and / </w:t>
      </w:r>
      <w:r w:rsidR="00BA7F4E" w:rsidRPr="00BA7F4E">
        <w:rPr>
          <w:b/>
        </w:rPr>
        <w:t xml:space="preserve">or negative impact of the policy change is on any of the protected characteristics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34"/>
        <w:gridCol w:w="2252"/>
        <w:gridCol w:w="2053"/>
      </w:tblGrid>
      <w:tr w:rsidR="00606068" w:rsidRPr="00BA7F4E" w14:paraId="145BA5B0" w14:textId="77777777" w:rsidTr="541CAECE">
        <w:tc>
          <w:tcPr>
            <w:tcW w:w="2297" w:type="dxa"/>
            <w:shd w:val="clear" w:color="auto" w:fill="auto"/>
          </w:tcPr>
          <w:p w14:paraId="53E49769" w14:textId="77777777" w:rsidR="00606068" w:rsidRPr="00414802" w:rsidRDefault="00606068" w:rsidP="00B71F31">
            <w:pPr>
              <w:rPr>
                <w:b/>
              </w:rPr>
            </w:pPr>
            <w:r w:rsidRPr="00414802">
              <w:rPr>
                <w:b/>
              </w:rPr>
              <w:t>Protected characteristic</w:t>
            </w:r>
          </w:p>
        </w:tc>
        <w:tc>
          <w:tcPr>
            <w:tcW w:w="2400" w:type="dxa"/>
            <w:shd w:val="clear" w:color="auto" w:fill="auto"/>
          </w:tcPr>
          <w:p w14:paraId="2C2E5735" w14:textId="77777777" w:rsidR="00606068" w:rsidRPr="00414802" w:rsidRDefault="00606068" w:rsidP="00B71F31">
            <w:pPr>
              <w:rPr>
                <w:b/>
              </w:rPr>
            </w:pPr>
            <w:r w:rsidRPr="00414802">
              <w:rPr>
                <w:b/>
              </w:rPr>
              <w:t xml:space="preserve">Positive impact </w:t>
            </w:r>
          </w:p>
        </w:tc>
        <w:tc>
          <w:tcPr>
            <w:tcW w:w="2336" w:type="dxa"/>
            <w:shd w:val="clear" w:color="auto" w:fill="auto"/>
          </w:tcPr>
          <w:p w14:paraId="06080A87" w14:textId="77777777" w:rsidR="00606068" w:rsidRPr="00414802" w:rsidRDefault="00606068" w:rsidP="00B71F31">
            <w:pPr>
              <w:rPr>
                <w:b/>
              </w:rPr>
            </w:pPr>
            <w:r w:rsidRPr="00414802">
              <w:rPr>
                <w:b/>
              </w:rPr>
              <w:t xml:space="preserve">Negative impact </w:t>
            </w:r>
          </w:p>
        </w:tc>
        <w:tc>
          <w:tcPr>
            <w:tcW w:w="2095" w:type="dxa"/>
          </w:tcPr>
          <w:p w14:paraId="1EF41D61" w14:textId="77777777" w:rsidR="00606068" w:rsidRPr="00414802" w:rsidRDefault="00606068" w:rsidP="00B71F31">
            <w:pPr>
              <w:rPr>
                <w:b/>
              </w:rPr>
            </w:pPr>
            <w:r>
              <w:rPr>
                <w:b/>
              </w:rPr>
              <w:t xml:space="preserve">No impact </w:t>
            </w:r>
          </w:p>
        </w:tc>
      </w:tr>
      <w:tr w:rsidR="00606068" w:rsidRPr="00BA7F4E" w14:paraId="092255E6" w14:textId="77777777" w:rsidTr="541CAECE">
        <w:tc>
          <w:tcPr>
            <w:tcW w:w="2297" w:type="dxa"/>
            <w:shd w:val="clear" w:color="auto" w:fill="auto"/>
          </w:tcPr>
          <w:p w14:paraId="6124306A" w14:textId="77777777" w:rsidR="00606068" w:rsidRPr="00BA7F4E" w:rsidRDefault="00606068" w:rsidP="00B71F31">
            <w:r w:rsidRPr="00BA7F4E">
              <w:t xml:space="preserve">Disabled people </w:t>
            </w:r>
          </w:p>
        </w:tc>
        <w:tc>
          <w:tcPr>
            <w:tcW w:w="2400" w:type="dxa"/>
            <w:shd w:val="clear" w:color="auto" w:fill="auto"/>
          </w:tcPr>
          <w:p w14:paraId="50E94772" w14:textId="656CFE1D" w:rsidR="00606068" w:rsidRPr="00BA7F4E" w:rsidRDefault="6863CC3E" w:rsidP="24FB3D9E">
            <w:r w:rsidRPr="24FB3D9E">
              <w:rPr>
                <w:rFonts w:asciiTheme="majorHAnsi" w:eastAsiaTheme="majorEastAsia" w:hAnsiTheme="majorHAnsi" w:cstheme="majorBidi"/>
                <w:sz w:val="22"/>
                <w:szCs w:val="22"/>
              </w:rPr>
              <w:t>Encouraging greater involvement in community activity.</w:t>
            </w:r>
          </w:p>
          <w:p w14:paraId="5D6D2966" w14:textId="04BC328E" w:rsidR="00606068" w:rsidRPr="00BA7F4E" w:rsidRDefault="00606068" w:rsidP="24FB3D9E">
            <w:pPr>
              <w:rPr>
                <w:rFonts w:asciiTheme="majorHAnsi" w:eastAsiaTheme="majorEastAsia" w:hAnsiTheme="majorHAnsi" w:cstheme="majorBidi"/>
                <w:sz w:val="22"/>
                <w:szCs w:val="22"/>
              </w:rPr>
            </w:pPr>
          </w:p>
          <w:p w14:paraId="2946DB82" w14:textId="593B4261" w:rsidR="00606068" w:rsidRPr="00BA7F4E" w:rsidRDefault="6863CC3E"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Greater levels of community engagement will lead to strengthened voice of disabled communities in CLD activity.</w:t>
            </w:r>
          </w:p>
        </w:tc>
        <w:tc>
          <w:tcPr>
            <w:tcW w:w="2336" w:type="dxa"/>
            <w:shd w:val="clear" w:color="auto" w:fill="auto"/>
          </w:tcPr>
          <w:p w14:paraId="5997CC1D" w14:textId="086A31B6" w:rsidR="00606068" w:rsidRPr="00C6525B" w:rsidRDefault="00606068" w:rsidP="24FB3D9E">
            <w:pPr>
              <w:rPr>
                <w:rFonts w:asciiTheme="majorHAnsi" w:eastAsiaTheme="majorEastAsia" w:hAnsiTheme="majorHAnsi" w:cstheme="majorBidi"/>
                <w:color w:val="FF0000"/>
                <w:sz w:val="22"/>
                <w:szCs w:val="22"/>
              </w:rPr>
            </w:pPr>
          </w:p>
        </w:tc>
        <w:tc>
          <w:tcPr>
            <w:tcW w:w="2095" w:type="dxa"/>
          </w:tcPr>
          <w:p w14:paraId="110FFD37" w14:textId="77777777" w:rsidR="00606068" w:rsidRPr="00BA7F4E" w:rsidRDefault="00606068" w:rsidP="00B71F31"/>
        </w:tc>
      </w:tr>
      <w:tr w:rsidR="00606068" w:rsidRPr="00BA7F4E" w14:paraId="3ECCE157" w14:textId="77777777" w:rsidTr="541CAECE">
        <w:tc>
          <w:tcPr>
            <w:tcW w:w="2297" w:type="dxa"/>
            <w:shd w:val="clear" w:color="auto" w:fill="auto"/>
          </w:tcPr>
          <w:p w14:paraId="1E791A48" w14:textId="77777777" w:rsidR="00606068" w:rsidRPr="00BA7F4E" w:rsidRDefault="00606068" w:rsidP="00B71F31">
            <w:r>
              <w:t>Sexual orientation</w:t>
            </w:r>
          </w:p>
        </w:tc>
        <w:tc>
          <w:tcPr>
            <w:tcW w:w="2400" w:type="dxa"/>
            <w:shd w:val="clear" w:color="auto" w:fill="auto"/>
          </w:tcPr>
          <w:p w14:paraId="6B699379" w14:textId="55510016" w:rsidR="00606068" w:rsidRPr="00BA7F4E" w:rsidRDefault="51E4E798" w:rsidP="628EE7C1">
            <w:pPr>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t xml:space="preserve">Our CLD sector has a broad range of services and opportunities targeted at the LGBTQ+ community to </w:t>
            </w:r>
            <w:r w:rsidR="6B9CDC2A" w:rsidRPr="628EE7C1">
              <w:rPr>
                <w:rFonts w:asciiTheme="majorHAnsi" w:eastAsiaTheme="majorEastAsia" w:hAnsiTheme="majorHAnsi" w:cstheme="majorBidi"/>
                <w:sz w:val="22"/>
                <w:szCs w:val="22"/>
              </w:rPr>
              <w:t>support greater levels of visibility, integration and to address issues associated with discrimination and community safety.</w:t>
            </w:r>
          </w:p>
        </w:tc>
        <w:tc>
          <w:tcPr>
            <w:tcW w:w="2336" w:type="dxa"/>
            <w:shd w:val="clear" w:color="auto" w:fill="auto"/>
          </w:tcPr>
          <w:p w14:paraId="3FE9F23F" w14:textId="085D9001" w:rsidR="00606068" w:rsidRPr="00BA7F4E" w:rsidRDefault="00606068" w:rsidP="24FB3D9E">
            <w:pPr>
              <w:rPr>
                <w:rFonts w:asciiTheme="majorHAnsi" w:eastAsiaTheme="majorEastAsia" w:hAnsiTheme="majorHAnsi" w:cstheme="majorBidi"/>
                <w:sz w:val="22"/>
                <w:szCs w:val="22"/>
              </w:rPr>
            </w:pPr>
          </w:p>
        </w:tc>
        <w:tc>
          <w:tcPr>
            <w:tcW w:w="2095" w:type="dxa"/>
          </w:tcPr>
          <w:p w14:paraId="1F72F646" w14:textId="77777777" w:rsidR="00606068" w:rsidRPr="00BA7F4E" w:rsidRDefault="00606068" w:rsidP="00B71F31"/>
        </w:tc>
      </w:tr>
      <w:tr w:rsidR="00606068" w:rsidRPr="00BA7F4E" w14:paraId="56B5F45A" w14:textId="77777777" w:rsidTr="541CAECE">
        <w:tc>
          <w:tcPr>
            <w:tcW w:w="2297" w:type="dxa"/>
            <w:shd w:val="clear" w:color="auto" w:fill="auto"/>
          </w:tcPr>
          <w:p w14:paraId="2F9F9351" w14:textId="77777777" w:rsidR="00606068" w:rsidRPr="00BA7F4E" w:rsidRDefault="00606068" w:rsidP="00B71F31">
            <w:r>
              <w:t xml:space="preserve">Women </w:t>
            </w:r>
          </w:p>
        </w:tc>
        <w:tc>
          <w:tcPr>
            <w:tcW w:w="2400" w:type="dxa"/>
            <w:shd w:val="clear" w:color="auto" w:fill="auto"/>
          </w:tcPr>
          <w:p w14:paraId="4CB30C1E" w14:textId="3F9157C7" w:rsidR="00606068" w:rsidRPr="00BA7F4E" w:rsidRDefault="5B2B2CB5"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opportunities in local communities to develop peer support and engage in learning and leisure opportunities.</w:t>
            </w:r>
          </w:p>
          <w:p w14:paraId="1C8A4122" w14:textId="465942F2" w:rsidR="00606068" w:rsidRPr="00BA7F4E" w:rsidRDefault="00606068" w:rsidP="24FB3D9E">
            <w:pPr>
              <w:rPr>
                <w:rFonts w:asciiTheme="majorHAnsi" w:eastAsiaTheme="majorEastAsia" w:hAnsiTheme="majorHAnsi" w:cstheme="majorBidi"/>
                <w:sz w:val="22"/>
                <w:szCs w:val="22"/>
              </w:rPr>
            </w:pPr>
          </w:p>
          <w:p w14:paraId="08CE6F91" w14:textId="3B7D6F35" w:rsidR="00606068" w:rsidRPr="00BA7F4E" w:rsidRDefault="5B2B2CB5"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participation in community structures and decision making</w:t>
            </w:r>
          </w:p>
        </w:tc>
        <w:tc>
          <w:tcPr>
            <w:tcW w:w="2336" w:type="dxa"/>
            <w:shd w:val="clear" w:color="auto" w:fill="auto"/>
          </w:tcPr>
          <w:p w14:paraId="61CDCEAD" w14:textId="5B71EA3D" w:rsidR="00606068" w:rsidRPr="00C6525B" w:rsidRDefault="00606068" w:rsidP="00B71F31">
            <w:pPr>
              <w:rPr>
                <w:color w:val="FF0000"/>
              </w:rPr>
            </w:pPr>
          </w:p>
        </w:tc>
        <w:tc>
          <w:tcPr>
            <w:tcW w:w="2095" w:type="dxa"/>
          </w:tcPr>
          <w:p w14:paraId="6BB9E253" w14:textId="3401B9E0" w:rsidR="00606068" w:rsidRPr="00BA7F4E" w:rsidRDefault="00606068" w:rsidP="00B71F31"/>
        </w:tc>
      </w:tr>
      <w:tr w:rsidR="00606068" w:rsidRPr="00BA7F4E" w14:paraId="491A1342" w14:textId="77777777" w:rsidTr="541CAECE">
        <w:tc>
          <w:tcPr>
            <w:tcW w:w="2297" w:type="dxa"/>
            <w:shd w:val="clear" w:color="auto" w:fill="auto"/>
          </w:tcPr>
          <w:p w14:paraId="07626624" w14:textId="77777777" w:rsidR="00606068" w:rsidRPr="00BA7F4E" w:rsidRDefault="00606068" w:rsidP="00B71F31">
            <w:r>
              <w:t xml:space="preserve">Men </w:t>
            </w:r>
          </w:p>
        </w:tc>
        <w:tc>
          <w:tcPr>
            <w:tcW w:w="2400" w:type="dxa"/>
            <w:shd w:val="clear" w:color="auto" w:fill="auto"/>
          </w:tcPr>
          <w:p w14:paraId="1964A4E6" w14:textId="3F9157C7" w:rsidR="00606068" w:rsidRPr="00BA7F4E" w:rsidRDefault="1C864784"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opportunities in local communities to develop peer support and engage in learning and leisure opportunities.</w:t>
            </w:r>
          </w:p>
          <w:p w14:paraId="39014901" w14:textId="465942F2" w:rsidR="00606068" w:rsidRPr="00BA7F4E" w:rsidRDefault="00606068" w:rsidP="24FB3D9E">
            <w:pPr>
              <w:rPr>
                <w:rFonts w:asciiTheme="majorHAnsi" w:eastAsiaTheme="majorEastAsia" w:hAnsiTheme="majorHAnsi" w:cstheme="majorBidi"/>
                <w:sz w:val="22"/>
                <w:szCs w:val="22"/>
              </w:rPr>
            </w:pPr>
          </w:p>
          <w:p w14:paraId="23DE523C" w14:textId="08724E3F" w:rsidR="00606068" w:rsidRPr="00BA7F4E" w:rsidRDefault="1C864784"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participation in community structures and decision making.</w:t>
            </w:r>
          </w:p>
        </w:tc>
        <w:tc>
          <w:tcPr>
            <w:tcW w:w="2336" w:type="dxa"/>
            <w:shd w:val="clear" w:color="auto" w:fill="auto"/>
          </w:tcPr>
          <w:p w14:paraId="52E56223" w14:textId="4144A8C2" w:rsidR="00606068" w:rsidRPr="00BA7F4E" w:rsidRDefault="003010D8" w:rsidP="00B71F31">
            <w:r w:rsidRPr="003010D8">
              <w:rPr>
                <w:color w:val="FF0000"/>
              </w:rPr>
              <w:t xml:space="preserve"> </w:t>
            </w:r>
          </w:p>
        </w:tc>
        <w:tc>
          <w:tcPr>
            <w:tcW w:w="2095" w:type="dxa"/>
          </w:tcPr>
          <w:p w14:paraId="07547A01" w14:textId="77777777" w:rsidR="00606068" w:rsidRPr="00BA7F4E" w:rsidRDefault="00606068" w:rsidP="00B71F31"/>
        </w:tc>
      </w:tr>
      <w:tr w:rsidR="00606068" w:rsidRPr="00BA7F4E" w14:paraId="21BB3920" w14:textId="77777777" w:rsidTr="541CAECE">
        <w:tc>
          <w:tcPr>
            <w:tcW w:w="2297" w:type="dxa"/>
            <w:shd w:val="clear" w:color="auto" w:fill="auto"/>
          </w:tcPr>
          <w:p w14:paraId="249133A3" w14:textId="77777777" w:rsidR="00606068" w:rsidRPr="00BA7F4E" w:rsidRDefault="00606068" w:rsidP="00B71F31">
            <w:r>
              <w:t xml:space="preserve">Transgendered </w:t>
            </w:r>
            <w:r>
              <w:lastRenderedPageBreak/>
              <w:t xml:space="preserve">people </w:t>
            </w:r>
          </w:p>
        </w:tc>
        <w:tc>
          <w:tcPr>
            <w:tcW w:w="2400" w:type="dxa"/>
            <w:shd w:val="clear" w:color="auto" w:fill="auto"/>
          </w:tcPr>
          <w:p w14:paraId="06062CAD" w14:textId="55510016" w:rsidR="00606068" w:rsidRPr="00BA7F4E" w:rsidRDefault="756D0150" w:rsidP="628EE7C1">
            <w:pPr>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lastRenderedPageBreak/>
              <w:t xml:space="preserve">Our CLD sector has a </w:t>
            </w:r>
            <w:r w:rsidRPr="628EE7C1">
              <w:rPr>
                <w:rFonts w:asciiTheme="majorHAnsi" w:eastAsiaTheme="majorEastAsia" w:hAnsiTheme="majorHAnsi" w:cstheme="majorBidi"/>
                <w:sz w:val="22"/>
                <w:szCs w:val="22"/>
              </w:rPr>
              <w:lastRenderedPageBreak/>
              <w:t>broad range of services and opportunities targeted at the LGBTQ+ community to support greater levels of visibility, integration and to address issues associated with discrimination and community safety.</w:t>
            </w:r>
          </w:p>
          <w:p w14:paraId="5043CB0F" w14:textId="0E149D76" w:rsidR="00606068" w:rsidRPr="00BA7F4E" w:rsidRDefault="00606068" w:rsidP="628EE7C1"/>
        </w:tc>
        <w:tc>
          <w:tcPr>
            <w:tcW w:w="2336" w:type="dxa"/>
            <w:shd w:val="clear" w:color="auto" w:fill="auto"/>
          </w:tcPr>
          <w:p w14:paraId="07459315" w14:textId="5E8528CA" w:rsidR="00606068" w:rsidRPr="00BA7F4E" w:rsidRDefault="00606068" w:rsidP="005617B2"/>
        </w:tc>
        <w:tc>
          <w:tcPr>
            <w:tcW w:w="2095" w:type="dxa"/>
          </w:tcPr>
          <w:p w14:paraId="6537F28F" w14:textId="77777777" w:rsidR="00606068" w:rsidRPr="00BA7F4E" w:rsidRDefault="00606068" w:rsidP="00B71F31"/>
        </w:tc>
      </w:tr>
      <w:tr w:rsidR="00606068" w:rsidRPr="00BA7F4E" w14:paraId="3AE3121F" w14:textId="77777777" w:rsidTr="541CAECE">
        <w:tc>
          <w:tcPr>
            <w:tcW w:w="2297" w:type="dxa"/>
            <w:shd w:val="clear" w:color="auto" w:fill="auto"/>
          </w:tcPr>
          <w:p w14:paraId="187F2CF7" w14:textId="77777777" w:rsidR="00606068" w:rsidRPr="00BA7F4E" w:rsidRDefault="00606068" w:rsidP="00B71F31">
            <w:r>
              <w:t>Race (includes gypsy travellers)</w:t>
            </w:r>
          </w:p>
        </w:tc>
        <w:tc>
          <w:tcPr>
            <w:tcW w:w="2400" w:type="dxa"/>
            <w:shd w:val="clear" w:color="auto" w:fill="auto"/>
          </w:tcPr>
          <w:p w14:paraId="6DFB9E20" w14:textId="65C00F73" w:rsidR="00606068" w:rsidRPr="00BA7F4E" w:rsidRDefault="6BF179C1" w:rsidP="628EE7C1">
            <w:pPr>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t xml:space="preserve">CLD activity and programmes </w:t>
            </w:r>
            <w:proofErr w:type="gramStart"/>
            <w:r w:rsidRPr="628EE7C1">
              <w:rPr>
                <w:rFonts w:asciiTheme="majorHAnsi" w:eastAsiaTheme="majorEastAsia" w:hAnsiTheme="majorHAnsi" w:cstheme="majorBidi"/>
                <w:sz w:val="22"/>
                <w:szCs w:val="22"/>
              </w:rPr>
              <w:t>enable  individuals</w:t>
            </w:r>
            <w:proofErr w:type="gramEnd"/>
            <w:r w:rsidRPr="628EE7C1">
              <w:rPr>
                <w:rFonts w:asciiTheme="majorHAnsi" w:eastAsiaTheme="majorEastAsia" w:hAnsiTheme="majorHAnsi" w:cstheme="majorBidi"/>
                <w:sz w:val="22"/>
                <w:szCs w:val="22"/>
              </w:rPr>
              <w:t xml:space="preserve"> and communities tackle discrimination, and support the promotion of rights, equalities and equity, increase community integration and acceptance and build</w:t>
            </w:r>
            <w:r w:rsidR="173B9224" w:rsidRPr="628EE7C1">
              <w:rPr>
                <w:rFonts w:asciiTheme="majorHAnsi" w:eastAsiaTheme="majorEastAsia" w:hAnsiTheme="majorHAnsi" w:cstheme="majorBidi"/>
                <w:sz w:val="22"/>
                <w:szCs w:val="22"/>
              </w:rPr>
              <w:t xml:space="preserve"> learning and understanding of cultural practices and heritage.</w:t>
            </w:r>
            <w:r w:rsidR="1480C8BC" w:rsidRPr="628EE7C1">
              <w:rPr>
                <w:rFonts w:asciiTheme="majorHAnsi" w:eastAsiaTheme="majorEastAsia" w:hAnsiTheme="majorHAnsi" w:cstheme="majorBidi"/>
                <w:sz w:val="22"/>
                <w:szCs w:val="22"/>
              </w:rPr>
              <w:t xml:space="preserve"> The CLD sector also support families and individuals whose first language is not English, to develop their language and literacy skills.</w:t>
            </w:r>
          </w:p>
        </w:tc>
        <w:tc>
          <w:tcPr>
            <w:tcW w:w="2336" w:type="dxa"/>
            <w:shd w:val="clear" w:color="auto" w:fill="auto"/>
          </w:tcPr>
          <w:p w14:paraId="70DF9E56" w14:textId="11290AB3" w:rsidR="00606068" w:rsidRPr="00BA7F4E" w:rsidRDefault="00606068" w:rsidP="005617B2"/>
        </w:tc>
        <w:tc>
          <w:tcPr>
            <w:tcW w:w="2095" w:type="dxa"/>
          </w:tcPr>
          <w:p w14:paraId="44E871BC" w14:textId="77777777" w:rsidR="00606068" w:rsidRPr="00BA7F4E" w:rsidRDefault="00606068" w:rsidP="00B71F31"/>
        </w:tc>
      </w:tr>
      <w:tr w:rsidR="00606068" w:rsidRPr="00BA7F4E" w14:paraId="1F423993" w14:textId="77777777" w:rsidTr="541CAECE">
        <w:tc>
          <w:tcPr>
            <w:tcW w:w="2297" w:type="dxa"/>
            <w:shd w:val="clear" w:color="auto" w:fill="auto"/>
          </w:tcPr>
          <w:p w14:paraId="7E07B87A" w14:textId="77777777" w:rsidR="00606068" w:rsidRPr="00BA7F4E" w:rsidRDefault="00606068" w:rsidP="00B71F31">
            <w:r>
              <w:t xml:space="preserve">Age (including older people aged 60+) </w:t>
            </w:r>
          </w:p>
        </w:tc>
        <w:tc>
          <w:tcPr>
            <w:tcW w:w="2400" w:type="dxa"/>
            <w:shd w:val="clear" w:color="auto" w:fill="auto"/>
          </w:tcPr>
          <w:p w14:paraId="144A5D23" w14:textId="0BC68678" w:rsidR="00606068" w:rsidRPr="00BA7F4E" w:rsidRDefault="223496C6"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opportunities to share and influence how they want their communities to develop and the support they would like to see in place locally.</w:t>
            </w:r>
          </w:p>
        </w:tc>
        <w:tc>
          <w:tcPr>
            <w:tcW w:w="2336" w:type="dxa"/>
            <w:shd w:val="clear" w:color="auto" w:fill="auto"/>
          </w:tcPr>
          <w:p w14:paraId="738610EB" w14:textId="1A4F578C" w:rsidR="00606068" w:rsidRPr="00BA7F4E" w:rsidRDefault="1102980A" w:rsidP="628EE7C1">
            <w:pPr>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t>Work with older adults is identified as an area of unmet need within the plan. This is due to resource allocation being primarily focused on education recovery with young people and younger adults.</w:t>
            </w:r>
          </w:p>
        </w:tc>
        <w:tc>
          <w:tcPr>
            <w:tcW w:w="2095" w:type="dxa"/>
          </w:tcPr>
          <w:p w14:paraId="637805D2" w14:textId="77777777" w:rsidR="00606068" w:rsidRPr="00BA7F4E" w:rsidRDefault="00606068" w:rsidP="00B71F31"/>
        </w:tc>
      </w:tr>
      <w:tr w:rsidR="00606068" w:rsidRPr="00BA7F4E" w14:paraId="64EEDC9C" w14:textId="77777777" w:rsidTr="541CAECE">
        <w:trPr>
          <w:trHeight w:val="5670"/>
        </w:trPr>
        <w:tc>
          <w:tcPr>
            <w:tcW w:w="2297" w:type="dxa"/>
            <w:shd w:val="clear" w:color="auto" w:fill="auto"/>
          </w:tcPr>
          <w:p w14:paraId="7A725C0E" w14:textId="77777777" w:rsidR="00606068" w:rsidRPr="00BA7F4E" w:rsidRDefault="00606068" w:rsidP="00B71F31">
            <w:r>
              <w:lastRenderedPageBreak/>
              <w:t xml:space="preserve">Children and young people </w:t>
            </w:r>
          </w:p>
        </w:tc>
        <w:tc>
          <w:tcPr>
            <w:tcW w:w="2400" w:type="dxa"/>
            <w:shd w:val="clear" w:color="auto" w:fill="auto"/>
          </w:tcPr>
          <w:p w14:paraId="463F29E8" w14:textId="02552082" w:rsidR="00606068" w:rsidRPr="00BA7F4E" w:rsidRDefault="084E013A" w:rsidP="628EE7C1">
            <w:pPr>
              <w:spacing w:line="259" w:lineRule="auto"/>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t>CLD activity with children and young people is primarily aimed at children aged 8 – 11 years and young people aged 12 – 21 years. Typical activity areas include traditional youth clubs, work in a</w:t>
            </w:r>
            <w:r w:rsidR="5D1ED724" w:rsidRPr="628EE7C1">
              <w:rPr>
                <w:rFonts w:asciiTheme="majorHAnsi" w:eastAsiaTheme="majorEastAsia" w:hAnsiTheme="majorHAnsi" w:cstheme="majorBidi"/>
                <w:sz w:val="22"/>
                <w:szCs w:val="22"/>
              </w:rPr>
              <w:t xml:space="preserve"> </w:t>
            </w:r>
            <w:proofErr w:type="gramStart"/>
            <w:r w:rsidR="5D1ED724" w:rsidRPr="628EE7C1">
              <w:rPr>
                <w:rFonts w:asciiTheme="majorHAnsi" w:eastAsiaTheme="majorEastAsia" w:hAnsiTheme="majorHAnsi" w:cstheme="majorBidi"/>
                <w:sz w:val="22"/>
                <w:szCs w:val="22"/>
              </w:rPr>
              <w:t>schools</w:t>
            </w:r>
            <w:proofErr w:type="gramEnd"/>
            <w:r w:rsidR="5D1ED724" w:rsidRPr="628EE7C1">
              <w:rPr>
                <w:rFonts w:asciiTheme="majorHAnsi" w:eastAsiaTheme="majorEastAsia" w:hAnsiTheme="majorHAnsi" w:cstheme="majorBidi"/>
                <w:sz w:val="22"/>
                <w:szCs w:val="22"/>
              </w:rPr>
              <w:t xml:space="preserve"> context, supporting young people transitioning from school into </w:t>
            </w:r>
            <w:r w:rsidR="73905AA3" w:rsidRPr="628EE7C1">
              <w:rPr>
                <w:rFonts w:asciiTheme="majorHAnsi" w:eastAsiaTheme="majorEastAsia" w:hAnsiTheme="majorHAnsi" w:cstheme="majorBidi"/>
                <w:sz w:val="22"/>
                <w:szCs w:val="22"/>
              </w:rPr>
              <w:t>jobs, training or further learning and support for marginalised thematic communities of young people.</w:t>
            </w:r>
          </w:p>
        </w:tc>
        <w:tc>
          <w:tcPr>
            <w:tcW w:w="2336" w:type="dxa"/>
            <w:shd w:val="clear" w:color="auto" w:fill="auto"/>
          </w:tcPr>
          <w:p w14:paraId="3B7B4B86" w14:textId="77777777" w:rsidR="00606068" w:rsidRPr="00BA7F4E" w:rsidRDefault="00606068" w:rsidP="00B71F31"/>
        </w:tc>
        <w:tc>
          <w:tcPr>
            <w:tcW w:w="2095" w:type="dxa"/>
          </w:tcPr>
          <w:p w14:paraId="3A0FF5F2" w14:textId="77777777" w:rsidR="00606068" w:rsidRPr="00BA7F4E" w:rsidRDefault="00606068" w:rsidP="00B71F31"/>
        </w:tc>
      </w:tr>
      <w:tr w:rsidR="00606068" w:rsidRPr="00BA7F4E" w14:paraId="76D6A895" w14:textId="77777777" w:rsidTr="541CAECE">
        <w:tc>
          <w:tcPr>
            <w:tcW w:w="2297" w:type="dxa"/>
            <w:shd w:val="clear" w:color="auto" w:fill="auto"/>
          </w:tcPr>
          <w:p w14:paraId="3F5E0B98" w14:textId="77777777" w:rsidR="00606068" w:rsidRPr="00BA7F4E" w:rsidRDefault="00606068" w:rsidP="00B71F31">
            <w:r>
              <w:t xml:space="preserve">Religion or belief </w:t>
            </w:r>
          </w:p>
        </w:tc>
        <w:tc>
          <w:tcPr>
            <w:tcW w:w="2400" w:type="dxa"/>
            <w:shd w:val="clear" w:color="auto" w:fill="auto"/>
          </w:tcPr>
          <w:p w14:paraId="5630AD66" w14:textId="0BEBE7A6" w:rsidR="00606068" w:rsidRPr="00BA7F4E" w:rsidRDefault="2A2D0736" w:rsidP="628EE7C1">
            <w:pPr>
              <w:rPr>
                <w:rFonts w:asciiTheme="majorHAnsi" w:eastAsiaTheme="majorEastAsia" w:hAnsiTheme="majorHAnsi" w:cstheme="majorBidi"/>
                <w:sz w:val="22"/>
                <w:szCs w:val="22"/>
              </w:rPr>
            </w:pPr>
            <w:r w:rsidRPr="628EE7C1">
              <w:rPr>
                <w:rFonts w:asciiTheme="majorHAnsi" w:eastAsiaTheme="majorEastAsia" w:hAnsiTheme="majorHAnsi" w:cstheme="majorBidi"/>
                <w:sz w:val="22"/>
                <w:szCs w:val="22"/>
              </w:rPr>
              <w:t xml:space="preserve">CLD activity and programmes </w:t>
            </w:r>
            <w:proofErr w:type="gramStart"/>
            <w:r w:rsidRPr="628EE7C1">
              <w:rPr>
                <w:rFonts w:asciiTheme="majorHAnsi" w:eastAsiaTheme="majorEastAsia" w:hAnsiTheme="majorHAnsi" w:cstheme="majorBidi"/>
                <w:sz w:val="22"/>
                <w:szCs w:val="22"/>
              </w:rPr>
              <w:t>enable  individuals</w:t>
            </w:r>
            <w:proofErr w:type="gramEnd"/>
            <w:r w:rsidRPr="628EE7C1">
              <w:rPr>
                <w:rFonts w:asciiTheme="majorHAnsi" w:eastAsiaTheme="majorEastAsia" w:hAnsiTheme="majorHAnsi" w:cstheme="majorBidi"/>
                <w:sz w:val="22"/>
                <w:szCs w:val="22"/>
              </w:rPr>
              <w:t xml:space="preserve"> and communities tackle discrimination, and support the promotion of rights, equalities and equity, increase community integration and acceptance and build learning and understanding of religious practice.</w:t>
            </w:r>
          </w:p>
        </w:tc>
        <w:tc>
          <w:tcPr>
            <w:tcW w:w="2336" w:type="dxa"/>
            <w:shd w:val="clear" w:color="auto" w:fill="auto"/>
          </w:tcPr>
          <w:p w14:paraId="61829076" w14:textId="7D1507E3" w:rsidR="00606068" w:rsidRPr="00BA7F4E" w:rsidRDefault="00606068" w:rsidP="00B1696E"/>
        </w:tc>
        <w:tc>
          <w:tcPr>
            <w:tcW w:w="2095" w:type="dxa"/>
          </w:tcPr>
          <w:p w14:paraId="2BA226A1" w14:textId="77777777" w:rsidR="00606068" w:rsidRPr="00BA7F4E" w:rsidRDefault="00606068" w:rsidP="00B71F31"/>
        </w:tc>
      </w:tr>
      <w:tr w:rsidR="00606068" w:rsidRPr="00BA7F4E" w14:paraId="0B30966D" w14:textId="77777777" w:rsidTr="541CAECE">
        <w:tc>
          <w:tcPr>
            <w:tcW w:w="2297" w:type="dxa"/>
            <w:shd w:val="clear" w:color="auto" w:fill="auto"/>
          </w:tcPr>
          <w:p w14:paraId="5EAF43BB" w14:textId="77777777" w:rsidR="00606068" w:rsidRPr="00BA7F4E" w:rsidRDefault="00606068" w:rsidP="00B71F31">
            <w:r>
              <w:t>Pregnancy &amp; maternity</w:t>
            </w:r>
          </w:p>
        </w:tc>
        <w:tc>
          <w:tcPr>
            <w:tcW w:w="2400" w:type="dxa"/>
            <w:shd w:val="clear" w:color="auto" w:fill="auto"/>
          </w:tcPr>
          <w:p w14:paraId="1D600B4C" w14:textId="02A25345" w:rsidR="00606068" w:rsidRPr="00BA7F4E" w:rsidRDefault="604AF858"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Increased opportunities to share and influence how they want their communities to develop and the support they would like to see in place locally.</w:t>
            </w:r>
          </w:p>
          <w:p w14:paraId="17AD93B2" w14:textId="3E965212" w:rsidR="00606068" w:rsidRPr="00BA7F4E" w:rsidRDefault="00606068" w:rsidP="24FB3D9E"/>
        </w:tc>
        <w:tc>
          <w:tcPr>
            <w:tcW w:w="2336" w:type="dxa"/>
            <w:shd w:val="clear" w:color="auto" w:fill="auto"/>
          </w:tcPr>
          <w:p w14:paraId="0DE4B5B7" w14:textId="5CE42352" w:rsidR="00606068" w:rsidRPr="00BA7F4E" w:rsidRDefault="1C50793F"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Existing limitations around supporting new and expectant mums to attend CLD activity.</w:t>
            </w:r>
          </w:p>
        </w:tc>
        <w:tc>
          <w:tcPr>
            <w:tcW w:w="2095" w:type="dxa"/>
          </w:tcPr>
          <w:p w14:paraId="66204FF1" w14:textId="77777777" w:rsidR="00606068" w:rsidRPr="00BA7F4E" w:rsidRDefault="00606068" w:rsidP="00B71F31"/>
        </w:tc>
      </w:tr>
      <w:tr w:rsidR="00606068" w:rsidRPr="00BA7F4E" w14:paraId="5A0B0A38" w14:textId="77777777" w:rsidTr="541CAECE">
        <w:tc>
          <w:tcPr>
            <w:tcW w:w="2297" w:type="dxa"/>
            <w:tcBorders>
              <w:bottom w:val="single" w:sz="4" w:space="0" w:color="auto"/>
            </w:tcBorders>
            <w:shd w:val="clear" w:color="auto" w:fill="auto"/>
          </w:tcPr>
          <w:p w14:paraId="0BFB0BA0" w14:textId="77777777" w:rsidR="00606068" w:rsidRDefault="00606068" w:rsidP="00606068">
            <w:r>
              <w:t>Marriage &amp; civil partnership</w:t>
            </w:r>
          </w:p>
        </w:tc>
        <w:tc>
          <w:tcPr>
            <w:tcW w:w="2400" w:type="dxa"/>
            <w:tcBorders>
              <w:bottom w:val="single" w:sz="4" w:space="0" w:color="auto"/>
            </w:tcBorders>
            <w:shd w:val="clear" w:color="auto" w:fill="auto"/>
          </w:tcPr>
          <w:p w14:paraId="2DBF0D7D" w14:textId="77777777" w:rsidR="00606068" w:rsidRPr="00BA7F4E" w:rsidRDefault="00606068" w:rsidP="00606068"/>
        </w:tc>
        <w:tc>
          <w:tcPr>
            <w:tcW w:w="2336" w:type="dxa"/>
            <w:tcBorders>
              <w:bottom w:val="single" w:sz="4" w:space="0" w:color="auto"/>
            </w:tcBorders>
            <w:shd w:val="clear" w:color="auto" w:fill="auto"/>
          </w:tcPr>
          <w:p w14:paraId="6B62F1B3" w14:textId="77777777" w:rsidR="00606068" w:rsidRPr="00BA7F4E" w:rsidRDefault="00606068" w:rsidP="00606068"/>
        </w:tc>
        <w:tc>
          <w:tcPr>
            <w:tcW w:w="2095" w:type="dxa"/>
            <w:tcBorders>
              <w:bottom w:val="single" w:sz="4" w:space="0" w:color="auto"/>
            </w:tcBorders>
          </w:tcPr>
          <w:p w14:paraId="02F2C34E" w14:textId="58FD801B" w:rsidR="00606068" w:rsidRPr="00BA7F4E" w:rsidRDefault="6EB450A9" w:rsidP="00606068">
            <w:r w:rsidRPr="628EE7C1">
              <w:rPr>
                <w:rFonts w:asciiTheme="majorHAnsi" w:eastAsiaTheme="majorEastAsia" w:hAnsiTheme="majorHAnsi" w:cstheme="majorBidi"/>
                <w:sz w:val="22"/>
                <w:szCs w:val="22"/>
              </w:rPr>
              <w:t>There will be no anticipated, or planned for, impacts on families or individuals with these protected characteristics.</w:t>
            </w:r>
          </w:p>
        </w:tc>
      </w:tr>
    </w:tbl>
    <w:p w14:paraId="680A4E5D" w14:textId="77777777" w:rsidR="00660885" w:rsidRDefault="00660885" w:rsidP="00606068"/>
    <w:p w14:paraId="4DD8DD05" w14:textId="7570E262" w:rsidR="541CAECE" w:rsidRDefault="541CAECE" w:rsidP="541CAECE"/>
    <w:p w14:paraId="7CC77CEF" w14:textId="2863B51C" w:rsidR="541CAECE" w:rsidRDefault="541CAECE" w:rsidP="541CAECE"/>
    <w:p w14:paraId="71B30324" w14:textId="77777777" w:rsidR="00EF3C94" w:rsidRDefault="00EF3C94" w:rsidP="00606068">
      <w:r>
        <w:t xml:space="preserve">Please also consider the impact of the policy change in relation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45"/>
        <w:gridCol w:w="2426"/>
        <w:gridCol w:w="1947"/>
      </w:tblGrid>
      <w:tr w:rsidR="00606068" w:rsidRPr="00BA7F4E" w14:paraId="32FEDDE2" w14:textId="77777777" w:rsidTr="541CAECE">
        <w:tc>
          <w:tcPr>
            <w:tcW w:w="2365" w:type="dxa"/>
            <w:tcBorders>
              <w:top w:val="single" w:sz="4" w:space="0" w:color="auto"/>
              <w:left w:val="single" w:sz="4" w:space="0" w:color="auto"/>
              <w:right w:val="single" w:sz="4" w:space="0" w:color="auto"/>
            </w:tcBorders>
            <w:shd w:val="clear" w:color="auto" w:fill="auto"/>
          </w:tcPr>
          <w:p w14:paraId="19219836" w14:textId="77777777" w:rsidR="00606068" w:rsidRPr="00BA7F4E" w:rsidRDefault="00606068" w:rsidP="00606068"/>
        </w:tc>
        <w:tc>
          <w:tcPr>
            <w:tcW w:w="2313" w:type="dxa"/>
            <w:tcBorders>
              <w:top w:val="single" w:sz="4" w:space="0" w:color="auto"/>
              <w:left w:val="single" w:sz="4" w:space="0" w:color="auto"/>
              <w:right w:val="single" w:sz="4" w:space="0" w:color="auto"/>
            </w:tcBorders>
            <w:shd w:val="clear" w:color="auto" w:fill="auto"/>
          </w:tcPr>
          <w:p w14:paraId="2A3DFE80" w14:textId="77777777" w:rsidR="00606068" w:rsidRPr="00BA7F4E" w:rsidRDefault="00606068" w:rsidP="00606068">
            <w:r>
              <w:t>Positive impact</w:t>
            </w:r>
          </w:p>
        </w:tc>
        <w:tc>
          <w:tcPr>
            <w:tcW w:w="2410" w:type="dxa"/>
            <w:tcBorders>
              <w:top w:val="single" w:sz="4" w:space="0" w:color="auto"/>
              <w:left w:val="single" w:sz="4" w:space="0" w:color="auto"/>
              <w:right w:val="single" w:sz="4" w:space="0" w:color="auto"/>
            </w:tcBorders>
            <w:shd w:val="clear" w:color="auto" w:fill="auto"/>
          </w:tcPr>
          <w:p w14:paraId="6357E513" w14:textId="77777777" w:rsidR="00606068" w:rsidRPr="00BA7F4E" w:rsidRDefault="00606068" w:rsidP="00606068">
            <w:r>
              <w:t xml:space="preserve">Negative impact </w:t>
            </w:r>
          </w:p>
        </w:tc>
        <w:tc>
          <w:tcPr>
            <w:tcW w:w="2040" w:type="dxa"/>
            <w:tcBorders>
              <w:top w:val="single" w:sz="4" w:space="0" w:color="auto"/>
              <w:left w:val="single" w:sz="4" w:space="0" w:color="auto"/>
              <w:right w:val="single" w:sz="4" w:space="0" w:color="auto"/>
            </w:tcBorders>
          </w:tcPr>
          <w:p w14:paraId="2124A3B0" w14:textId="77777777" w:rsidR="00606068" w:rsidRDefault="00606068" w:rsidP="00606068">
            <w:r>
              <w:t xml:space="preserve">No impact </w:t>
            </w:r>
          </w:p>
        </w:tc>
      </w:tr>
      <w:tr w:rsidR="00606068" w:rsidRPr="00BA7F4E" w14:paraId="4E9F7FEF" w14:textId="77777777" w:rsidTr="541CAECE">
        <w:tc>
          <w:tcPr>
            <w:tcW w:w="2365" w:type="dxa"/>
            <w:shd w:val="clear" w:color="auto" w:fill="auto"/>
          </w:tcPr>
          <w:p w14:paraId="40FB29DB" w14:textId="77777777" w:rsidR="00606068" w:rsidRDefault="00606068" w:rsidP="00606068">
            <w:r>
              <w:t xml:space="preserve">Looked after children and care leavers </w:t>
            </w:r>
          </w:p>
        </w:tc>
        <w:tc>
          <w:tcPr>
            <w:tcW w:w="2313" w:type="dxa"/>
            <w:shd w:val="clear" w:color="auto" w:fill="auto"/>
          </w:tcPr>
          <w:p w14:paraId="0270130A" w14:textId="656CFE1D" w:rsidR="00606068" w:rsidRPr="00BA7F4E" w:rsidRDefault="4935FFEF"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Encouraging greater involvement in community activity.</w:t>
            </w:r>
          </w:p>
          <w:p w14:paraId="6EE64A2A" w14:textId="04BC328E" w:rsidR="00606068" w:rsidRPr="00BA7F4E" w:rsidRDefault="00606068" w:rsidP="541CAECE">
            <w:pPr>
              <w:rPr>
                <w:rFonts w:asciiTheme="majorHAnsi" w:eastAsiaTheme="majorEastAsia" w:hAnsiTheme="majorHAnsi" w:cstheme="majorBidi"/>
                <w:sz w:val="22"/>
                <w:szCs w:val="22"/>
              </w:rPr>
            </w:pPr>
          </w:p>
          <w:p w14:paraId="36B48336" w14:textId="593B4261" w:rsidR="00606068" w:rsidRPr="00BA7F4E" w:rsidRDefault="4935FFEF"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Greater levels of community engagement will lead to strengthened voice of disabled communities in CLD activity.</w:t>
            </w:r>
          </w:p>
          <w:p w14:paraId="296FEF7D" w14:textId="107E1097" w:rsidR="00606068" w:rsidRPr="00BA7F4E" w:rsidRDefault="00606068" w:rsidP="24FB3D9E"/>
        </w:tc>
        <w:tc>
          <w:tcPr>
            <w:tcW w:w="2410" w:type="dxa"/>
            <w:shd w:val="clear" w:color="auto" w:fill="auto"/>
          </w:tcPr>
          <w:p w14:paraId="7194DBDC" w14:textId="34084BE0" w:rsidR="00606068" w:rsidRPr="00BA7F4E" w:rsidRDefault="0AB5B23E"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R</w:t>
            </w:r>
            <w:r w:rsidR="4935FFEF" w:rsidRPr="541CAECE">
              <w:rPr>
                <w:rFonts w:asciiTheme="majorHAnsi" w:eastAsiaTheme="majorEastAsia" w:hAnsiTheme="majorHAnsi" w:cstheme="majorBidi"/>
                <w:sz w:val="22"/>
                <w:szCs w:val="22"/>
              </w:rPr>
              <w:t>ecording of attendance/participation is variable across the CLD sector. Limited data and intelligence around this community in a CLD context.</w:t>
            </w:r>
          </w:p>
        </w:tc>
        <w:tc>
          <w:tcPr>
            <w:tcW w:w="2040" w:type="dxa"/>
          </w:tcPr>
          <w:p w14:paraId="769D0D3C" w14:textId="77777777" w:rsidR="00606068" w:rsidRPr="00BA7F4E" w:rsidRDefault="00606068" w:rsidP="00606068"/>
        </w:tc>
      </w:tr>
      <w:tr w:rsidR="00606068" w:rsidRPr="00BA7F4E" w14:paraId="0E5D941C" w14:textId="77777777" w:rsidTr="541CAECE">
        <w:tc>
          <w:tcPr>
            <w:tcW w:w="2365" w:type="dxa"/>
            <w:shd w:val="clear" w:color="auto" w:fill="auto"/>
          </w:tcPr>
          <w:p w14:paraId="12D567BD" w14:textId="77777777" w:rsidR="00606068" w:rsidRDefault="00606068" w:rsidP="00B71F31">
            <w:r>
              <w:t>Privacy</w:t>
            </w:r>
            <w:r w:rsidR="00AE36BC">
              <w:t xml:space="preserve"> (e.g. information security &amp; data protection) </w:t>
            </w:r>
          </w:p>
        </w:tc>
        <w:tc>
          <w:tcPr>
            <w:tcW w:w="2313" w:type="dxa"/>
            <w:shd w:val="clear" w:color="auto" w:fill="auto"/>
          </w:tcPr>
          <w:p w14:paraId="54CD245A" w14:textId="77777777" w:rsidR="00606068" w:rsidRPr="00BA7F4E" w:rsidRDefault="00606068" w:rsidP="00B71F31"/>
        </w:tc>
        <w:tc>
          <w:tcPr>
            <w:tcW w:w="2410" w:type="dxa"/>
            <w:shd w:val="clear" w:color="auto" w:fill="auto"/>
          </w:tcPr>
          <w:p w14:paraId="1231BE67" w14:textId="77777777" w:rsidR="00606068" w:rsidRPr="00BA7F4E" w:rsidRDefault="00606068" w:rsidP="00B71F31"/>
        </w:tc>
        <w:tc>
          <w:tcPr>
            <w:tcW w:w="2040" w:type="dxa"/>
          </w:tcPr>
          <w:p w14:paraId="36FEB5B0" w14:textId="79DDDFAD" w:rsidR="00606068" w:rsidRPr="00BA7F4E" w:rsidRDefault="664562A5" w:rsidP="00B71F31">
            <w:r>
              <w:t>No impact</w:t>
            </w:r>
          </w:p>
        </w:tc>
      </w:tr>
      <w:tr w:rsidR="00606068" w:rsidRPr="00BA7F4E" w14:paraId="59B38BD3" w14:textId="77777777" w:rsidTr="541CAECE">
        <w:tc>
          <w:tcPr>
            <w:tcW w:w="2365" w:type="dxa"/>
            <w:shd w:val="clear" w:color="auto" w:fill="auto"/>
          </w:tcPr>
          <w:p w14:paraId="1035FF58" w14:textId="77777777" w:rsidR="00606068" w:rsidRDefault="00606068" w:rsidP="00B71F31">
            <w:r>
              <w:t xml:space="preserve">Economy </w:t>
            </w:r>
          </w:p>
        </w:tc>
        <w:tc>
          <w:tcPr>
            <w:tcW w:w="2313" w:type="dxa"/>
            <w:shd w:val="clear" w:color="auto" w:fill="auto"/>
          </w:tcPr>
          <w:p w14:paraId="30D7AA69" w14:textId="4C4C6752" w:rsidR="00606068" w:rsidRPr="00BA7F4E" w:rsidRDefault="629C323C" w:rsidP="24FB3D9E">
            <w:pPr>
              <w:rPr>
                <w:rFonts w:asciiTheme="majorHAnsi" w:eastAsiaTheme="majorEastAsia" w:hAnsiTheme="majorHAnsi" w:cstheme="majorBidi"/>
                <w:color w:val="000000" w:themeColor="text1"/>
                <w:sz w:val="22"/>
                <w:szCs w:val="22"/>
              </w:rPr>
            </w:pPr>
            <w:r w:rsidRPr="24FB3D9E">
              <w:rPr>
                <w:rFonts w:asciiTheme="majorHAnsi" w:eastAsiaTheme="majorEastAsia" w:hAnsiTheme="majorHAnsi" w:cstheme="majorBidi"/>
                <w:color w:val="000000" w:themeColor="text1"/>
                <w:sz w:val="22"/>
                <w:szCs w:val="22"/>
              </w:rPr>
              <w:t>Over the next three years the CLD sector will be prioritising work with disadvantaged communities, families and households to improve their capacity to participate in a broad range of learning-based programmes designed to overcome barriers to participation at personal, community and institutional levels.</w:t>
            </w:r>
          </w:p>
        </w:tc>
        <w:tc>
          <w:tcPr>
            <w:tcW w:w="2410" w:type="dxa"/>
            <w:shd w:val="clear" w:color="auto" w:fill="auto"/>
          </w:tcPr>
          <w:p w14:paraId="7196D064" w14:textId="77777777" w:rsidR="00606068" w:rsidRPr="00BA7F4E" w:rsidRDefault="00606068" w:rsidP="00B71F31"/>
        </w:tc>
        <w:tc>
          <w:tcPr>
            <w:tcW w:w="2040" w:type="dxa"/>
          </w:tcPr>
          <w:p w14:paraId="34FF1C98" w14:textId="77777777" w:rsidR="00606068" w:rsidRPr="00BA7F4E" w:rsidRDefault="00606068" w:rsidP="00B71F31"/>
        </w:tc>
      </w:tr>
    </w:tbl>
    <w:p w14:paraId="6D072C0D" w14:textId="77777777" w:rsidR="00606068" w:rsidRDefault="00606068" w:rsidP="00B71F31">
      <w:pPr>
        <w:rPr>
          <w:b/>
        </w:rPr>
      </w:pPr>
    </w:p>
    <w:p w14:paraId="07F96F24" w14:textId="77777777" w:rsidR="00606068" w:rsidRDefault="00EF3C94" w:rsidP="00606068">
      <w:pPr>
        <w:numPr>
          <w:ilvl w:val="0"/>
          <w:numId w:val="11"/>
        </w:numPr>
        <w:ind w:left="357" w:hanging="357"/>
      </w:pPr>
      <w:r>
        <w:tab/>
      </w:r>
      <w:r w:rsidR="00606068">
        <w:t xml:space="preserve">Please record the evidence used to support the impact assessment.  This could include officer knowledge and experience, research, customer surveys, service user engagement.  </w:t>
      </w:r>
    </w:p>
    <w:p w14:paraId="3D280CC7" w14:textId="77777777" w:rsidR="00606068" w:rsidRPr="003F426C" w:rsidRDefault="00606068" w:rsidP="00606068">
      <w:pPr>
        <w:numPr>
          <w:ilvl w:val="0"/>
          <w:numId w:val="11"/>
        </w:numPr>
        <w:ind w:left="357" w:hanging="357"/>
      </w:pPr>
      <w:r>
        <w:tab/>
        <w:t xml:space="preserve">Any evidence gaps can also be highlighted below.  </w:t>
      </w:r>
    </w:p>
    <w:p w14:paraId="48A21919" w14:textId="77777777" w:rsidR="00606068" w:rsidRDefault="00606068" w:rsidP="00606068">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3425"/>
      </w:tblGrid>
      <w:tr w:rsidR="00606068" w:rsidRPr="00414802" w14:paraId="7416AD10" w14:textId="77777777" w:rsidTr="24FB3D9E">
        <w:tc>
          <w:tcPr>
            <w:tcW w:w="5529" w:type="dxa"/>
            <w:shd w:val="clear" w:color="auto" w:fill="auto"/>
          </w:tcPr>
          <w:p w14:paraId="2F6A0601" w14:textId="77777777" w:rsidR="00606068" w:rsidRPr="00414802" w:rsidRDefault="00606068" w:rsidP="00631DA3">
            <w:pPr>
              <w:rPr>
                <w:b/>
              </w:rPr>
            </w:pPr>
            <w:r w:rsidRPr="00414802">
              <w:rPr>
                <w:b/>
              </w:rPr>
              <w:t xml:space="preserve">Evidence used </w:t>
            </w:r>
          </w:p>
        </w:tc>
        <w:tc>
          <w:tcPr>
            <w:tcW w:w="3455" w:type="dxa"/>
            <w:shd w:val="clear" w:color="auto" w:fill="auto"/>
          </w:tcPr>
          <w:p w14:paraId="4EE33C3B" w14:textId="77777777" w:rsidR="00606068" w:rsidRPr="00414802" w:rsidRDefault="00606068" w:rsidP="00631DA3">
            <w:pPr>
              <w:rPr>
                <w:b/>
              </w:rPr>
            </w:pPr>
            <w:r w:rsidRPr="00414802">
              <w:rPr>
                <w:b/>
              </w:rPr>
              <w:t xml:space="preserve">Source of evidence </w:t>
            </w:r>
          </w:p>
        </w:tc>
      </w:tr>
      <w:tr w:rsidR="00606068" w:rsidRPr="00414802" w14:paraId="0135CBF0" w14:textId="77777777" w:rsidTr="24FB3D9E">
        <w:tc>
          <w:tcPr>
            <w:tcW w:w="5529" w:type="dxa"/>
            <w:shd w:val="clear" w:color="auto" w:fill="auto"/>
          </w:tcPr>
          <w:p w14:paraId="21FA6016" w14:textId="563AE4A5" w:rsidR="00606068" w:rsidRPr="003F426C" w:rsidRDefault="3629DC51" w:rsidP="24FB3D9E">
            <w:pPr>
              <w:pStyle w:val="ListParagraph"/>
              <w:numPr>
                <w:ilvl w:val="0"/>
                <w:numId w:val="4"/>
              </w:numPr>
            </w:pPr>
            <w:r>
              <w:t>See attached evidence list.</w:t>
            </w:r>
          </w:p>
        </w:tc>
        <w:tc>
          <w:tcPr>
            <w:tcW w:w="3455" w:type="dxa"/>
            <w:shd w:val="clear" w:color="auto" w:fill="auto"/>
          </w:tcPr>
          <w:p w14:paraId="6BD18F9B" w14:textId="23A58431" w:rsidR="00606068" w:rsidRPr="00414802" w:rsidRDefault="00606068" w:rsidP="24FB3D9E"/>
        </w:tc>
      </w:tr>
      <w:tr w:rsidR="00606068" w:rsidRPr="00414802" w14:paraId="47886996" w14:textId="77777777" w:rsidTr="24FB3D9E">
        <w:tc>
          <w:tcPr>
            <w:tcW w:w="5529" w:type="dxa"/>
            <w:shd w:val="clear" w:color="auto" w:fill="auto"/>
          </w:tcPr>
          <w:p w14:paraId="41BD3FC6" w14:textId="77777777" w:rsidR="00606068" w:rsidRPr="003F426C" w:rsidRDefault="00606068" w:rsidP="00631DA3">
            <w:r>
              <w:t>2.</w:t>
            </w:r>
          </w:p>
        </w:tc>
        <w:tc>
          <w:tcPr>
            <w:tcW w:w="3455" w:type="dxa"/>
            <w:shd w:val="clear" w:color="auto" w:fill="auto"/>
          </w:tcPr>
          <w:p w14:paraId="238601FE" w14:textId="77777777" w:rsidR="00606068" w:rsidRPr="00414802" w:rsidRDefault="00606068" w:rsidP="00631DA3">
            <w:pPr>
              <w:rPr>
                <w:b/>
              </w:rPr>
            </w:pPr>
          </w:p>
        </w:tc>
      </w:tr>
      <w:tr w:rsidR="00606068" w:rsidRPr="00414802" w14:paraId="1F75A9DD" w14:textId="77777777" w:rsidTr="24FB3D9E">
        <w:tc>
          <w:tcPr>
            <w:tcW w:w="5529" w:type="dxa"/>
            <w:shd w:val="clear" w:color="auto" w:fill="auto"/>
          </w:tcPr>
          <w:p w14:paraId="41B07F09" w14:textId="77777777" w:rsidR="00606068" w:rsidRPr="003F426C" w:rsidRDefault="00606068" w:rsidP="00631DA3">
            <w:r>
              <w:t>3.</w:t>
            </w:r>
          </w:p>
        </w:tc>
        <w:tc>
          <w:tcPr>
            <w:tcW w:w="3455" w:type="dxa"/>
            <w:shd w:val="clear" w:color="auto" w:fill="auto"/>
          </w:tcPr>
          <w:p w14:paraId="0F3CABC7" w14:textId="77777777" w:rsidR="00606068" w:rsidRPr="00414802" w:rsidRDefault="00606068" w:rsidP="00631DA3">
            <w:pPr>
              <w:rPr>
                <w:b/>
              </w:rPr>
            </w:pPr>
          </w:p>
        </w:tc>
      </w:tr>
      <w:tr w:rsidR="00606068" w:rsidRPr="00414802" w14:paraId="5F3CF396" w14:textId="77777777" w:rsidTr="24FB3D9E">
        <w:tc>
          <w:tcPr>
            <w:tcW w:w="5529" w:type="dxa"/>
            <w:shd w:val="clear" w:color="auto" w:fill="auto"/>
          </w:tcPr>
          <w:p w14:paraId="6939DF18" w14:textId="77777777" w:rsidR="00606068" w:rsidRPr="00414802" w:rsidRDefault="00606068" w:rsidP="00631DA3">
            <w:pPr>
              <w:rPr>
                <w:b/>
              </w:rPr>
            </w:pPr>
            <w:r w:rsidRPr="00414802">
              <w:rPr>
                <w:b/>
              </w:rPr>
              <w:t xml:space="preserve">Evidence gaps </w:t>
            </w:r>
          </w:p>
        </w:tc>
        <w:tc>
          <w:tcPr>
            <w:tcW w:w="3455" w:type="dxa"/>
            <w:shd w:val="clear" w:color="auto" w:fill="auto"/>
          </w:tcPr>
          <w:p w14:paraId="0272B744" w14:textId="77777777" w:rsidR="00606068" w:rsidRPr="00414802" w:rsidRDefault="00606068" w:rsidP="00631DA3">
            <w:pPr>
              <w:rPr>
                <w:b/>
              </w:rPr>
            </w:pPr>
            <w:r>
              <w:rPr>
                <w:b/>
              </w:rPr>
              <w:t>Planned a</w:t>
            </w:r>
            <w:r w:rsidRPr="00414802">
              <w:rPr>
                <w:b/>
              </w:rPr>
              <w:t xml:space="preserve">ction to address evidence gaps </w:t>
            </w:r>
          </w:p>
        </w:tc>
      </w:tr>
      <w:tr w:rsidR="00606068" w:rsidRPr="00414802" w14:paraId="06B67560" w14:textId="77777777" w:rsidTr="24FB3D9E">
        <w:tc>
          <w:tcPr>
            <w:tcW w:w="5529" w:type="dxa"/>
            <w:shd w:val="clear" w:color="auto" w:fill="auto"/>
          </w:tcPr>
          <w:p w14:paraId="11361BD6" w14:textId="039E6716" w:rsidR="00606068" w:rsidRPr="00414802" w:rsidRDefault="6C2EF745" w:rsidP="24FB3D9E">
            <w:pPr>
              <w:pStyle w:val="ListParagraph"/>
              <w:numPr>
                <w:ilvl w:val="0"/>
                <w:numId w:val="3"/>
              </w:numPr>
            </w:pPr>
            <w:r w:rsidRPr="24FB3D9E">
              <w:rPr>
                <w:rFonts w:asciiTheme="majorHAnsi" w:eastAsiaTheme="majorEastAsia" w:hAnsiTheme="majorHAnsi" w:cstheme="majorBidi"/>
                <w:sz w:val="22"/>
                <w:szCs w:val="22"/>
              </w:rPr>
              <w:t>Localised learning from COVID</w:t>
            </w:r>
          </w:p>
        </w:tc>
        <w:tc>
          <w:tcPr>
            <w:tcW w:w="3455" w:type="dxa"/>
            <w:shd w:val="clear" w:color="auto" w:fill="auto"/>
          </w:tcPr>
          <w:p w14:paraId="5B08B5D1" w14:textId="7AD930FA" w:rsidR="00606068" w:rsidRPr="00414802" w:rsidRDefault="18244B6D"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 xml:space="preserve">Year 1 of the plan is focused on community engagement, </w:t>
            </w:r>
            <w:r w:rsidRPr="24FB3D9E">
              <w:rPr>
                <w:rFonts w:asciiTheme="majorHAnsi" w:eastAsiaTheme="majorEastAsia" w:hAnsiTheme="majorHAnsi" w:cstheme="majorBidi"/>
                <w:sz w:val="22"/>
                <w:szCs w:val="22"/>
              </w:rPr>
              <w:lastRenderedPageBreak/>
              <w:t>consultation and dialogue.</w:t>
            </w:r>
          </w:p>
        </w:tc>
      </w:tr>
      <w:tr w:rsidR="00606068" w:rsidRPr="00414802" w14:paraId="39CDDD6A" w14:textId="77777777" w:rsidTr="24FB3D9E">
        <w:tc>
          <w:tcPr>
            <w:tcW w:w="5529" w:type="dxa"/>
            <w:shd w:val="clear" w:color="auto" w:fill="auto"/>
          </w:tcPr>
          <w:p w14:paraId="7FA6494C" w14:textId="376FF5E1" w:rsidR="00606068" w:rsidRPr="00414802" w:rsidRDefault="00606068" w:rsidP="00631DA3">
            <w:pPr>
              <w:rPr>
                <w:color w:val="FF0000"/>
              </w:rPr>
            </w:pPr>
            <w:r>
              <w:lastRenderedPageBreak/>
              <w:t xml:space="preserve">2. </w:t>
            </w:r>
            <w:r w:rsidR="3F80FFFC" w:rsidRPr="24FB3D9E">
              <w:rPr>
                <w:rFonts w:asciiTheme="majorHAnsi" w:eastAsiaTheme="majorEastAsia" w:hAnsiTheme="majorHAnsi" w:cstheme="majorBidi"/>
                <w:sz w:val="22"/>
                <w:szCs w:val="22"/>
              </w:rPr>
              <w:t>Voices of young people</w:t>
            </w:r>
          </w:p>
        </w:tc>
        <w:tc>
          <w:tcPr>
            <w:tcW w:w="3455" w:type="dxa"/>
            <w:shd w:val="clear" w:color="auto" w:fill="auto"/>
          </w:tcPr>
          <w:p w14:paraId="16DEB4AB" w14:textId="2C4C1449" w:rsidR="00606068" w:rsidRPr="00414802" w:rsidRDefault="3F80FFFC"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Planned research project with young people aged 11 – 21 years.</w:t>
            </w:r>
          </w:p>
        </w:tc>
      </w:tr>
      <w:tr w:rsidR="00606068" w:rsidRPr="00414802" w14:paraId="407EEA5D" w14:textId="77777777" w:rsidTr="24FB3D9E">
        <w:tc>
          <w:tcPr>
            <w:tcW w:w="5529" w:type="dxa"/>
            <w:shd w:val="clear" w:color="auto" w:fill="auto"/>
          </w:tcPr>
          <w:p w14:paraId="4AF02D9B" w14:textId="77777777" w:rsidR="00606068" w:rsidRPr="00414802" w:rsidRDefault="00606068" w:rsidP="00631DA3">
            <w:pPr>
              <w:rPr>
                <w:color w:val="FF0000"/>
              </w:rPr>
            </w:pPr>
            <w:r>
              <w:t>3.</w:t>
            </w:r>
          </w:p>
        </w:tc>
        <w:tc>
          <w:tcPr>
            <w:tcW w:w="3455" w:type="dxa"/>
            <w:shd w:val="clear" w:color="auto" w:fill="auto"/>
          </w:tcPr>
          <w:p w14:paraId="0AD9C6F4" w14:textId="77777777" w:rsidR="00606068" w:rsidRPr="00414802" w:rsidRDefault="00606068" w:rsidP="00631DA3">
            <w:pPr>
              <w:rPr>
                <w:color w:val="FF0000"/>
              </w:rPr>
            </w:pPr>
          </w:p>
        </w:tc>
      </w:tr>
    </w:tbl>
    <w:p w14:paraId="6583A2D2" w14:textId="77777777" w:rsidR="00B46C3F" w:rsidRDefault="00B46C3F" w:rsidP="00B71F31">
      <w:pPr>
        <w:rPr>
          <w:b/>
        </w:rPr>
      </w:pPr>
      <w:r w:rsidRPr="00B46C3F">
        <w:rPr>
          <w:b/>
        </w:rPr>
        <w:t xml:space="preserve">Part 3: Recommendations and Sign Off </w:t>
      </w:r>
    </w:p>
    <w:p w14:paraId="49CCB573" w14:textId="77777777" w:rsidR="007442F6" w:rsidRPr="00B46C3F" w:rsidRDefault="007442F6" w:rsidP="00B71F31">
      <w:pPr>
        <w:rPr>
          <w:b/>
        </w:rPr>
      </w:pPr>
      <w:r>
        <w:rPr>
          <w:rFonts w:cs="Arial"/>
        </w:rPr>
        <w:t xml:space="preserve">(Recommendations should be based on evidence available at the time and aim to mitigate negative impacts or enhance positive impacts on any or </w:t>
      </w:r>
      <w:proofErr w:type="gramStart"/>
      <w:r>
        <w:rPr>
          <w:rFonts w:cs="Arial"/>
        </w:rPr>
        <w:t>all of</w:t>
      </w:r>
      <w:proofErr w:type="gramEnd"/>
      <w:r>
        <w:rPr>
          <w:rFonts w:cs="Arial"/>
        </w:rPr>
        <w:t xml:space="preserve"> the protected characteristics).</w:t>
      </w:r>
    </w:p>
    <w:p w14:paraId="4B1F511A" w14:textId="77777777" w:rsidR="00B46C3F" w:rsidRDefault="00B46C3F" w:rsidP="00B71F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2523"/>
        <w:gridCol w:w="2442"/>
      </w:tblGrid>
      <w:tr w:rsidR="00B46C3F" w14:paraId="07A149D0" w14:textId="77777777" w:rsidTr="24FB3D9E">
        <w:tc>
          <w:tcPr>
            <w:tcW w:w="3969" w:type="dxa"/>
            <w:shd w:val="clear" w:color="auto" w:fill="auto"/>
          </w:tcPr>
          <w:p w14:paraId="42213CAF" w14:textId="77777777" w:rsidR="00B46C3F" w:rsidRDefault="00B46C3F" w:rsidP="00B71F31">
            <w:r>
              <w:t xml:space="preserve">Recommendation </w:t>
            </w:r>
          </w:p>
        </w:tc>
        <w:tc>
          <w:tcPr>
            <w:tcW w:w="2552" w:type="dxa"/>
            <w:shd w:val="clear" w:color="auto" w:fill="auto"/>
          </w:tcPr>
          <w:p w14:paraId="39991F24" w14:textId="77777777" w:rsidR="00B46C3F" w:rsidRDefault="00B46C3F" w:rsidP="00B71F31">
            <w:r>
              <w:t>Lead person</w:t>
            </w:r>
          </w:p>
        </w:tc>
        <w:tc>
          <w:tcPr>
            <w:tcW w:w="2463" w:type="dxa"/>
            <w:shd w:val="clear" w:color="auto" w:fill="auto"/>
          </w:tcPr>
          <w:p w14:paraId="1271892D" w14:textId="77777777" w:rsidR="00B46C3F" w:rsidRDefault="00B46C3F" w:rsidP="00B71F31">
            <w:r>
              <w:t xml:space="preserve">Timescale </w:t>
            </w:r>
          </w:p>
        </w:tc>
      </w:tr>
      <w:tr w:rsidR="00B46C3F" w14:paraId="6E1226D5" w14:textId="77777777" w:rsidTr="24FB3D9E">
        <w:tc>
          <w:tcPr>
            <w:tcW w:w="3969" w:type="dxa"/>
            <w:shd w:val="clear" w:color="auto" w:fill="auto"/>
          </w:tcPr>
          <w:p w14:paraId="233E46A7" w14:textId="42FEF09A" w:rsidR="00B46C3F" w:rsidRDefault="20C415AA" w:rsidP="24FB3D9E">
            <w:pPr>
              <w:pStyle w:val="ListParagraph"/>
              <w:numPr>
                <w:ilvl w:val="0"/>
                <w:numId w:val="2"/>
              </w:numPr>
            </w:pPr>
            <w:r w:rsidRPr="24FB3D9E">
              <w:rPr>
                <w:rFonts w:asciiTheme="majorHAnsi" w:eastAsiaTheme="majorEastAsia" w:hAnsiTheme="majorHAnsi" w:cstheme="majorBidi"/>
                <w:sz w:val="22"/>
                <w:szCs w:val="22"/>
              </w:rPr>
              <w:t>Accessibility guidance for CLD practitioners</w:t>
            </w:r>
          </w:p>
        </w:tc>
        <w:tc>
          <w:tcPr>
            <w:tcW w:w="2552" w:type="dxa"/>
            <w:shd w:val="clear" w:color="auto" w:fill="auto"/>
          </w:tcPr>
          <w:p w14:paraId="65F9C3DC" w14:textId="1937B4E5" w:rsidR="00B46C3F" w:rsidRDefault="7DCF1B4F"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Ross Martin / Nina Munday</w:t>
            </w:r>
          </w:p>
        </w:tc>
        <w:tc>
          <w:tcPr>
            <w:tcW w:w="2463" w:type="dxa"/>
            <w:shd w:val="clear" w:color="auto" w:fill="auto"/>
          </w:tcPr>
          <w:p w14:paraId="5023141B" w14:textId="4095B5F6" w:rsidR="00B46C3F" w:rsidRDefault="7DCF1B4F"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TBC</w:t>
            </w:r>
          </w:p>
        </w:tc>
      </w:tr>
      <w:tr w:rsidR="00B46C3F" w14:paraId="01BF37A6" w14:textId="77777777" w:rsidTr="24FB3D9E">
        <w:tc>
          <w:tcPr>
            <w:tcW w:w="3969" w:type="dxa"/>
            <w:shd w:val="clear" w:color="auto" w:fill="auto"/>
          </w:tcPr>
          <w:p w14:paraId="66CBCBC9" w14:textId="69A313F9" w:rsidR="00B46C3F" w:rsidRDefault="00168843" w:rsidP="24FB3D9E">
            <w:pPr>
              <w:pStyle w:val="ListParagraph"/>
              <w:numPr>
                <w:ilvl w:val="0"/>
                <w:numId w:val="2"/>
              </w:numPr>
            </w:pPr>
            <w:r w:rsidRPr="24FB3D9E">
              <w:rPr>
                <w:rFonts w:asciiTheme="majorHAnsi" w:eastAsiaTheme="majorEastAsia" w:hAnsiTheme="majorHAnsi" w:cstheme="majorBidi"/>
                <w:sz w:val="22"/>
                <w:szCs w:val="22"/>
              </w:rPr>
              <w:t>Standardised monitoring system across CLD partner organisations to demonstrate demographics of participants.</w:t>
            </w:r>
          </w:p>
        </w:tc>
        <w:tc>
          <w:tcPr>
            <w:tcW w:w="2552" w:type="dxa"/>
            <w:shd w:val="clear" w:color="auto" w:fill="auto"/>
          </w:tcPr>
          <w:p w14:paraId="1F3B1409" w14:textId="56A14BC1" w:rsidR="00B46C3F" w:rsidRDefault="09A94D4C"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Lesley Pringle</w:t>
            </w:r>
          </w:p>
        </w:tc>
        <w:tc>
          <w:tcPr>
            <w:tcW w:w="2463" w:type="dxa"/>
            <w:shd w:val="clear" w:color="auto" w:fill="auto"/>
          </w:tcPr>
          <w:p w14:paraId="562C75D1" w14:textId="29052C75" w:rsidR="00B46C3F" w:rsidRDefault="09A94D4C"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March 2023</w:t>
            </w:r>
          </w:p>
        </w:tc>
      </w:tr>
      <w:tr w:rsidR="00B46C3F" w14:paraId="5E26EE8C" w14:textId="77777777" w:rsidTr="24FB3D9E">
        <w:tc>
          <w:tcPr>
            <w:tcW w:w="3969" w:type="dxa"/>
            <w:shd w:val="clear" w:color="auto" w:fill="auto"/>
          </w:tcPr>
          <w:p w14:paraId="33BEE428" w14:textId="5246B9E5" w:rsidR="00B46C3F" w:rsidRDefault="42649DDD" w:rsidP="24FB3D9E">
            <w:pPr>
              <w:pStyle w:val="ListParagraph"/>
              <w:numPr>
                <w:ilvl w:val="0"/>
                <w:numId w:val="2"/>
              </w:num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Workforce development plan for the sector to</w:t>
            </w:r>
            <w:r w:rsidR="3EBB6D74" w:rsidRPr="24FB3D9E">
              <w:rPr>
                <w:rFonts w:asciiTheme="majorHAnsi" w:eastAsiaTheme="majorEastAsia" w:hAnsiTheme="majorHAnsi" w:cstheme="majorBidi"/>
                <w:sz w:val="22"/>
                <w:szCs w:val="22"/>
              </w:rPr>
              <w:t xml:space="preserve"> be established. To</w:t>
            </w:r>
            <w:r w:rsidRPr="24FB3D9E">
              <w:rPr>
                <w:rFonts w:asciiTheme="majorHAnsi" w:eastAsiaTheme="majorEastAsia" w:hAnsiTheme="majorHAnsi" w:cstheme="majorBidi"/>
                <w:sz w:val="22"/>
                <w:szCs w:val="22"/>
              </w:rPr>
              <w:t xml:space="preserve"> include </w:t>
            </w:r>
            <w:r w:rsidR="0342B6E8" w:rsidRPr="24FB3D9E">
              <w:rPr>
                <w:rFonts w:asciiTheme="majorHAnsi" w:eastAsiaTheme="majorEastAsia" w:hAnsiTheme="majorHAnsi" w:cstheme="majorBidi"/>
                <w:sz w:val="22"/>
                <w:szCs w:val="22"/>
              </w:rPr>
              <w:t xml:space="preserve">CPD </w:t>
            </w:r>
            <w:r w:rsidRPr="24FB3D9E">
              <w:rPr>
                <w:rFonts w:asciiTheme="majorHAnsi" w:eastAsiaTheme="majorEastAsia" w:hAnsiTheme="majorHAnsi" w:cstheme="majorBidi"/>
                <w:sz w:val="22"/>
                <w:szCs w:val="22"/>
              </w:rPr>
              <w:t>sessions around the Equality Act and understanding protected characteristics</w:t>
            </w:r>
          </w:p>
        </w:tc>
        <w:tc>
          <w:tcPr>
            <w:tcW w:w="2552" w:type="dxa"/>
            <w:shd w:val="clear" w:color="auto" w:fill="auto"/>
          </w:tcPr>
          <w:p w14:paraId="664355AD" w14:textId="2846CA2D" w:rsidR="00B46C3F" w:rsidRDefault="4DD17EA5"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Vicky Wilson / Lesley Pringle</w:t>
            </w:r>
          </w:p>
        </w:tc>
        <w:tc>
          <w:tcPr>
            <w:tcW w:w="2463" w:type="dxa"/>
            <w:shd w:val="clear" w:color="auto" w:fill="auto"/>
          </w:tcPr>
          <w:p w14:paraId="1A965116" w14:textId="7FD4E441" w:rsidR="00B46C3F" w:rsidRDefault="4DD17EA5"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March 2022</w:t>
            </w:r>
          </w:p>
        </w:tc>
      </w:tr>
      <w:tr w:rsidR="00B46C3F" w14:paraId="0F9ABB3F" w14:textId="77777777" w:rsidTr="24FB3D9E">
        <w:tc>
          <w:tcPr>
            <w:tcW w:w="3969" w:type="dxa"/>
            <w:shd w:val="clear" w:color="auto" w:fill="auto"/>
          </w:tcPr>
          <w:p w14:paraId="5EECEDAA" w14:textId="7756CFE7" w:rsidR="00B46C3F" w:rsidRDefault="7E534D71" w:rsidP="24FB3D9E">
            <w:pPr>
              <w:pStyle w:val="ListParagraph"/>
              <w:numPr>
                <w:ilvl w:val="0"/>
                <w:numId w:val="2"/>
              </w:numPr>
            </w:pPr>
            <w:r w:rsidRPr="24FB3D9E">
              <w:rPr>
                <w:rFonts w:asciiTheme="majorHAnsi" w:eastAsiaTheme="majorEastAsia" w:hAnsiTheme="majorHAnsi" w:cstheme="majorBidi"/>
                <w:sz w:val="22"/>
                <w:szCs w:val="22"/>
              </w:rPr>
              <w:t>Further research around barriers preventing access to CLD activity and programmes.</w:t>
            </w:r>
          </w:p>
        </w:tc>
        <w:tc>
          <w:tcPr>
            <w:tcW w:w="2552" w:type="dxa"/>
            <w:shd w:val="clear" w:color="auto" w:fill="auto"/>
          </w:tcPr>
          <w:p w14:paraId="7DF4E37C" w14:textId="41B5336B" w:rsidR="00B46C3F" w:rsidRDefault="7E534D71"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Ross Martin</w:t>
            </w:r>
          </w:p>
        </w:tc>
        <w:tc>
          <w:tcPr>
            <w:tcW w:w="2463" w:type="dxa"/>
            <w:shd w:val="clear" w:color="auto" w:fill="auto"/>
          </w:tcPr>
          <w:p w14:paraId="44FB30F8" w14:textId="55C1E22B" w:rsidR="00B46C3F" w:rsidRDefault="7E534D71" w:rsidP="24FB3D9E">
            <w:pPr>
              <w:rPr>
                <w:rFonts w:asciiTheme="majorHAnsi" w:eastAsiaTheme="majorEastAsia" w:hAnsiTheme="majorHAnsi" w:cstheme="majorBidi"/>
                <w:sz w:val="22"/>
                <w:szCs w:val="22"/>
              </w:rPr>
            </w:pPr>
            <w:r w:rsidRPr="24FB3D9E">
              <w:rPr>
                <w:rFonts w:asciiTheme="majorHAnsi" w:eastAsiaTheme="majorEastAsia" w:hAnsiTheme="majorHAnsi" w:cstheme="majorBidi"/>
                <w:sz w:val="22"/>
                <w:szCs w:val="22"/>
              </w:rPr>
              <w:t>March 2023</w:t>
            </w:r>
          </w:p>
        </w:tc>
      </w:tr>
      <w:tr w:rsidR="00B46C3F" w14:paraId="56C72689" w14:textId="77777777" w:rsidTr="24FB3D9E">
        <w:tc>
          <w:tcPr>
            <w:tcW w:w="3969" w:type="dxa"/>
            <w:shd w:val="clear" w:color="auto" w:fill="auto"/>
          </w:tcPr>
          <w:p w14:paraId="3127FDAC" w14:textId="77777777" w:rsidR="00B46C3F" w:rsidRDefault="00B46C3F" w:rsidP="00B71F31">
            <w:r>
              <w:t>5.</w:t>
            </w:r>
          </w:p>
        </w:tc>
        <w:tc>
          <w:tcPr>
            <w:tcW w:w="2552" w:type="dxa"/>
            <w:shd w:val="clear" w:color="auto" w:fill="auto"/>
          </w:tcPr>
          <w:p w14:paraId="1DA6542E" w14:textId="77777777" w:rsidR="00B46C3F" w:rsidRDefault="00B46C3F" w:rsidP="00B71F31"/>
        </w:tc>
        <w:tc>
          <w:tcPr>
            <w:tcW w:w="2463" w:type="dxa"/>
            <w:shd w:val="clear" w:color="auto" w:fill="auto"/>
          </w:tcPr>
          <w:p w14:paraId="3041E394" w14:textId="77777777" w:rsidR="00B46C3F" w:rsidRDefault="00B46C3F" w:rsidP="00B71F31"/>
        </w:tc>
      </w:tr>
    </w:tbl>
    <w:p w14:paraId="722B00AE" w14:textId="77777777" w:rsidR="00B46C3F" w:rsidRDefault="00B46C3F" w:rsidP="00B71F31"/>
    <w:p w14:paraId="42C6D796" w14:textId="77777777" w:rsidR="00B46C3F" w:rsidRDefault="00B46C3F" w:rsidP="00B71F31"/>
    <w:p w14:paraId="14DDFC49" w14:textId="77777777" w:rsidR="00B46C3F" w:rsidRPr="005B6667" w:rsidRDefault="00B46C3F" w:rsidP="00B71F31">
      <w:pPr>
        <w:rPr>
          <w:b/>
          <w:u w:val="single"/>
        </w:rPr>
      </w:pPr>
      <w:r w:rsidRPr="005B6667">
        <w:rPr>
          <w:b/>
          <w:u w:val="single"/>
        </w:rPr>
        <w:t xml:space="preserve">Sign off </w:t>
      </w:r>
    </w:p>
    <w:p w14:paraId="54C622EF" w14:textId="77777777" w:rsidR="005B6667" w:rsidRDefault="005B6667" w:rsidP="00B71F31">
      <w:pPr>
        <w:rPr>
          <w:color w:val="FF0000"/>
        </w:rPr>
      </w:pPr>
      <w:r>
        <w:t xml:space="preserve">(By signing off the </w:t>
      </w:r>
      <w:proofErr w:type="spellStart"/>
      <w:r>
        <w:t>EqIA</w:t>
      </w:r>
      <w:proofErr w:type="spellEnd"/>
      <w:r>
        <w:t xml:space="preserve">, you are agreeing that the </w:t>
      </w:r>
      <w:proofErr w:type="spellStart"/>
      <w:r>
        <w:t>EqIA</w:t>
      </w:r>
      <w:proofErr w:type="spellEnd"/>
      <w:r>
        <w:t xml:space="preserve"> represents a thorough and proportionate analysis of the policy based on evidence</w:t>
      </w:r>
      <w:r w:rsidR="00AE36BC">
        <w:t xml:space="preserve"> listed above and </w:t>
      </w:r>
      <w:r>
        <w:t>there is no indication of unlawful practice and the re</w:t>
      </w:r>
      <w:r w:rsidR="00AE36BC">
        <w:t>commendations are proportionate</w:t>
      </w:r>
      <w:r>
        <w:t xml:space="preserve">.  </w:t>
      </w:r>
    </w:p>
    <w:p w14:paraId="6E1831B3" w14:textId="77777777" w:rsidR="00B46C3F" w:rsidRDefault="00B46C3F" w:rsidP="00B71F31">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566"/>
      </w:tblGrid>
      <w:tr w:rsidR="00B46C3F" w:rsidRPr="00876A8D" w14:paraId="428E0537" w14:textId="77777777" w:rsidTr="00A432EA">
        <w:tc>
          <w:tcPr>
            <w:tcW w:w="4395" w:type="dxa"/>
            <w:shd w:val="clear" w:color="auto" w:fill="auto"/>
          </w:tcPr>
          <w:p w14:paraId="15A2381F" w14:textId="77777777" w:rsidR="00B46C3F" w:rsidRPr="00B46C3F" w:rsidRDefault="00B46C3F" w:rsidP="00B71F31">
            <w:r w:rsidRPr="00B46C3F">
              <w:t>Date completed</w:t>
            </w:r>
            <w:r>
              <w:t xml:space="preserve">:  </w:t>
            </w:r>
          </w:p>
        </w:tc>
        <w:tc>
          <w:tcPr>
            <w:tcW w:w="4589" w:type="dxa"/>
            <w:shd w:val="clear" w:color="auto" w:fill="auto"/>
          </w:tcPr>
          <w:p w14:paraId="151723E7" w14:textId="77777777" w:rsidR="00B46C3F" w:rsidRDefault="00B46C3F" w:rsidP="00B71F31">
            <w:r>
              <w:t>Date sent to</w:t>
            </w:r>
            <w:r w:rsidR="007442F6">
              <w:t xml:space="preserve"> Community Investment Team</w:t>
            </w:r>
            <w:r>
              <w:t xml:space="preserve">:  </w:t>
            </w:r>
          </w:p>
          <w:p w14:paraId="5F0C5696" w14:textId="77777777" w:rsidR="00B46C3F" w:rsidRPr="00B46C3F" w:rsidRDefault="00E710E0" w:rsidP="00B71F31">
            <w:hyperlink r:id="rId12" w:history="1">
              <w:r w:rsidR="00B46C3F" w:rsidRPr="00876A8D">
                <w:rPr>
                  <w:rStyle w:val="Hyperlink"/>
                  <w:sz w:val="24"/>
                </w:rPr>
                <w:t>Enquiry.equalities@fife.gov.uk</w:t>
              </w:r>
            </w:hyperlink>
            <w:r w:rsidR="00B46C3F">
              <w:t xml:space="preserve"> </w:t>
            </w:r>
          </w:p>
          <w:p w14:paraId="54E11D2A" w14:textId="77777777" w:rsidR="00B46C3F" w:rsidRPr="00B46C3F" w:rsidRDefault="00B46C3F" w:rsidP="00B71F31"/>
        </w:tc>
      </w:tr>
      <w:tr w:rsidR="00B46C3F" w:rsidRPr="00876A8D" w14:paraId="57B38756" w14:textId="77777777" w:rsidTr="00A432EA">
        <w:tc>
          <w:tcPr>
            <w:tcW w:w="4395" w:type="dxa"/>
            <w:shd w:val="clear" w:color="auto" w:fill="auto"/>
          </w:tcPr>
          <w:p w14:paraId="710B3507" w14:textId="77777777" w:rsidR="00B46C3F" w:rsidRPr="00B46C3F" w:rsidRDefault="00B46C3F" w:rsidP="00B71F31">
            <w:r w:rsidRPr="00B46C3F">
              <w:t>Senior Officer</w:t>
            </w:r>
            <w:r>
              <w:t xml:space="preserve">: </w:t>
            </w:r>
          </w:p>
          <w:p w14:paraId="259CD38F" w14:textId="77777777" w:rsidR="00B46C3F" w:rsidRPr="00B46C3F" w:rsidRDefault="00B46C3F" w:rsidP="00B71F31">
            <w:r w:rsidRPr="00B46C3F">
              <w:t>name</w:t>
            </w:r>
          </w:p>
        </w:tc>
        <w:tc>
          <w:tcPr>
            <w:tcW w:w="4589" w:type="dxa"/>
            <w:shd w:val="clear" w:color="auto" w:fill="auto"/>
          </w:tcPr>
          <w:p w14:paraId="17917CDC" w14:textId="77777777" w:rsidR="00B46C3F" w:rsidRPr="00B46C3F" w:rsidRDefault="00B46C3F" w:rsidP="00B71F31">
            <w:r w:rsidRPr="00B46C3F">
              <w:t>Designation</w:t>
            </w:r>
            <w:r>
              <w:t xml:space="preserve">:  </w:t>
            </w:r>
          </w:p>
        </w:tc>
      </w:tr>
    </w:tbl>
    <w:p w14:paraId="31126E5D" w14:textId="77777777" w:rsidR="00B46C3F" w:rsidRDefault="00B46C3F" w:rsidP="00B71F31">
      <w:pPr>
        <w:rPr>
          <w:color w:val="FF0000"/>
        </w:rPr>
      </w:pPr>
    </w:p>
    <w:p w14:paraId="2DE403A5" w14:textId="77777777" w:rsidR="004072A1" w:rsidRDefault="004072A1" w:rsidP="004072A1">
      <w:pPr>
        <w:rPr>
          <w:u w:val="single"/>
        </w:rPr>
      </w:pPr>
    </w:p>
    <w:p w14:paraId="1CBE5DD9" w14:textId="77777777" w:rsidR="004072A1" w:rsidRDefault="004072A1" w:rsidP="004072A1">
      <w:pPr>
        <w:rPr>
          <w:u w:val="single"/>
        </w:rPr>
      </w:pPr>
      <w:r w:rsidRPr="00C16921">
        <w:rPr>
          <w:u w:val="single"/>
        </w:rPr>
        <w:t xml:space="preserve">FOR </w:t>
      </w:r>
      <w:r w:rsidR="007442F6">
        <w:rPr>
          <w:u w:val="single"/>
        </w:rPr>
        <w:t xml:space="preserve">COMMUNITY INVESTMENT TEAM </w:t>
      </w:r>
      <w:r w:rsidRPr="00C16921">
        <w:rPr>
          <w:u w:val="single"/>
        </w:rPr>
        <w:t>ONLY</w:t>
      </w:r>
    </w:p>
    <w:p w14:paraId="62431CDC" w14:textId="77777777" w:rsidR="00C16921" w:rsidRDefault="00C16921" w:rsidP="00B71F3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214"/>
      </w:tblGrid>
      <w:tr w:rsidR="00A432EA" w:rsidRPr="009A06C5" w14:paraId="028BC5E5" w14:textId="77777777" w:rsidTr="009A06C5">
        <w:tc>
          <w:tcPr>
            <w:tcW w:w="2802" w:type="dxa"/>
            <w:shd w:val="clear" w:color="auto" w:fill="auto"/>
          </w:tcPr>
          <w:p w14:paraId="57138092" w14:textId="77777777" w:rsidR="00A432EA" w:rsidRDefault="004072A1" w:rsidP="00B71F31">
            <w:proofErr w:type="spellStart"/>
            <w:r w:rsidRPr="004072A1">
              <w:t>EqIA</w:t>
            </w:r>
            <w:proofErr w:type="spellEnd"/>
            <w:r w:rsidRPr="004072A1">
              <w:t xml:space="preserve"> Ref No. </w:t>
            </w:r>
          </w:p>
          <w:p w14:paraId="49E398E2" w14:textId="77777777" w:rsidR="004072A1" w:rsidRPr="004072A1" w:rsidRDefault="004072A1" w:rsidP="00B71F31"/>
        </w:tc>
        <w:tc>
          <w:tcPr>
            <w:tcW w:w="6237" w:type="dxa"/>
            <w:shd w:val="clear" w:color="auto" w:fill="auto"/>
          </w:tcPr>
          <w:p w14:paraId="16287F21" w14:textId="77777777" w:rsidR="00A432EA" w:rsidRPr="009A06C5" w:rsidRDefault="00A432EA" w:rsidP="00B71F31">
            <w:pPr>
              <w:rPr>
                <w:color w:val="FF0000"/>
              </w:rPr>
            </w:pPr>
          </w:p>
        </w:tc>
      </w:tr>
      <w:tr w:rsidR="004072A1" w:rsidRPr="009A06C5" w14:paraId="5774DB5E" w14:textId="77777777" w:rsidTr="009A06C5">
        <w:tc>
          <w:tcPr>
            <w:tcW w:w="2802" w:type="dxa"/>
            <w:shd w:val="clear" w:color="auto" w:fill="auto"/>
          </w:tcPr>
          <w:p w14:paraId="164FCB67" w14:textId="77777777" w:rsidR="004072A1" w:rsidRPr="004072A1" w:rsidRDefault="004072A1" w:rsidP="004072A1">
            <w:r>
              <w:t>Date checked and initials</w:t>
            </w:r>
          </w:p>
        </w:tc>
        <w:tc>
          <w:tcPr>
            <w:tcW w:w="6237" w:type="dxa"/>
            <w:shd w:val="clear" w:color="auto" w:fill="auto"/>
          </w:tcPr>
          <w:p w14:paraId="5BE93A62" w14:textId="77777777" w:rsidR="004072A1" w:rsidRPr="009A06C5" w:rsidRDefault="004072A1" w:rsidP="00B71F31">
            <w:pPr>
              <w:rPr>
                <w:color w:val="FF0000"/>
              </w:rPr>
            </w:pPr>
          </w:p>
        </w:tc>
      </w:tr>
    </w:tbl>
    <w:p w14:paraId="384BA73E" w14:textId="77777777" w:rsidR="00A432EA" w:rsidRDefault="00A432EA" w:rsidP="00B71F31">
      <w:pPr>
        <w:rPr>
          <w:color w:val="FF0000"/>
        </w:rPr>
      </w:pPr>
    </w:p>
    <w:p w14:paraId="34B3F2EB" w14:textId="77777777" w:rsidR="00C16921" w:rsidRDefault="00C16921" w:rsidP="00B71F31">
      <w:pPr>
        <w:rPr>
          <w:u w:val="single"/>
        </w:rPr>
      </w:pPr>
    </w:p>
    <w:p w14:paraId="7D34F5C7" w14:textId="77777777" w:rsidR="00C16921" w:rsidRDefault="00C16921" w:rsidP="00B71F31">
      <w:pPr>
        <w:rPr>
          <w:u w:val="single"/>
        </w:rPr>
      </w:pPr>
    </w:p>
    <w:p w14:paraId="0B4020A7" w14:textId="77777777" w:rsidR="00C16921" w:rsidRDefault="00C16921" w:rsidP="00B71F31">
      <w:pPr>
        <w:rPr>
          <w:u w:val="single"/>
        </w:rPr>
      </w:pPr>
    </w:p>
    <w:p w14:paraId="1D7B270A" w14:textId="77777777" w:rsidR="00C16921" w:rsidRPr="00C16921" w:rsidRDefault="00C16921" w:rsidP="00B71F31">
      <w:pPr>
        <w:rPr>
          <w:u w:val="single"/>
        </w:rPr>
      </w:pPr>
    </w:p>
    <w:p w14:paraId="4F904CB7" w14:textId="77777777" w:rsidR="00C16921" w:rsidRPr="00B46C3F" w:rsidRDefault="00C16921" w:rsidP="00B71F31">
      <w:pPr>
        <w:rPr>
          <w:color w:val="FF0000"/>
        </w:rPr>
      </w:pPr>
    </w:p>
    <w:p w14:paraId="0DFAE634" w14:textId="77777777" w:rsidR="006B49A1" w:rsidRDefault="00B46C3F" w:rsidP="00B71F31">
      <w:pPr>
        <w:rPr>
          <w:rFonts w:cs="Arial"/>
          <w:szCs w:val="24"/>
        </w:rPr>
      </w:pPr>
      <w:r>
        <w:t xml:space="preserve"> </w:t>
      </w:r>
      <w:r w:rsidR="00021AF5" w:rsidRPr="005F700E">
        <w:rPr>
          <w:b/>
        </w:rPr>
        <w:tab/>
      </w:r>
      <w:r w:rsidR="00021AF5">
        <w:rPr>
          <w:b/>
        </w:rPr>
        <w:tab/>
      </w:r>
      <w:r w:rsidR="00021AF5">
        <w:rPr>
          <w:b/>
        </w:rPr>
        <w:tab/>
      </w:r>
      <w:r w:rsidR="004B3976" w:rsidRPr="0033318D">
        <w:rPr>
          <w:rFonts w:cs="Arial"/>
          <w:szCs w:val="24"/>
        </w:rPr>
        <w:t xml:space="preserve"> </w:t>
      </w:r>
    </w:p>
    <w:p w14:paraId="16D6D248" w14:textId="77777777" w:rsidR="004B3976" w:rsidRDefault="006B49A1" w:rsidP="00B71F31">
      <w:pPr>
        <w:rPr>
          <w:rFonts w:cs="Arial"/>
          <w:b/>
          <w:szCs w:val="24"/>
        </w:rPr>
      </w:pPr>
      <w:r>
        <w:rPr>
          <w:rFonts w:cs="Arial"/>
          <w:szCs w:val="24"/>
        </w:rPr>
        <w:br w:type="page"/>
      </w:r>
      <w:r w:rsidRPr="006B49A1">
        <w:rPr>
          <w:rFonts w:cs="Arial"/>
          <w:b/>
          <w:szCs w:val="24"/>
        </w:rPr>
        <w:lastRenderedPageBreak/>
        <w:t>Equality Impact Assessment Summary Report</w:t>
      </w:r>
    </w:p>
    <w:p w14:paraId="2A1A3117" w14:textId="77777777" w:rsidR="006B49A1" w:rsidRPr="006B49A1" w:rsidRDefault="006B49A1" w:rsidP="00B71F31">
      <w:pPr>
        <w:rPr>
          <w:rFonts w:cs="Arial"/>
          <w:szCs w:val="24"/>
        </w:rPr>
      </w:pPr>
      <w:r>
        <w:rPr>
          <w:rFonts w:cs="Arial"/>
          <w:szCs w:val="24"/>
        </w:rPr>
        <w:t>(to be attached as an Appendix to the committee report</w:t>
      </w:r>
      <w:r w:rsidR="00AE36BC">
        <w:rPr>
          <w:rFonts w:cs="Arial"/>
          <w:szCs w:val="24"/>
        </w:rPr>
        <w:t xml:space="preserve"> or for consideration by any other partnership forum, board or advisory group as appropriate</w:t>
      </w:r>
      <w:r>
        <w:rPr>
          <w:rFonts w:cs="Arial"/>
          <w:szCs w:val="24"/>
        </w:rPr>
        <w:t>)</w:t>
      </w:r>
    </w:p>
    <w:p w14:paraId="06971CD3" w14:textId="77777777" w:rsidR="006B49A1" w:rsidRDefault="006B49A1" w:rsidP="00B71F31">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6B49A1" w:rsidRPr="008713B2" w14:paraId="32972BFF" w14:textId="77777777" w:rsidTr="541CAECE">
        <w:tc>
          <w:tcPr>
            <w:tcW w:w="8986" w:type="dxa"/>
            <w:shd w:val="clear" w:color="auto" w:fill="auto"/>
          </w:tcPr>
          <w:p w14:paraId="438D44D1" w14:textId="77777777" w:rsidR="006B49A1" w:rsidRPr="008713B2" w:rsidRDefault="15F0A705" w:rsidP="00B71F31">
            <w:pPr>
              <w:rPr>
                <w:rFonts w:cs="Arial"/>
                <w:b/>
                <w:szCs w:val="24"/>
              </w:rPr>
            </w:pPr>
            <w:r w:rsidRPr="628EE7C1">
              <w:rPr>
                <w:rFonts w:cs="Arial"/>
                <w:b/>
                <w:bCs/>
              </w:rPr>
              <w:t xml:space="preserve">Which Committee report does this IA relate to (specify meeting date)?  </w:t>
            </w:r>
          </w:p>
          <w:p w14:paraId="0B4A9740" w14:textId="40630F6B" w:rsidR="628EE7C1" w:rsidRDefault="628EE7C1" w:rsidP="628EE7C1">
            <w:pPr>
              <w:rPr>
                <w:rFonts w:cs="Arial"/>
              </w:rPr>
            </w:pPr>
          </w:p>
          <w:p w14:paraId="2A1F701D" w14:textId="6CC15EB1" w:rsidR="006B49A1" w:rsidRPr="008713B2" w:rsidRDefault="4AA8EC64"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Community &amp; Housing Services Committee – 26 August 2021.</w:t>
            </w:r>
          </w:p>
          <w:p w14:paraId="5F96A722" w14:textId="6D4ABB31" w:rsidR="006B49A1" w:rsidRPr="008713B2" w:rsidRDefault="006B49A1" w:rsidP="541CAECE">
            <w:pPr>
              <w:rPr>
                <w:rFonts w:cs="Arial"/>
              </w:rPr>
            </w:pPr>
          </w:p>
        </w:tc>
      </w:tr>
      <w:tr w:rsidR="006B49A1" w:rsidRPr="008713B2" w14:paraId="2F9AC3E0" w14:textId="77777777" w:rsidTr="541CAECE">
        <w:tc>
          <w:tcPr>
            <w:tcW w:w="8986" w:type="dxa"/>
            <w:shd w:val="clear" w:color="auto" w:fill="auto"/>
          </w:tcPr>
          <w:p w14:paraId="0D7688E6" w14:textId="77777777" w:rsidR="006B49A1" w:rsidRPr="008713B2" w:rsidRDefault="006B49A1" w:rsidP="00B71F31">
            <w:pPr>
              <w:rPr>
                <w:rFonts w:cs="Arial"/>
                <w:b/>
                <w:szCs w:val="24"/>
              </w:rPr>
            </w:pPr>
            <w:r w:rsidRPr="008713B2">
              <w:rPr>
                <w:rFonts w:cs="Arial"/>
                <w:b/>
                <w:szCs w:val="24"/>
              </w:rPr>
              <w:t xml:space="preserve">What are the main impacts on equality? </w:t>
            </w:r>
          </w:p>
          <w:p w14:paraId="5B95CD12" w14:textId="77777777" w:rsidR="006B49A1" w:rsidRPr="008713B2" w:rsidRDefault="006B49A1" w:rsidP="00B71F31">
            <w:pPr>
              <w:rPr>
                <w:rFonts w:cs="Arial"/>
                <w:szCs w:val="24"/>
              </w:rPr>
            </w:pPr>
          </w:p>
          <w:p w14:paraId="5220BBB2" w14:textId="110AC620" w:rsidR="006B49A1" w:rsidRDefault="2BC5A28A" w:rsidP="541CAECE">
            <w:pPr>
              <w:rPr>
                <w:rFonts w:asciiTheme="majorHAnsi" w:eastAsiaTheme="majorEastAsia" w:hAnsiTheme="majorHAnsi" w:cstheme="majorBidi"/>
                <w:sz w:val="22"/>
                <w:szCs w:val="22"/>
              </w:rPr>
            </w:pPr>
            <w:proofErr w:type="gramStart"/>
            <w:r w:rsidRPr="541CAECE">
              <w:rPr>
                <w:rFonts w:asciiTheme="majorHAnsi" w:eastAsiaTheme="majorEastAsia" w:hAnsiTheme="majorHAnsi" w:cstheme="majorBidi"/>
                <w:sz w:val="22"/>
                <w:szCs w:val="22"/>
              </w:rPr>
              <w:t>Overall</w:t>
            </w:r>
            <w:proofErr w:type="gramEnd"/>
            <w:r w:rsidRPr="541CAECE">
              <w:rPr>
                <w:rFonts w:asciiTheme="majorHAnsi" w:eastAsiaTheme="majorEastAsia" w:hAnsiTheme="majorHAnsi" w:cstheme="majorBidi"/>
                <w:sz w:val="22"/>
                <w:szCs w:val="22"/>
              </w:rPr>
              <w:t xml:space="preserve"> the main impacts are determined to be positive, focusing on increased levels of community engagement with marginalised and at risk community members and a focus on ensuring that their voices are heard in the local community planning arrange</w:t>
            </w:r>
            <w:r w:rsidR="08DEE14A" w:rsidRPr="541CAECE">
              <w:rPr>
                <w:rFonts w:asciiTheme="majorHAnsi" w:eastAsiaTheme="majorEastAsia" w:hAnsiTheme="majorHAnsi" w:cstheme="majorBidi"/>
                <w:sz w:val="22"/>
                <w:szCs w:val="22"/>
              </w:rPr>
              <w:t>ments.</w:t>
            </w:r>
          </w:p>
          <w:p w14:paraId="779CA8F9" w14:textId="7EEBF921" w:rsidR="541CAECE" w:rsidRDefault="541CAECE" w:rsidP="541CAECE">
            <w:pPr>
              <w:rPr>
                <w:rFonts w:asciiTheme="majorHAnsi" w:eastAsiaTheme="majorEastAsia" w:hAnsiTheme="majorHAnsi" w:cstheme="majorBidi"/>
                <w:sz w:val="22"/>
                <w:szCs w:val="22"/>
              </w:rPr>
            </w:pPr>
          </w:p>
          <w:p w14:paraId="488B3078" w14:textId="23DAE833" w:rsidR="08DEE14A" w:rsidRDefault="08DEE14A"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Where there are negative impacts identified</w:t>
            </w:r>
            <w:r w:rsidR="79DFB106" w:rsidRPr="541CAECE">
              <w:rPr>
                <w:rFonts w:asciiTheme="majorHAnsi" w:eastAsiaTheme="majorEastAsia" w:hAnsiTheme="majorHAnsi" w:cstheme="majorBidi"/>
                <w:sz w:val="22"/>
                <w:szCs w:val="22"/>
              </w:rPr>
              <w:t>,</w:t>
            </w:r>
            <w:r w:rsidRPr="541CAECE">
              <w:rPr>
                <w:rFonts w:asciiTheme="majorHAnsi" w:eastAsiaTheme="majorEastAsia" w:hAnsiTheme="majorHAnsi" w:cstheme="majorBidi"/>
                <w:sz w:val="22"/>
                <w:szCs w:val="22"/>
              </w:rPr>
              <w:t xml:space="preserve"> in the main these relate to </w:t>
            </w:r>
            <w:r w:rsidR="713FE6C9" w:rsidRPr="541CAECE">
              <w:rPr>
                <w:rFonts w:asciiTheme="majorHAnsi" w:eastAsiaTheme="majorEastAsia" w:hAnsiTheme="majorHAnsi" w:cstheme="majorBidi"/>
                <w:sz w:val="22"/>
                <w:szCs w:val="22"/>
              </w:rPr>
              <w:t xml:space="preserve">issues associated with how our workforce development programmes are preparing staff and volunteers to </w:t>
            </w:r>
            <w:r w:rsidR="62B16E7C" w:rsidRPr="541CAECE">
              <w:rPr>
                <w:rFonts w:asciiTheme="majorHAnsi" w:eastAsiaTheme="majorEastAsia" w:hAnsiTheme="majorHAnsi" w:cstheme="majorBidi"/>
                <w:sz w:val="22"/>
                <w:szCs w:val="22"/>
              </w:rPr>
              <w:t xml:space="preserve">consider the support requirements of the BME and other marginalised communities. </w:t>
            </w:r>
          </w:p>
          <w:p w14:paraId="50F40DEB" w14:textId="1EF8590C" w:rsidR="006B49A1" w:rsidRPr="008713B2" w:rsidRDefault="006B49A1" w:rsidP="541CAECE">
            <w:pPr>
              <w:rPr>
                <w:rFonts w:cs="Arial"/>
              </w:rPr>
            </w:pPr>
          </w:p>
        </w:tc>
      </w:tr>
      <w:tr w:rsidR="000B342F" w:rsidRPr="008713B2" w14:paraId="311369E0" w14:textId="77777777" w:rsidTr="541CAECE">
        <w:tc>
          <w:tcPr>
            <w:tcW w:w="8986" w:type="dxa"/>
            <w:shd w:val="clear" w:color="auto" w:fill="auto"/>
          </w:tcPr>
          <w:p w14:paraId="71E38D1A" w14:textId="77777777" w:rsidR="000B342F" w:rsidRDefault="000B342F" w:rsidP="000B342F">
            <w:pPr>
              <w:rPr>
                <w:rFonts w:cs="Arial"/>
                <w:b/>
                <w:szCs w:val="24"/>
              </w:rPr>
            </w:pPr>
            <w:r>
              <w:rPr>
                <w:rFonts w:cs="Arial"/>
                <w:b/>
                <w:szCs w:val="24"/>
              </w:rPr>
              <w:t xml:space="preserve">In relation to a strategic decision, how will inequalities of outcome caused by economic disadvantage be reduced?  </w:t>
            </w:r>
          </w:p>
          <w:p w14:paraId="77A52294" w14:textId="77777777" w:rsidR="000B342F" w:rsidRDefault="000B342F" w:rsidP="000B342F">
            <w:pPr>
              <w:rPr>
                <w:rFonts w:cs="Arial"/>
                <w:b/>
                <w:szCs w:val="24"/>
              </w:rPr>
            </w:pPr>
          </w:p>
          <w:p w14:paraId="4B5FD747" w14:textId="5873B204" w:rsidR="000B342F" w:rsidRPr="008713B2" w:rsidRDefault="1DB96D13" w:rsidP="541CAECE">
            <w:pPr>
              <w:rPr>
                <w:rFonts w:asciiTheme="majorHAnsi" w:eastAsiaTheme="majorEastAsia" w:hAnsiTheme="majorHAnsi" w:cstheme="majorBidi"/>
                <w:color w:val="000000" w:themeColor="text1"/>
                <w:sz w:val="22"/>
                <w:szCs w:val="22"/>
              </w:rPr>
            </w:pPr>
            <w:r w:rsidRPr="541CAECE">
              <w:rPr>
                <w:rFonts w:asciiTheme="majorHAnsi" w:eastAsiaTheme="majorEastAsia" w:hAnsiTheme="majorHAnsi" w:cstheme="majorBidi"/>
                <w:color w:val="000000" w:themeColor="text1"/>
                <w:sz w:val="22"/>
                <w:szCs w:val="22"/>
              </w:rPr>
              <w:t>Over the next three years the CLD sector will be prioritising work with disadvantaged communities, families and households to improve their capacity to participate in a broad range of learning-based programmes designed to overcome barriers to participation at personal, community and institutional levels.</w:t>
            </w:r>
          </w:p>
          <w:p w14:paraId="1A81F0B1" w14:textId="112065DD" w:rsidR="000B342F" w:rsidRPr="008713B2" w:rsidRDefault="000B342F" w:rsidP="541CAECE">
            <w:pPr>
              <w:rPr>
                <w:rFonts w:asciiTheme="majorHAnsi" w:eastAsiaTheme="majorEastAsia" w:hAnsiTheme="majorHAnsi" w:cstheme="majorBidi"/>
                <w:color w:val="000000" w:themeColor="text1"/>
                <w:sz w:val="22"/>
                <w:szCs w:val="22"/>
              </w:rPr>
            </w:pPr>
          </w:p>
        </w:tc>
      </w:tr>
      <w:tr w:rsidR="006B49A1" w:rsidRPr="008713B2" w14:paraId="2EBAADFE" w14:textId="77777777" w:rsidTr="541CAECE">
        <w:tc>
          <w:tcPr>
            <w:tcW w:w="8986" w:type="dxa"/>
            <w:shd w:val="clear" w:color="auto" w:fill="auto"/>
          </w:tcPr>
          <w:p w14:paraId="684038FE" w14:textId="77777777" w:rsidR="006B49A1" w:rsidRPr="008713B2" w:rsidRDefault="006B49A1" w:rsidP="00B71F31">
            <w:pPr>
              <w:rPr>
                <w:rFonts w:cs="Arial"/>
                <w:b/>
                <w:szCs w:val="24"/>
              </w:rPr>
            </w:pPr>
            <w:r w:rsidRPr="008713B2">
              <w:rPr>
                <w:rFonts w:cs="Arial"/>
                <w:b/>
                <w:szCs w:val="24"/>
              </w:rPr>
              <w:t xml:space="preserve">What are the main recommendations to enhance or mitigate the impacts identified?  </w:t>
            </w:r>
          </w:p>
          <w:p w14:paraId="488224D8" w14:textId="4CF75B3B" w:rsidR="006B49A1" w:rsidRPr="008713B2" w:rsidRDefault="006B49A1" w:rsidP="541CAECE">
            <w:pPr>
              <w:rPr>
                <w:rFonts w:cs="Arial"/>
              </w:rPr>
            </w:pPr>
          </w:p>
          <w:p w14:paraId="1293A3D0" w14:textId="67B4D3C1" w:rsidR="006B49A1" w:rsidRPr="008713B2" w:rsidRDefault="3310FAA0" w:rsidP="541CAECE">
            <w:pPr>
              <w:pStyle w:val="ListParagraph"/>
              <w:numPr>
                <w:ilvl w:val="0"/>
                <w:numId w:val="1"/>
              </w:num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Accessibility guidance for practitioners and volunteers to be developed and shared.</w:t>
            </w:r>
          </w:p>
          <w:p w14:paraId="5F4DDA96" w14:textId="176D6F5D" w:rsidR="006B49A1" w:rsidRPr="008713B2" w:rsidRDefault="3310FAA0" w:rsidP="541CAECE">
            <w:pPr>
              <w:pStyle w:val="Default"/>
              <w:numPr>
                <w:ilvl w:val="0"/>
                <w:numId w:val="1"/>
              </w:num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S</w:t>
            </w:r>
            <w:r w:rsidR="6BD37B8F" w:rsidRPr="541CAECE">
              <w:rPr>
                <w:rFonts w:asciiTheme="majorHAnsi" w:eastAsiaTheme="majorEastAsia" w:hAnsiTheme="majorHAnsi" w:cstheme="majorBidi"/>
                <w:sz w:val="22"/>
                <w:szCs w:val="22"/>
              </w:rPr>
              <w:t xml:space="preserve">eek to standardise monitoring systems </w:t>
            </w:r>
            <w:r w:rsidRPr="541CAECE">
              <w:rPr>
                <w:rFonts w:asciiTheme="majorHAnsi" w:eastAsiaTheme="majorEastAsia" w:hAnsiTheme="majorHAnsi" w:cstheme="majorBidi"/>
                <w:sz w:val="22"/>
                <w:szCs w:val="22"/>
              </w:rPr>
              <w:t>across CLD partner organisations to demonstrate demographics of participants</w:t>
            </w:r>
            <w:r w:rsidR="6E7B7812" w:rsidRPr="541CAECE">
              <w:rPr>
                <w:rFonts w:asciiTheme="majorHAnsi" w:eastAsiaTheme="majorEastAsia" w:hAnsiTheme="majorHAnsi" w:cstheme="majorBidi"/>
                <w:sz w:val="22"/>
                <w:szCs w:val="22"/>
              </w:rPr>
              <w:t xml:space="preserve"> and develop stronger awareness and understanding of successful engagement approaches and activities.</w:t>
            </w:r>
          </w:p>
          <w:p w14:paraId="7C2A2411" w14:textId="4417F4DE" w:rsidR="006B49A1" w:rsidRPr="008713B2" w:rsidRDefault="6E7B7812" w:rsidP="541CAECE">
            <w:pPr>
              <w:pStyle w:val="Default"/>
              <w:numPr>
                <w:ilvl w:val="0"/>
                <w:numId w:val="1"/>
              </w:num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Ensure the workforce development plan for the sector includes CPD sessions around the Equality Act.</w:t>
            </w:r>
          </w:p>
          <w:p w14:paraId="37444DBC" w14:textId="6A769DA4" w:rsidR="006B49A1" w:rsidRPr="008713B2" w:rsidRDefault="6E7B7812" w:rsidP="541CAECE">
            <w:pPr>
              <w:pStyle w:val="Default"/>
              <w:numPr>
                <w:ilvl w:val="0"/>
                <w:numId w:val="1"/>
              </w:num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 xml:space="preserve">Further research around barriers preventing access to CLD activity and programmes for marginalised and </w:t>
            </w:r>
            <w:proofErr w:type="gramStart"/>
            <w:r w:rsidRPr="541CAECE">
              <w:rPr>
                <w:rFonts w:asciiTheme="majorHAnsi" w:eastAsiaTheme="majorEastAsia" w:hAnsiTheme="majorHAnsi" w:cstheme="majorBidi"/>
                <w:sz w:val="22"/>
                <w:szCs w:val="22"/>
              </w:rPr>
              <w:t>at risk</w:t>
            </w:r>
            <w:proofErr w:type="gramEnd"/>
            <w:r w:rsidRPr="541CAECE">
              <w:rPr>
                <w:rFonts w:asciiTheme="majorHAnsi" w:eastAsiaTheme="majorEastAsia" w:hAnsiTheme="majorHAnsi" w:cstheme="majorBidi"/>
                <w:sz w:val="22"/>
                <w:szCs w:val="22"/>
              </w:rPr>
              <w:t xml:space="preserve"> families, households and indiv</w:t>
            </w:r>
            <w:r w:rsidR="00B730C7">
              <w:rPr>
                <w:rFonts w:asciiTheme="majorHAnsi" w:eastAsiaTheme="majorEastAsia" w:hAnsiTheme="majorHAnsi" w:cstheme="majorBidi"/>
                <w:sz w:val="22"/>
                <w:szCs w:val="22"/>
              </w:rPr>
              <w:t>i</w:t>
            </w:r>
            <w:r w:rsidRPr="541CAECE">
              <w:rPr>
                <w:rFonts w:asciiTheme="majorHAnsi" w:eastAsiaTheme="majorEastAsia" w:hAnsiTheme="majorHAnsi" w:cstheme="majorBidi"/>
                <w:sz w:val="22"/>
                <w:szCs w:val="22"/>
              </w:rPr>
              <w:t>duals.</w:t>
            </w:r>
          </w:p>
          <w:p w14:paraId="4BDB5498" w14:textId="01BCAC01" w:rsidR="006B49A1" w:rsidRPr="008713B2" w:rsidRDefault="006B49A1" w:rsidP="541CAECE">
            <w:pPr>
              <w:rPr>
                <w:rFonts w:asciiTheme="majorHAnsi" w:eastAsiaTheme="majorEastAsia" w:hAnsiTheme="majorHAnsi" w:cstheme="majorBidi"/>
                <w:sz w:val="22"/>
                <w:szCs w:val="22"/>
              </w:rPr>
            </w:pPr>
          </w:p>
        </w:tc>
      </w:tr>
      <w:tr w:rsidR="006B49A1" w:rsidRPr="008713B2" w14:paraId="2FE86601" w14:textId="77777777" w:rsidTr="541CAECE">
        <w:tc>
          <w:tcPr>
            <w:tcW w:w="8986" w:type="dxa"/>
            <w:shd w:val="clear" w:color="auto" w:fill="auto"/>
          </w:tcPr>
          <w:p w14:paraId="6E1CE066" w14:textId="77777777" w:rsidR="006B49A1" w:rsidRPr="008713B2" w:rsidRDefault="006B49A1" w:rsidP="00B71F31">
            <w:pPr>
              <w:rPr>
                <w:rFonts w:cs="Arial"/>
                <w:b/>
                <w:szCs w:val="24"/>
              </w:rPr>
            </w:pPr>
            <w:r w:rsidRPr="008713B2">
              <w:rPr>
                <w:rFonts w:cs="Arial"/>
                <w:b/>
                <w:szCs w:val="24"/>
              </w:rPr>
              <w:t>If t</w:t>
            </w:r>
            <w:r w:rsidR="00FD65E1">
              <w:rPr>
                <w:rFonts w:cs="Arial"/>
                <w:b/>
                <w:szCs w:val="24"/>
              </w:rPr>
              <w:t xml:space="preserve">here are no equality impacts on </w:t>
            </w:r>
            <w:r w:rsidRPr="008713B2">
              <w:rPr>
                <w:rFonts w:cs="Arial"/>
                <w:b/>
                <w:szCs w:val="24"/>
              </w:rPr>
              <w:t xml:space="preserve">any of the protected characteristics, please explain.  </w:t>
            </w:r>
          </w:p>
          <w:p w14:paraId="2916C19D" w14:textId="77777777" w:rsidR="00D42943" w:rsidRPr="008713B2" w:rsidRDefault="00D42943" w:rsidP="00B71F31">
            <w:pPr>
              <w:rPr>
                <w:rFonts w:cs="Arial"/>
                <w:szCs w:val="24"/>
              </w:rPr>
            </w:pPr>
          </w:p>
          <w:p w14:paraId="74869460" w14:textId="77777777" w:rsidR="006B49A1" w:rsidRPr="008713B2" w:rsidRDefault="006B49A1" w:rsidP="00B71F31">
            <w:pPr>
              <w:rPr>
                <w:rFonts w:cs="Arial"/>
                <w:szCs w:val="24"/>
              </w:rPr>
            </w:pPr>
          </w:p>
          <w:p w14:paraId="187F57B8" w14:textId="77777777" w:rsidR="006B49A1" w:rsidRPr="008713B2" w:rsidRDefault="006B49A1" w:rsidP="00B71F31">
            <w:pPr>
              <w:rPr>
                <w:rFonts w:cs="Arial"/>
                <w:szCs w:val="24"/>
              </w:rPr>
            </w:pPr>
          </w:p>
        </w:tc>
      </w:tr>
      <w:tr w:rsidR="006B49A1" w:rsidRPr="008713B2" w14:paraId="2B27F0D9" w14:textId="77777777" w:rsidTr="541CAECE">
        <w:tc>
          <w:tcPr>
            <w:tcW w:w="8986" w:type="dxa"/>
            <w:shd w:val="clear" w:color="auto" w:fill="auto"/>
          </w:tcPr>
          <w:p w14:paraId="309CA936" w14:textId="77777777" w:rsidR="006B49A1" w:rsidRPr="008713B2" w:rsidRDefault="006B49A1" w:rsidP="00B71F31">
            <w:pPr>
              <w:rPr>
                <w:rFonts w:cs="Arial"/>
                <w:b/>
                <w:szCs w:val="24"/>
              </w:rPr>
            </w:pPr>
            <w:r w:rsidRPr="008713B2">
              <w:rPr>
                <w:rFonts w:cs="Arial"/>
                <w:b/>
                <w:szCs w:val="24"/>
              </w:rPr>
              <w:t xml:space="preserve">Further information is available from:  Name / position / contact details:  </w:t>
            </w:r>
          </w:p>
          <w:p w14:paraId="54738AF4" w14:textId="17522E21" w:rsidR="006B49A1" w:rsidRPr="008713B2" w:rsidRDefault="3F6125A4" w:rsidP="541CAECE">
            <w:pPr>
              <w:rPr>
                <w:rFonts w:asciiTheme="majorHAnsi" w:eastAsiaTheme="majorEastAsia" w:hAnsiTheme="majorHAnsi" w:cstheme="majorBidi"/>
                <w:sz w:val="22"/>
                <w:szCs w:val="22"/>
              </w:rPr>
            </w:pPr>
            <w:r w:rsidRPr="541CAECE">
              <w:rPr>
                <w:rFonts w:asciiTheme="majorHAnsi" w:eastAsiaTheme="majorEastAsia" w:hAnsiTheme="majorHAnsi" w:cstheme="majorBidi"/>
                <w:sz w:val="22"/>
                <w:szCs w:val="22"/>
              </w:rPr>
              <w:t>Ross Martin, Community Development (Support) Team Manager</w:t>
            </w:r>
          </w:p>
          <w:p w14:paraId="7D563AE0" w14:textId="3C8A85A7" w:rsidR="3F6125A4" w:rsidRDefault="00E710E0" w:rsidP="541CAECE">
            <w:pPr>
              <w:rPr>
                <w:rFonts w:asciiTheme="majorHAnsi" w:eastAsiaTheme="majorEastAsia" w:hAnsiTheme="majorHAnsi" w:cstheme="majorBidi"/>
                <w:sz w:val="22"/>
                <w:szCs w:val="22"/>
              </w:rPr>
            </w:pPr>
            <w:hyperlink r:id="rId13">
              <w:r w:rsidR="3F6125A4" w:rsidRPr="541CAECE">
                <w:rPr>
                  <w:rStyle w:val="Hyperlink"/>
                  <w:rFonts w:asciiTheme="majorHAnsi" w:eastAsiaTheme="majorEastAsia" w:hAnsiTheme="majorHAnsi" w:cstheme="majorBidi"/>
                  <w:sz w:val="22"/>
                  <w:szCs w:val="22"/>
                </w:rPr>
                <w:t>Ross.martin@fife.gov.uk</w:t>
              </w:r>
            </w:hyperlink>
            <w:r w:rsidR="3F6125A4" w:rsidRPr="541CAECE">
              <w:rPr>
                <w:rFonts w:asciiTheme="majorHAnsi" w:eastAsiaTheme="majorEastAsia" w:hAnsiTheme="majorHAnsi" w:cstheme="majorBidi"/>
                <w:sz w:val="22"/>
                <w:szCs w:val="22"/>
              </w:rPr>
              <w:t>, VOIP 480 064.</w:t>
            </w:r>
          </w:p>
          <w:p w14:paraId="46ABBD8F" w14:textId="77777777" w:rsidR="006B49A1" w:rsidRPr="008713B2" w:rsidRDefault="006B49A1" w:rsidP="00B71F31">
            <w:pPr>
              <w:rPr>
                <w:rFonts w:cs="Arial"/>
                <w:szCs w:val="24"/>
              </w:rPr>
            </w:pPr>
          </w:p>
        </w:tc>
      </w:tr>
    </w:tbl>
    <w:p w14:paraId="06BBA33E" w14:textId="77777777" w:rsidR="006B49A1" w:rsidRDefault="006B49A1" w:rsidP="00B71F31"/>
    <w:p w14:paraId="464FCBC1" w14:textId="77777777" w:rsidR="000B342F" w:rsidRDefault="000B342F" w:rsidP="00B028FF">
      <w:pPr>
        <w:rPr>
          <w:rFonts w:cs="Arial"/>
          <w:szCs w:val="24"/>
        </w:rPr>
      </w:pPr>
    </w:p>
    <w:p w14:paraId="75DC727F" w14:textId="77777777" w:rsidR="00B028FF" w:rsidRDefault="000B342F" w:rsidP="00B028FF">
      <w:pPr>
        <w:rPr>
          <w:rFonts w:cs="Arial"/>
          <w:szCs w:val="24"/>
        </w:rPr>
      </w:pPr>
      <w:r>
        <w:rPr>
          <w:rFonts w:cs="Arial"/>
          <w:szCs w:val="24"/>
        </w:rPr>
        <w:br w:type="page"/>
      </w:r>
      <w:r w:rsidR="00B028FF" w:rsidRPr="003A6180">
        <w:rPr>
          <w:rFonts w:cs="Arial"/>
          <w:szCs w:val="24"/>
        </w:rPr>
        <w:lastRenderedPageBreak/>
        <w:t xml:space="preserve">One of the following statements </w:t>
      </w:r>
      <w:r w:rsidR="00B028FF">
        <w:rPr>
          <w:rFonts w:cs="Arial"/>
          <w:szCs w:val="24"/>
        </w:rPr>
        <w:t xml:space="preserve">must </w:t>
      </w:r>
      <w:r w:rsidR="00B028FF" w:rsidRPr="003A6180">
        <w:rPr>
          <w:rFonts w:cs="Arial"/>
          <w:szCs w:val="24"/>
        </w:rPr>
        <w:t xml:space="preserve">be included in the “Impact Assessment” section of </w:t>
      </w:r>
      <w:r w:rsidR="00B028FF">
        <w:rPr>
          <w:rFonts w:cs="Arial"/>
          <w:szCs w:val="24"/>
        </w:rPr>
        <w:t xml:space="preserve">any </w:t>
      </w:r>
      <w:r w:rsidR="00B028FF" w:rsidRPr="003A6180">
        <w:rPr>
          <w:rFonts w:cs="Arial"/>
          <w:szCs w:val="24"/>
        </w:rPr>
        <w:t xml:space="preserve">committee </w:t>
      </w:r>
      <w:r w:rsidR="00B028FF">
        <w:rPr>
          <w:rFonts w:cs="Arial"/>
          <w:szCs w:val="24"/>
        </w:rPr>
        <w:t xml:space="preserve">report.  Attach as an appendix the completed </w:t>
      </w:r>
      <w:proofErr w:type="spellStart"/>
      <w:r w:rsidR="00B028FF">
        <w:rPr>
          <w:rFonts w:cs="Arial"/>
          <w:szCs w:val="24"/>
        </w:rPr>
        <w:t>EqIA</w:t>
      </w:r>
      <w:proofErr w:type="spellEnd"/>
      <w:r w:rsidR="00B028FF">
        <w:rPr>
          <w:rFonts w:cs="Arial"/>
          <w:szCs w:val="24"/>
        </w:rPr>
        <w:t xml:space="preserve"> Summary form to the report – not required for option (a).   </w:t>
      </w:r>
    </w:p>
    <w:p w14:paraId="5C8C6B09" w14:textId="77777777" w:rsidR="00B028FF" w:rsidRPr="003A6180" w:rsidRDefault="00B028FF" w:rsidP="00B028FF">
      <w:pPr>
        <w:rPr>
          <w:rFonts w:cs="Arial"/>
          <w:szCs w:val="24"/>
        </w:rPr>
      </w:pPr>
    </w:p>
    <w:p w14:paraId="5BCD1DBC" w14:textId="77777777" w:rsidR="00B028FF" w:rsidRPr="003A6180" w:rsidRDefault="00E17BA1" w:rsidP="002046F5">
      <w:pPr>
        <w:pStyle w:val="ListParagraph"/>
        <w:numPr>
          <w:ilvl w:val="0"/>
          <w:numId w:val="27"/>
        </w:numPr>
        <w:autoSpaceDE/>
        <w:autoSpaceDN/>
        <w:adjustRightInd/>
      </w:pPr>
      <w:r>
        <w:tab/>
      </w:r>
      <w:r w:rsidR="009E7A63">
        <w:tab/>
      </w:r>
      <w:r w:rsidR="002046F5" w:rsidRPr="00CD2203">
        <w:t xml:space="preserve">An </w:t>
      </w:r>
      <w:proofErr w:type="spellStart"/>
      <w:r w:rsidR="002046F5" w:rsidRPr="00CD2203">
        <w:t>EqIA</w:t>
      </w:r>
      <w:proofErr w:type="spellEnd"/>
      <w:r w:rsidR="002046F5" w:rsidRPr="00CD2203">
        <w:t xml:space="preserve"> has not been completed and is not necessary for the following reasons</w:t>
      </w:r>
      <w:r w:rsidR="002046F5">
        <w:t>:</w:t>
      </w:r>
      <w:proofErr w:type="gramStart"/>
      <w:r w:rsidR="002046F5">
        <w:t xml:space="preserve">   (</w:t>
      </w:r>
      <w:proofErr w:type="gramEnd"/>
      <w:r w:rsidR="002046F5">
        <w:t>please write in brief description)</w:t>
      </w:r>
      <w:r w:rsidR="00B028FF">
        <w:br/>
      </w:r>
    </w:p>
    <w:p w14:paraId="55A2EF8D" w14:textId="77777777" w:rsidR="009E7A63" w:rsidRDefault="00E17BA1" w:rsidP="009E7A63">
      <w:pPr>
        <w:pStyle w:val="ListParagraph"/>
        <w:widowControl w:val="0"/>
        <w:numPr>
          <w:ilvl w:val="0"/>
          <w:numId w:val="27"/>
        </w:numPr>
        <w:autoSpaceDE/>
        <w:autoSpaceDN/>
        <w:adjustRightInd/>
        <w:ind w:left="0" w:firstLine="0"/>
      </w:pPr>
      <w:r>
        <w:tab/>
      </w:r>
      <w:r w:rsidR="00B028FF">
        <w:t xml:space="preserve">The general duties section of the impact assessment </w:t>
      </w:r>
      <w:r w:rsidR="00B028FF" w:rsidRPr="003A6180">
        <w:t xml:space="preserve">and </w:t>
      </w:r>
      <w:r w:rsidR="00B028FF">
        <w:t xml:space="preserve">the </w:t>
      </w:r>
      <w:r w:rsidR="009E7A63">
        <w:t xml:space="preserve">summary form has   </w:t>
      </w:r>
      <w:r w:rsidR="009E7A63">
        <w:tab/>
      </w:r>
      <w:r w:rsidR="009E7A63">
        <w:tab/>
      </w:r>
      <w:r w:rsidR="009E7A63">
        <w:tab/>
      </w:r>
      <w:r w:rsidR="00B028FF" w:rsidRPr="003A6180">
        <w:t>been completed</w:t>
      </w:r>
      <w:r w:rsidR="00B028FF">
        <w:t xml:space="preserve"> – the summary form is </w:t>
      </w:r>
      <w:r w:rsidR="00B028FF" w:rsidRPr="003A6180">
        <w:t>attached</w:t>
      </w:r>
      <w:r w:rsidR="00B028FF">
        <w:t xml:space="preserve"> to the report</w:t>
      </w:r>
      <w:r w:rsidR="00B028FF" w:rsidRPr="003A6180">
        <w:t xml:space="preserve">.  </w:t>
      </w:r>
      <w:r w:rsidR="009E7A63">
        <w:br/>
      </w:r>
    </w:p>
    <w:p w14:paraId="1299D16C" w14:textId="77777777" w:rsidR="00983926" w:rsidRPr="009E7A63" w:rsidRDefault="00E17BA1" w:rsidP="001A51A1">
      <w:pPr>
        <w:pStyle w:val="ListParagraph"/>
        <w:widowControl w:val="0"/>
        <w:numPr>
          <w:ilvl w:val="0"/>
          <w:numId w:val="27"/>
        </w:numPr>
        <w:autoSpaceDE/>
        <w:autoSpaceDN/>
        <w:adjustRightInd/>
        <w:ind w:left="0" w:firstLine="0"/>
      </w:pPr>
      <w:r>
        <w:tab/>
      </w:r>
      <w:r w:rsidR="00B028FF" w:rsidRPr="00B4286B">
        <w:t xml:space="preserve">An </w:t>
      </w:r>
      <w:proofErr w:type="spellStart"/>
      <w:r w:rsidR="00B028FF" w:rsidRPr="00B4286B">
        <w:t>EqIA</w:t>
      </w:r>
      <w:proofErr w:type="spellEnd"/>
      <w:r w:rsidR="00B028FF" w:rsidRPr="00B4286B">
        <w:t xml:space="preserve"> and summary form have been completed – the summary form is attached to the report.  </w:t>
      </w:r>
    </w:p>
    <w:sectPr w:rsidR="00983926" w:rsidRPr="009E7A63" w:rsidSect="006B49A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0" w:h="16840"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4F43" w14:textId="77777777" w:rsidR="00E710E0" w:rsidRDefault="00E710E0">
      <w:r>
        <w:separator/>
      </w:r>
    </w:p>
  </w:endnote>
  <w:endnote w:type="continuationSeparator" w:id="0">
    <w:p w14:paraId="6892E663" w14:textId="77777777" w:rsidR="00E710E0" w:rsidRDefault="00E7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859" w14:textId="77777777" w:rsidR="00A46F90" w:rsidRDefault="00A46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FEE2" w14:textId="77777777" w:rsidR="00C27587" w:rsidRDefault="00A46F90" w:rsidP="0033318D">
    <w:pPr>
      <w:pStyle w:val="Footer"/>
      <w:rPr>
        <w:sz w:val="16"/>
        <w:szCs w:val="16"/>
      </w:rPr>
    </w:pPr>
    <w:proofErr w:type="spellStart"/>
    <w:r>
      <w:rPr>
        <w:sz w:val="16"/>
        <w:szCs w:val="16"/>
      </w:rPr>
      <w:t>EqIA</w:t>
    </w:r>
    <w:proofErr w:type="spellEnd"/>
    <w:r>
      <w:rPr>
        <w:sz w:val="16"/>
        <w:szCs w:val="16"/>
      </w:rPr>
      <w:t xml:space="preserve"> Revised Guidance – July 2018 (final) </w:t>
    </w:r>
  </w:p>
  <w:p w14:paraId="0DA123B1" w14:textId="77777777" w:rsidR="00A46F90" w:rsidRPr="00170B2B" w:rsidRDefault="00A46F90" w:rsidP="0033318D">
    <w:pPr>
      <w:pStyle w:val="Footer"/>
      <w:rPr>
        <w:sz w:val="16"/>
        <w:szCs w:val="16"/>
      </w:rPr>
    </w:pPr>
  </w:p>
  <w:p w14:paraId="103AE7E3" w14:textId="77777777" w:rsidR="00F85DD2" w:rsidRDefault="00C27587" w:rsidP="00C27587">
    <w:pPr>
      <w:pStyle w:val="Footer"/>
      <w:jc w:val="right"/>
      <w:rPr>
        <w:sz w:val="20"/>
      </w:rPr>
    </w:pPr>
    <w:r>
      <w:rPr>
        <w:sz w:val="20"/>
      </w:rPr>
      <w:tab/>
    </w:r>
    <w:r>
      <w:rPr>
        <w:sz w:val="20"/>
      </w:rPr>
      <w:tab/>
    </w:r>
    <w:r w:rsidR="00F85DD2" w:rsidRPr="00935289">
      <w:rPr>
        <w:sz w:val="20"/>
      </w:rPr>
      <w:t xml:space="preserve">Page </w:t>
    </w:r>
    <w:r w:rsidR="00F85DD2" w:rsidRPr="00935289">
      <w:rPr>
        <w:sz w:val="20"/>
      </w:rPr>
      <w:fldChar w:fldCharType="begin"/>
    </w:r>
    <w:r w:rsidR="00F85DD2" w:rsidRPr="00935289">
      <w:rPr>
        <w:sz w:val="20"/>
      </w:rPr>
      <w:instrText xml:space="preserve"> PAGE </w:instrText>
    </w:r>
    <w:r w:rsidR="00F85DD2" w:rsidRPr="00935289">
      <w:rPr>
        <w:sz w:val="20"/>
      </w:rPr>
      <w:fldChar w:fldCharType="separate"/>
    </w:r>
    <w:r w:rsidR="009E7A63">
      <w:rPr>
        <w:noProof/>
        <w:sz w:val="20"/>
      </w:rPr>
      <w:t>5</w:t>
    </w:r>
    <w:r w:rsidR="00F85DD2" w:rsidRPr="00935289">
      <w:rPr>
        <w:sz w:val="20"/>
      </w:rPr>
      <w:fldChar w:fldCharType="end"/>
    </w:r>
    <w:r w:rsidR="00F85DD2" w:rsidRPr="00935289">
      <w:rPr>
        <w:sz w:val="20"/>
      </w:rPr>
      <w:t xml:space="preserve"> of </w:t>
    </w:r>
    <w:r w:rsidR="00F85DD2" w:rsidRPr="00935289">
      <w:rPr>
        <w:sz w:val="20"/>
      </w:rPr>
      <w:fldChar w:fldCharType="begin"/>
    </w:r>
    <w:r w:rsidR="00F85DD2" w:rsidRPr="00935289">
      <w:rPr>
        <w:sz w:val="20"/>
      </w:rPr>
      <w:instrText xml:space="preserve"> NUMPAGES </w:instrText>
    </w:r>
    <w:r w:rsidR="00F85DD2" w:rsidRPr="00935289">
      <w:rPr>
        <w:sz w:val="20"/>
      </w:rPr>
      <w:fldChar w:fldCharType="separate"/>
    </w:r>
    <w:r w:rsidR="009E7A63">
      <w:rPr>
        <w:noProof/>
        <w:sz w:val="20"/>
      </w:rPr>
      <w:t>5</w:t>
    </w:r>
    <w:r w:rsidR="00F85DD2" w:rsidRPr="00935289">
      <w:rPr>
        <w:sz w:val="20"/>
      </w:rPr>
      <w:fldChar w:fldCharType="end"/>
    </w:r>
    <w:r w:rsidR="00F85DD2">
      <w:rPr>
        <w:sz w:val="20"/>
      </w:rPr>
      <w:t xml:space="preserve"> </w:t>
    </w:r>
    <w:r w:rsidR="00F85DD2">
      <w:rPr>
        <w:sz w:val="20"/>
      </w:rPr>
      <w:tab/>
    </w:r>
    <w:r w:rsidR="00F85DD2" w:rsidRPr="00935289">
      <w:rPr>
        <w:sz w:val="20"/>
      </w:rPr>
      <w:tab/>
    </w:r>
    <w:r w:rsidR="00F85DD2">
      <w:rPr>
        <w:sz w:val="20"/>
      </w:rPr>
      <w:t xml:space="preserve">       </w:t>
    </w:r>
    <w:r w:rsidR="00F85DD2">
      <w:rPr>
        <w:sz w:val="20"/>
      </w:rPr>
      <w:tab/>
    </w:r>
    <w:r w:rsidR="00F85DD2">
      <w:rPr>
        <w:sz w:val="20"/>
      </w:rPr>
      <w:tab/>
    </w:r>
    <w:r w:rsidR="00F85DD2">
      <w:rPr>
        <w:sz w:val="20"/>
      </w:rPr>
      <w:tab/>
    </w:r>
    <w:r w:rsidR="00F85DD2">
      <w:rPr>
        <w:sz w:val="20"/>
      </w:rPr>
      <w:tab/>
    </w:r>
    <w:r w:rsidR="00F85DD2">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651" w14:textId="77777777" w:rsidR="00A46F90" w:rsidRDefault="00A4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6B62" w14:textId="77777777" w:rsidR="00E710E0" w:rsidRDefault="00E710E0">
      <w:r>
        <w:separator/>
      </w:r>
    </w:p>
  </w:footnote>
  <w:footnote w:type="continuationSeparator" w:id="0">
    <w:p w14:paraId="1245C3A4" w14:textId="77777777" w:rsidR="00E710E0" w:rsidRDefault="00E7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F19" w14:textId="77777777" w:rsidR="00A46F90" w:rsidRDefault="00A46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7CE" w14:textId="77777777" w:rsidR="00A46F90" w:rsidRDefault="00A46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65" w14:textId="77777777" w:rsidR="00A46F90" w:rsidRDefault="00A4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51E"/>
    <w:multiLevelType w:val="hybridMultilevel"/>
    <w:tmpl w:val="1FC88528"/>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 w15:restartNumberingAfterBreak="0">
    <w:nsid w:val="041F4A57"/>
    <w:multiLevelType w:val="hybridMultilevel"/>
    <w:tmpl w:val="3CC49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76D1B77"/>
    <w:multiLevelType w:val="hybridMultilevel"/>
    <w:tmpl w:val="CA022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9B1ABC"/>
    <w:multiLevelType w:val="hybridMultilevel"/>
    <w:tmpl w:val="AD60C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3F4BEE"/>
    <w:multiLevelType w:val="hybridMultilevel"/>
    <w:tmpl w:val="6B0E9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3F12C4B"/>
    <w:multiLevelType w:val="hybridMultilevel"/>
    <w:tmpl w:val="0C7C2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53562"/>
    <w:multiLevelType w:val="hybridMultilevel"/>
    <w:tmpl w:val="59D84D6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19FC0495"/>
    <w:multiLevelType w:val="hybridMultilevel"/>
    <w:tmpl w:val="E01E641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A7A6437"/>
    <w:multiLevelType w:val="hybridMultilevel"/>
    <w:tmpl w:val="AB0A3EE8"/>
    <w:lvl w:ilvl="0" w:tplc="BC72ECB0">
      <w:start w:val="1"/>
      <w:numFmt w:val="decimal"/>
      <w:lvlText w:val="%1."/>
      <w:lvlJc w:val="left"/>
      <w:pPr>
        <w:ind w:left="720" w:hanging="360"/>
      </w:pPr>
    </w:lvl>
    <w:lvl w:ilvl="1" w:tplc="C4B6052A">
      <w:start w:val="1"/>
      <w:numFmt w:val="lowerLetter"/>
      <w:lvlText w:val="%2."/>
      <w:lvlJc w:val="left"/>
      <w:pPr>
        <w:ind w:left="1440" w:hanging="360"/>
      </w:pPr>
    </w:lvl>
    <w:lvl w:ilvl="2" w:tplc="7C02FC70">
      <w:start w:val="1"/>
      <w:numFmt w:val="lowerRoman"/>
      <w:lvlText w:val="%3."/>
      <w:lvlJc w:val="right"/>
      <w:pPr>
        <w:ind w:left="2160" w:hanging="180"/>
      </w:pPr>
    </w:lvl>
    <w:lvl w:ilvl="3" w:tplc="D6D094E6">
      <w:start w:val="1"/>
      <w:numFmt w:val="decimal"/>
      <w:lvlText w:val="%4."/>
      <w:lvlJc w:val="left"/>
      <w:pPr>
        <w:ind w:left="2880" w:hanging="360"/>
      </w:pPr>
    </w:lvl>
    <w:lvl w:ilvl="4" w:tplc="B036844E">
      <w:start w:val="1"/>
      <w:numFmt w:val="lowerLetter"/>
      <w:lvlText w:val="%5."/>
      <w:lvlJc w:val="left"/>
      <w:pPr>
        <w:ind w:left="3600" w:hanging="360"/>
      </w:pPr>
    </w:lvl>
    <w:lvl w:ilvl="5" w:tplc="4C025D60">
      <w:start w:val="1"/>
      <w:numFmt w:val="lowerRoman"/>
      <w:lvlText w:val="%6."/>
      <w:lvlJc w:val="right"/>
      <w:pPr>
        <w:ind w:left="4320" w:hanging="180"/>
      </w:pPr>
    </w:lvl>
    <w:lvl w:ilvl="6" w:tplc="94C00EA6">
      <w:start w:val="1"/>
      <w:numFmt w:val="decimal"/>
      <w:lvlText w:val="%7."/>
      <w:lvlJc w:val="left"/>
      <w:pPr>
        <w:ind w:left="5040" w:hanging="360"/>
      </w:pPr>
    </w:lvl>
    <w:lvl w:ilvl="7" w:tplc="5A2E0BAC">
      <w:start w:val="1"/>
      <w:numFmt w:val="lowerLetter"/>
      <w:lvlText w:val="%8."/>
      <w:lvlJc w:val="left"/>
      <w:pPr>
        <w:ind w:left="5760" w:hanging="360"/>
      </w:pPr>
    </w:lvl>
    <w:lvl w:ilvl="8" w:tplc="15D6388C">
      <w:start w:val="1"/>
      <w:numFmt w:val="lowerRoman"/>
      <w:lvlText w:val="%9."/>
      <w:lvlJc w:val="right"/>
      <w:pPr>
        <w:ind w:left="6480" w:hanging="180"/>
      </w:pPr>
    </w:lvl>
  </w:abstractNum>
  <w:abstractNum w:abstractNumId="9" w15:restartNumberingAfterBreak="0">
    <w:nsid w:val="1B2B7768"/>
    <w:multiLevelType w:val="hybridMultilevel"/>
    <w:tmpl w:val="FAE8536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1B3458FD"/>
    <w:multiLevelType w:val="hybridMultilevel"/>
    <w:tmpl w:val="A650B4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3F3B23"/>
    <w:multiLevelType w:val="hybridMultilevel"/>
    <w:tmpl w:val="DF86B77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270A6686"/>
    <w:multiLevelType w:val="multilevel"/>
    <w:tmpl w:val="E46E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F5A42"/>
    <w:multiLevelType w:val="hybridMultilevel"/>
    <w:tmpl w:val="D39E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C449B"/>
    <w:multiLevelType w:val="hybridMultilevel"/>
    <w:tmpl w:val="85AA2B3A"/>
    <w:lvl w:ilvl="0" w:tplc="A9E424CE">
      <w:start w:val="1"/>
      <w:numFmt w:val="decimal"/>
      <w:lvlText w:val="%1."/>
      <w:lvlJc w:val="left"/>
      <w:pPr>
        <w:ind w:left="720" w:hanging="360"/>
      </w:pPr>
    </w:lvl>
    <w:lvl w:ilvl="1" w:tplc="4404BE5C">
      <w:start w:val="1"/>
      <w:numFmt w:val="lowerLetter"/>
      <w:lvlText w:val="%2."/>
      <w:lvlJc w:val="left"/>
      <w:pPr>
        <w:ind w:left="1440" w:hanging="360"/>
      </w:pPr>
    </w:lvl>
    <w:lvl w:ilvl="2" w:tplc="47E6A312">
      <w:start w:val="1"/>
      <w:numFmt w:val="lowerRoman"/>
      <w:lvlText w:val="%3."/>
      <w:lvlJc w:val="right"/>
      <w:pPr>
        <w:ind w:left="2160" w:hanging="180"/>
      </w:pPr>
    </w:lvl>
    <w:lvl w:ilvl="3" w:tplc="7DCEBC88">
      <w:start w:val="1"/>
      <w:numFmt w:val="decimal"/>
      <w:lvlText w:val="%4."/>
      <w:lvlJc w:val="left"/>
      <w:pPr>
        <w:ind w:left="2880" w:hanging="360"/>
      </w:pPr>
    </w:lvl>
    <w:lvl w:ilvl="4" w:tplc="3C5CED3E">
      <w:start w:val="1"/>
      <w:numFmt w:val="lowerLetter"/>
      <w:lvlText w:val="%5."/>
      <w:lvlJc w:val="left"/>
      <w:pPr>
        <w:ind w:left="3600" w:hanging="360"/>
      </w:pPr>
    </w:lvl>
    <w:lvl w:ilvl="5" w:tplc="F8544B28">
      <w:start w:val="1"/>
      <w:numFmt w:val="lowerRoman"/>
      <w:lvlText w:val="%6."/>
      <w:lvlJc w:val="right"/>
      <w:pPr>
        <w:ind w:left="4320" w:hanging="180"/>
      </w:pPr>
    </w:lvl>
    <w:lvl w:ilvl="6" w:tplc="A6B8526E">
      <w:start w:val="1"/>
      <w:numFmt w:val="decimal"/>
      <w:lvlText w:val="%7."/>
      <w:lvlJc w:val="left"/>
      <w:pPr>
        <w:ind w:left="5040" w:hanging="360"/>
      </w:pPr>
    </w:lvl>
    <w:lvl w:ilvl="7" w:tplc="A1C0D1F6">
      <w:start w:val="1"/>
      <w:numFmt w:val="lowerLetter"/>
      <w:lvlText w:val="%8."/>
      <w:lvlJc w:val="left"/>
      <w:pPr>
        <w:ind w:left="5760" w:hanging="360"/>
      </w:pPr>
    </w:lvl>
    <w:lvl w:ilvl="8" w:tplc="7F92812E">
      <w:start w:val="1"/>
      <w:numFmt w:val="lowerRoman"/>
      <w:lvlText w:val="%9."/>
      <w:lvlJc w:val="right"/>
      <w:pPr>
        <w:ind w:left="6480" w:hanging="180"/>
      </w:pPr>
    </w:lvl>
  </w:abstractNum>
  <w:abstractNum w:abstractNumId="15" w15:restartNumberingAfterBreak="0">
    <w:nsid w:val="327165C2"/>
    <w:multiLevelType w:val="hybridMultilevel"/>
    <w:tmpl w:val="15E432CC"/>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6" w15:restartNumberingAfterBreak="0">
    <w:nsid w:val="34B24BBF"/>
    <w:multiLevelType w:val="hybridMultilevel"/>
    <w:tmpl w:val="22B293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377E1FEB"/>
    <w:multiLevelType w:val="hybridMultilevel"/>
    <w:tmpl w:val="9F0644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A7D7E18"/>
    <w:multiLevelType w:val="hybridMultilevel"/>
    <w:tmpl w:val="60CE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8518C"/>
    <w:multiLevelType w:val="hybridMultilevel"/>
    <w:tmpl w:val="4B0A474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48D95E83"/>
    <w:multiLevelType w:val="hybridMultilevel"/>
    <w:tmpl w:val="068EE1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9132775"/>
    <w:multiLevelType w:val="hybridMultilevel"/>
    <w:tmpl w:val="EC6ECC5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95B63E7"/>
    <w:multiLevelType w:val="hybridMultilevel"/>
    <w:tmpl w:val="C12EB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EEC7802"/>
    <w:multiLevelType w:val="hybridMultilevel"/>
    <w:tmpl w:val="8788D27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4" w15:restartNumberingAfterBreak="0">
    <w:nsid w:val="55E326AC"/>
    <w:multiLevelType w:val="hybridMultilevel"/>
    <w:tmpl w:val="91260538"/>
    <w:lvl w:ilvl="0" w:tplc="980A36B0">
      <w:start w:val="1"/>
      <w:numFmt w:val="decimal"/>
      <w:lvlText w:val="%1."/>
      <w:lvlJc w:val="left"/>
      <w:pPr>
        <w:ind w:left="720" w:hanging="360"/>
      </w:pPr>
    </w:lvl>
    <w:lvl w:ilvl="1" w:tplc="766ED26A">
      <w:start w:val="1"/>
      <w:numFmt w:val="lowerLetter"/>
      <w:lvlText w:val="%2."/>
      <w:lvlJc w:val="left"/>
      <w:pPr>
        <w:ind w:left="1440" w:hanging="360"/>
      </w:pPr>
    </w:lvl>
    <w:lvl w:ilvl="2" w:tplc="A4BC4C7A">
      <w:start w:val="1"/>
      <w:numFmt w:val="lowerRoman"/>
      <w:lvlText w:val="%3."/>
      <w:lvlJc w:val="right"/>
      <w:pPr>
        <w:ind w:left="2160" w:hanging="180"/>
      </w:pPr>
    </w:lvl>
    <w:lvl w:ilvl="3" w:tplc="5BCAC416">
      <w:start w:val="1"/>
      <w:numFmt w:val="decimal"/>
      <w:lvlText w:val="%4."/>
      <w:lvlJc w:val="left"/>
      <w:pPr>
        <w:ind w:left="2880" w:hanging="360"/>
      </w:pPr>
    </w:lvl>
    <w:lvl w:ilvl="4" w:tplc="35C4F154">
      <w:start w:val="1"/>
      <w:numFmt w:val="lowerLetter"/>
      <w:lvlText w:val="%5."/>
      <w:lvlJc w:val="left"/>
      <w:pPr>
        <w:ind w:left="3600" w:hanging="360"/>
      </w:pPr>
    </w:lvl>
    <w:lvl w:ilvl="5" w:tplc="BC8846D8">
      <w:start w:val="1"/>
      <w:numFmt w:val="lowerRoman"/>
      <w:lvlText w:val="%6."/>
      <w:lvlJc w:val="right"/>
      <w:pPr>
        <w:ind w:left="4320" w:hanging="180"/>
      </w:pPr>
    </w:lvl>
    <w:lvl w:ilvl="6" w:tplc="4014BE24">
      <w:start w:val="1"/>
      <w:numFmt w:val="decimal"/>
      <w:lvlText w:val="%7."/>
      <w:lvlJc w:val="left"/>
      <w:pPr>
        <w:ind w:left="5040" w:hanging="360"/>
      </w:pPr>
    </w:lvl>
    <w:lvl w:ilvl="7" w:tplc="1B200836">
      <w:start w:val="1"/>
      <w:numFmt w:val="lowerLetter"/>
      <w:lvlText w:val="%8."/>
      <w:lvlJc w:val="left"/>
      <w:pPr>
        <w:ind w:left="5760" w:hanging="360"/>
      </w:pPr>
    </w:lvl>
    <w:lvl w:ilvl="8" w:tplc="569C297A">
      <w:start w:val="1"/>
      <w:numFmt w:val="lowerRoman"/>
      <w:lvlText w:val="%9."/>
      <w:lvlJc w:val="right"/>
      <w:pPr>
        <w:ind w:left="6480" w:hanging="180"/>
      </w:pPr>
    </w:lvl>
  </w:abstractNum>
  <w:abstractNum w:abstractNumId="25" w15:restartNumberingAfterBreak="0">
    <w:nsid w:val="57E37726"/>
    <w:multiLevelType w:val="hybridMultilevel"/>
    <w:tmpl w:val="5D6E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461BB"/>
    <w:multiLevelType w:val="hybridMultilevel"/>
    <w:tmpl w:val="2FBEE240"/>
    <w:lvl w:ilvl="0" w:tplc="6CE0421C">
      <w:start w:val="1"/>
      <w:numFmt w:val="decimal"/>
      <w:lvlText w:val="%1."/>
      <w:lvlJc w:val="left"/>
      <w:pPr>
        <w:ind w:left="720" w:hanging="360"/>
      </w:pPr>
    </w:lvl>
    <w:lvl w:ilvl="1" w:tplc="7CA0731E">
      <w:start w:val="1"/>
      <w:numFmt w:val="lowerLetter"/>
      <w:lvlText w:val="%2."/>
      <w:lvlJc w:val="left"/>
      <w:pPr>
        <w:ind w:left="1440" w:hanging="360"/>
      </w:pPr>
    </w:lvl>
    <w:lvl w:ilvl="2" w:tplc="D9A657CE">
      <w:start w:val="1"/>
      <w:numFmt w:val="lowerRoman"/>
      <w:lvlText w:val="%3."/>
      <w:lvlJc w:val="right"/>
      <w:pPr>
        <w:ind w:left="2160" w:hanging="180"/>
      </w:pPr>
    </w:lvl>
    <w:lvl w:ilvl="3" w:tplc="FFFCF322">
      <w:start w:val="1"/>
      <w:numFmt w:val="decimal"/>
      <w:lvlText w:val="%4."/>
      <w:lvlJc w:val="left"/>
      <w:pPr>
        <w:ind w:left="2880" w:hanging="360"/>
      </w:pPr>
    </w:lvl>
    <w:lvl w:ilvl="4" w:tplc="EB500836">
      <w:start w:val="1"/>
      <w:numFmt w:val="lowerLetter"/>
      <w:lvlText w:val="%5."/>
      <w:lvlJc w:val="left"/>
      <w:pPr>
        <w:ind w:left="3600" w:hanging="360"/>
      </w:pPr>
    </w:lvl>
    <w:lvl w:ilvl="5" w:tplc="70B89F0A">
      <w:start w:val="1"/>
      <w:numFmt w:val="lowerRoman"/>
      <w:lvlText w:val="%6."/>
      <w:lvlJc w:val="right"/>
      <w:pPr>
        <w:ind w:left="4320" w:hanging="180"/>
      </w:pPr>
    </w:lvl>
    <w:lvl w:ilvl="6" w:tplc="EED02E3C">
      <w:start w:val="1"/>
      <w:numFmt w:val="decimal"/>
      <w:lvlText w:val="%7."/>
      <w:lvlJc w:val="left"/>
      <w:pPr>
        <w:ind w:left="5040" w:hanging="360"/>
      </w:pPr>
    </w:lvl>
    <w:lvl w:ilvl="7" w:tplc="FAF066E2">
      <w:start w:val="1"/>
      <w:numFmt w:val="lowerLetter"/>
      <w:lvlText w:val="%8."/>
      <w:lvlJc w:val="left"/>
      <w:pPr>
        <w:ind w:left="5760" w:hanging="360"/>
      </w:pPr>
    </w:lvl>
    <w:lvl w:ilvl="8" w:tplc="6638F5F4">
      <w:start w:val="1"/>
      <w:numFmt w:val="lowerRoman"/>
      <w:lvlText w:val="%9."/>
      <w:lvlJc w:val="right"/>
      <w:pPr>
        <w:ind w:left="6480" w:hanging="180"/>
      </w:pPr>
    </w:lvl>
  </w:abstractNum>
  <w:abstractNum w:abstractNumId="27" w15:restartNumberingAfterBreak="0">
    <w:nsid w:val="62203ECD"/>
    <w:multiLevelType w:val="hybridMultilevel"/>
    <w:tmpl w:val="1DBAEA1E"/>
    <w:lvl w:ilvl="0" w:tplc="09706FA2">
      <w:start w:val="1"/>
      <w:numFmt w:val="bullet"/>
      <w:lvlText w:val=""/>
      <w:lvlJc w:val="left"/>
      <w:pPr>
        <w:ind w:left="720" w:hanging="360"/>
      </w:pPr>
      <w:rPr>
        <w:rFonts w:ascii="Symbol" w:hAnsi="Symbol" w:hint="default"/>
      </w:rPr>
    </w:lvl>
    <w:lvl w:ilvl="1" w:tplc="339AFDF4">
      <w:start w:val="1"/>
      <w:numFmt w:val="bullet"/>
      <w:lvlText w:val="o"/>
      <w:lvlJc w:val="left"/>
      <w:pPr>
        <w:ind w:left="1440" w:hanging="360"/>
      </w:pPr>
      <w:rPr>
        <w:rFonts w:ascii="Courier New" w:hAnsi="Courier New" w:hint="default"/>
      </w:rPr>
    </w:lvl>
    <w:lvl w:ilvl="2" w:tplc="2EE21582">
      <w:start w:val="1"/>
      <w:numFmt w:val="bullet"/>
      <w:lvlText w:val=""/>
      <w:lvlJc w:val="left"/>
      <w:pPr>
        <w:ind w:left="2160" w:hanging="360"/>
      </w:pPr>
      <w:rPr>
        <w:rFonts w:ascii="Wingdings" w:hAnsi="Wingdings" w:hint="default"/>
      </w:rPr>
    </w:lvl>
    <w:lvl w:ilvl="3" w:tplc="9AE6F4EA">
      <w:start w:val="1"/>
      <w:numFmt w:val="bullet"/>
      <w:lvlText w:val=""/>
      <w:lvlJc w:val="left"/>
      <w:pPr>
        <w:ind w:left="2880" w:hanging="360"/>
      </w:pPr>
      <w:rPr>
        <w:rFonts w:ascii="Symbol" w:hAnsi="Symbol" w:hint="default"/>
      </w:rPr>
    </w:lvl>
    <w:lvl w:ilvl="4" w:tplc="61F8E266">
      <w:start w:val="1"/>
      <w:numFmt w:val="bullet"/>
      <w:lvlText w:val="o"/>
      <w:lvlJc w:val="left"/>
      <w:pPr>
        <w:ind w:left="3600" w:hanging="360"/>
      </w:pPr>
      <w:rPr>
        <w:rFonts w:ascii="Courier New" w:hAnsi="Courier New" w:hint="default"/>
      </w:rPr>
    </w:lvl>
    <w:lvl w:ilvl="5" w:tplc="F07A10C6">
      <w:start w:val="1"/>
      <w:numFmt w:val="bullet"/>
      <w:lvlText w:val=""/>
      <w:lvlJc w:val="left"/>
      <w:pPr>
        <w:ind w:left="4320" w:hanging="360"/>
      </w:pPr>
      <w:rPr>
        <w:rFonts w:ascii="Wingdings" w:hAnsi="Wingdings" w:hint="default"/>
      </w:rPr>
    </w:lvl>
    <w:lvl w:ilvl="6" w:tplc="B7E2D644">
      <w:start w:val="1"/>
      <w:numFmt w:val="bullet"/>
      <w:lvlText w:val=""/>
      <w:lvlJc w:val="left"/>
      <w:pPr>
        <w:ind w:left="5040" w:hanging="360"/>
      </w:pPr>
      <w:rPr>
        <w:rFonts w:ascii="Symbol" w:hAnsi="Symbol" w:hint="default"/>
      </w:rPr>
    </w:lvl>
    <w:lvl w:ilvl="7" w:tplc="AA922BA2">
      <w:start w:val="1"/>
      <w:numFmt w:val="bullet"/>
      <w:lvlText w:val="o"/>
      <w:lvlJc w:val="left"/>
      <w:pPr>
        <w:ind w:left="5760" w:hanging="360"/>
      </w:pPr>
      <w:rPr>
        <w:rFonts w:ascii="Courier New" w:hAnsi="Courier New" w:hint="default"/>
      </w:rPr>
    </w:lvl>
    <w:lvl w:ilvl="8" w:tplc="43823D24">
      <w:start w:val="1"/>
      <w:numFmt w:val="bullet"/>
      <w:lvlText w:val=""/>
      <w:lvlJc w:val="left"/>
      <w:pPr>
        <w:ind w:left="6480" w:hanging="360"/>
      </w:pPr>
      <w:rPr>
        <w:rFonts w:ascii="Wingdings" w:hAnsi="Wingdings" w:hint="default"/>
      </w:rPr>
    </w:lvl>
  </w:abstractNum>
  <w:abstractNum w:abstractNumId="28" w15:restartNumberingAfterBreak="0">
    <w:nsid w:val="68CC3A2D"/>
    <w:multiLevelType w:val="hybridMultilevel"/>
    <w:tmpl w:val="2F5C249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9" w15:restartNumberingAfterBreak="0">
    <w:nsid w:val="68D454E8"/>
    <w:multiLevelType w:val="hybridMultilevel"/>
    <w:tmpl w:val="BB1E087E"/>
    <w:lvl w:ilvl="0" w:tplc="3DA8CEE4">
      <w:start w:val="1"/>
      <w:numFmt w:val="lowerLetter"/>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9E66F3A"/>
    <w:multiLevelType w:val="hybridMultilevel"/>
    <w:tmpl w:val="8EE2084A"/>
    <w:lvl w:ilvl="0" w:tplc="7048DF9C">
      <w:start w:val="1"/>
      <w:numFmt w:val="decimal"/>
      <w:lvlText w:val="%1."/>
      <w:lvlJc w:val="left"/>
      <w:pPr>
        <w:ind w:left="720" w:hanging="360"/>
      </w:pPr>
    </w:lvl>
    <w:lvl w:ilvl="1" w:tplc="02BC2F20">
      <w:start w:val="1"/>
      <w:numFmt w:val="lowerLetter"/>
      <w:lvlText w:val="%2."/>
      <w:lvlJc w:val="left"/>
      <w:pPr>
        <w:ind w:left="1440" w:hanging="360"/>
      </w:pPr>
    </w:lvl>
    <w:lvl w:ilvl="2" w:tplc="2D3CCE28">
      <w:start w:val="1"/>
      <w:numFmt w:val="lowerRoman"/>
      <w:lvlText w:val="%3."/>
      <w:lvlJc w:val="right"/>
      <w:pPr>
        <w:ind w:left="2160" w:hanging="180"/>
      </w:pPr>
    </w:lvl>
    <w:lvl w:ilvl="3" w:tplc="7388B11A">
      <w:start w:val="1"/>
      <w:numFmt w:val="decimal"/>
      <w:lvlText w:val="%4."/>
      <w:lvlJc w:val="left"/>
      <w:pPr>
        <w:ind w:left="2880" w:hanging="360"/>
      </w:pPr>
    </w:lvl>
    <w:lvl w:ilvl="4" w:tplc="C8ACF932">
      <w:start w:val="1"/>
      <w:numFmt w:val="lowerLetter"/>
      <w:lvlText w:val="%5."/>
      <w:lvlJc w:val="left"/>
      <w:pPr>
        <w:ind w:left="3600" w:hanging="360"/>
      </w:pPr>
    </w:lvl>
    <w:lvl w:ilvl="5" w:tplc="7AD2436E">
      <w:start w:val="1"/>
      <w:numFmt w:val="lowerRoman"/>
      <w:lvlText w:val="%6."/>
      <w:lvlJc w:val="right"/>
      <w:pPr>
        <w:ind w:left="4320" w:hanging="180"/>
      </w:pPr>
    </w:lvl>
    <w:lvl w:ilvl="6" w:tplc="64580A22">
      <w:start w:val="1"/>
      <w:numFmt w:val="decimal"/>
      <w:lvlText w:val="%7."/>
      <w:lvlJc w:val="left"/>
      <w:pPr>
        <w:ind w:left="5040" w:hanging="360"/>
      </w:pPr>
    </w:lvl>
    <w:lvl w:ilvl="7" w:tplc="FC888A62">
      <w:start w:val="1"/>
      <w:numFmt w:val="lowerLetter"/>
      <w:lvlText w:val="%8."/>
      <w:lvlJc w:val="left"/>
      <w:pPr>
        <w:ind w:left="5760" w:hanging="360"/>
      </w:pPr>
    </w:lvl>
    <w:lvl w:ilvl="8" w:tplc="7D72F282">
      <w:start w:val="1"/>
      <w:numFmt w:val="lowerRoman"/>
      <w:lvlText w:val="%9."/>
      <w:lvlJc w:val="right"/>
      <w:pPr>
        <w:ind w:left="6480" w:hanging="180"/>
      </w:pPr>
    </w:lvl>
  </w:abstractNum>
  <w:abstractNum w:abstractNumId="31" w15:restartNumberingAfterBreak="0">
    <w:nsid w:val="6D4705C5"/>
    <w:multiLevelType w:val="hybridMultilevel"/>
    <w:tmpl w:val="A9802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1035B6D"/>
    <w:multiLevelType w:val="hybridMultilevel"/>
    <w:tmpl w:val="CD8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536E2"/>
    <w:multiLevelType w:val="hybridMultilevel"/>
    <w:tmpl w:val="78BE9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BF27DB"/>
    <w:multiLevelType w:val="hybridMultilevel"/>
    <w:tmpl w:val="87ECE800"/>
    <w:lvl w:ilvl="0" w:tplc="CC0C9476">
      <w:start w:val="1"/>
      <w:numFmt w:val="decimal"/>
      <w:lvlText w:val="%1."/>
      <w:lvlJc w:val="left"/>
      <w:pPr>
        <w:ind w:left="720" w:hanging="360"/>
      </w:pPr>
    </w:lvl>
    <w:lvl w:ilvl="1" w:tplc="1876E3A8">
      <w:start w:val="1"/>
      <w:numFmt w:val="lowerLetter"/>
      <w:lvlText w:val="%2."/>
      <w:lvlJc w:val="left"/>
      <w:pPr>
        <w:ind w:left="1440" w:hanging="360"/>
      </w:pPr>
    </w:lvl>
    <w:lvl w:ilvl="2" w:tplc="379CC7CE">
      <w:start w:val="1"/>
      <w:numFmt w:val="lowerRoman"/>
      <w:lvlText w:val="%3."/>
      <w:lvlJc w:val="right"/>
      <w:pPr>
        <w:ind w:left="2160" w:hanging="180"/>
      </w:pPr>
    </w:lvl>
    <w:lvl w:ilvl="3" w:tplc="D228F64A">
      <w:start w:val="1"/>
      <w:numFmt w:val="decimal"/>
      <w:lvlText w:val="%4."/>
      <w:lvlJc w:val="left"/>
      <w:pPr>
        <w:ind w:left="2880" w:hanging="360"/>
      </w:pPr>
    </w:lvl>
    <w:lvl w:ilvl="4" w:tplc="F746F8CC">
      <w:start w:val="1"/>
      <w:numFmt w:val="lowerLetter"/>
      <w:lvlText w:val="%5."/>
      <w:lvlJc w:val="left"/>
      <w:pPr>
        <w:ind w:left="3600" w:hanging="360"/>
      </w:pPr>
    </w:lvl>
    <w:lvl w:ilvl="5" w:tplc="2F789E12">
      <w:start w:val="1"/>
      <w:numFmt w:val="lowerRoman"/>
      <w:lvlText w:val="%6."/>
      <w:lvlJc w:val="right"/>
      <w:pPr>
        <w:ind w:left="4320" w:hanging="180"/>
      </w:pPr>
    </w:lvl>
    <w:lvl w:ilvl="6" w:tplc="922874EA">
      <w:start w:val="1"/>
      <w:numFmt w:val="decimal"/>
      <w:lvlText w:val="%7."/>
      <w:lvlJc w:val="left"/>
      <w:pPr>
        <w:ind w:left="5040" w:hanging="360"/>
      </w:pPr>
    </w:lvl>
    <w:lvl w:ilvl="7" w:tplc="B5261A96">
      <w:start w:val="1"/>
      <w:numFmt w:val="lowerLetter"/>
      <w:lvlText w:val="%8."/>
      <w:lvlJc w:val="left"/>
      <w:pPr>
        <w:ind w:left="5760" w:hanging="360"/>
      </w:pPr>
    </w:lvl>
    <w:lvl w:ilvl="8" w:tplc="2FDC82BC">
      <w:start w:val="1"/>
      <w:numFmt w:val="lowerRoman"/>
      <w:lvlText w:val="%9."/>
      <w:lvlJc w:val="right"/>
      <w:pPr>
        <w:ind w:left="6480" w:hanging="180"/>
      </w:pPr>
    </w:lvl>
  </w:abstractNum>
  <w:num w:numId="1">
    <w:abstractNumId w:val="24"/>
  </w:num>
  <w:num w:numId="2">
    <w:abstractNumId w:val="26"/>
  </w:num>
  <w:num w:numId="3">
    <w:abstractNumId w:val="14"/>
  </w:num>
  <w:num w:numId="4">
    <w:abstractNumId w:val="8"/>
  </w:num>
  <w:num w:numId="5">
    <w:abstractNumId w:val="30"/>
  </w:num>
  <w:num w:numId="6">
    <w:abstractNumId w:val="34"/>
  </w:num>
  <w:num w:numId="7">
    <w:abstractNumId w:val="27"/>
  </w:num>
  <w:num w:numId="8">
    <w:abstractNumId w:val="9"/>
  </w:num>
  <w:num w:numId="9">
    <w:abstractNumId w:val="11"/>
  </w:num>
  <w:num w:numId="10">
    <w:abstractNumId w:val="28"/>
  </w:num>
  <w:num w:numId="11">
    <w:abstractNumId w:val="25"/>
  </w:num>
  <w:num w:numId="12">
    <w:abstractNumId w:val="16"/>
  </w:num>
  <w:num w:numId="13">
    <w:abstractNumId w:val="15"/>
  </w:num>
  <w:num w:numId="14">
    <w:abstractNumId w:val="7"/>
  </w:num>
  <w:num w:numId="15">
    <w:abstractNumId w:val="19"/>
  </w:num>
  <w:num w:numId="16">
    <w:abstractNumId w:val="6"/>
  </w:num>
  <w:num w:numId="17">
    <w:abstractNumId w:val="13"/>
  </w:num>
  <w:num w:numId="18">
    <w:abstractNumId w:val="18"/>
  </w:num>
  <w:num w:numId="19">
    <w:abstractNumId w:val="21"/>
  </w:num>
  <w:num w:numId="20">
    <w:abstractNumId w:val="3"/>
  </w:num>
  <w:num w:numId="21">
    <w:abstractNumId w:val="10"/>
  </w:num>
  <w:num w:numId="22">
    <w:abstractNumId w:val="33"/>
  </w:num>
  <w:num w:numId="23">
    <w:abstractNumId w:val="23"/>
  </w:num>
  <w:num w:numId="24">
    <w:abstractNumId w:val="31"/>
  </w:num>
  <w:num w:numId="25">
    <w:abstractNumId w:val="17"/>
  </w:num>
  <w:num w:numId="26">
    <w:abstractNumId w:val="4"/>
  </w:num>
  <w:num w:numId="27">
    <w:abstractNumId w:val="29"/>
  </w:num>
  <w:num w:numId="28">
    <w:abstractNumId w:val="29"/>
  </w:num>
  <w:num w:numId="29">
    <w:abstractNumId w:val="4"/>
  </w:num>
  <w:num w:numId="30">
    <w:abstractNumId w:val="1"/>
  </w:num>
  <w:num w:numId="31">
    <w:abstractNumId w:val="20"/>
  </w:num>
  <w:num w:numId="32">
    <w:abstractNumId w:val="22"/>
  </w:num>
  <w:num w:numId="33">
    <w:abstractNumId w:val="2"/>
  </w:num>
  <w:num w:numId="34">
    <w:abstractNumId w:val="5"/>
  </w:num>
  <w:num w:numId="35">
    <w:abstractNumId w:val="0"/>
  </w:num>
  <w:num w:numId="36">
    <w:abstractNumId w:val="12"/>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15"/>
    <w:rsid w:val="000172D5"/>
    <w:rsid w:val="00021AF5"/>
    <w:rsid w:val="000412B7"/>
    <w:rsid w:val="000456BF"/>
    <w:rsid w:val="00047816"/>
    <w:rsid w:val="000513A5"/>
    <w:rsid w:val="00052475"/>
    <w:rsid w:val="00052927"/>
    <w:rsid w:val="00052A22"/>
    <w:rsid w:val="00057008"/>
    <w:rsid w:val="00082608"/>
    <w:rsid w:val="000833A6"/>
    <w:rsid w:val="00092E70"/>
    <w:rsid w:val="000A1DFE"/>
    <w:rsid w:val="000B1F66"/>
    <w:rsid w:val="000B342F"/>
    <w:rsid w:val="000B3662"/>
    <w:rsid w:val="000B3D3C"/>
    <w:rsid w:val="000B6390"/>
    <w:rsid w:val="000B7CDC"/>
    <w:rsid w:val="000C5528"/>
    <w:rsid w:val="000C7F47"/>
    <w:rsid w:val="000E3CD1"/>
    <w:rsid w:val="000F2BB4"/>
    <w:rsid w:val="000F62BD"/>
    <w:rsid w:val="00103882"/>
    <w:rsid w:val="00127191"/>
    <w:rsid w:val="001303A8"/>
    <w:rsid w:val="00131A65"/>
    <w:rsid w:val="001370B6"/>
    <w:rsid w:val="001413A0"/>
    <w:rsid w:val="00154EF0"/>
    <w:rsid w:val="001561A8"/>
    <w:rsid w:val="001654BF"/>
    <w:rsid w:val="00168843"/>
    <w:rsid w:val="00170992"/>
    <w:rsid w:val="00170B2B"/>
    <w:rsid w:val="00183950"/>
    <w:rsid w:val="0019641C"/>
    <w:rsid w:val="001A1848"/>
    <w:rsid w:val="001A3FBA"/>
    <w:rsid w:val="001A51A1"/>
    <w:rsid w:val="001C4F76"/>
    <w:rsid w:val="001D0269"/>
    <w:rsid w:val="001D2979"/>
    <w:rsid w:val="001D7A78"/>
    <w:rsid w:val="001F150D"/>
    <w:rsid w:val="001F3565"/>
    <w:rsid w:val="001F518B"/>
    <w:rsid w:val="001F5A17"/>
    <w:rsid w:val="00200472"/>
    <w:rsid w:val="00200664"/>
    <w:rsid w:val="00201943"/>
    <w:rsid w:val="002046F5"/>
    <w:rsid w:val="00204D7B"/>
    <w:rsid w:val="00210EDF"/>
    <w:rsid w:val="00221448"/>
    <w:rsid w:val="00222D3D"/>
    <w:rsid w:val="002231EF"/>
    <w:rsid w:val="002276EF"/>
    <w:rsid w:val="002355B8"/>
    <w:rsid w:val="002607DD"/>
    <w:rsid w:val="0026221D"/>
    <w:rsid w:val="002731BF"/>
    <w:rsid w:val="00286522"/>
    <w:rsid w:val="002A40BA"/>
    <w:rsid w:val="002B082F"/>
    <w:rsid w:val="002B1EDA"/>
    <w:rsid w:val="002B20DB"/>
    <w:rsid w:val="002B4923"/>
    <w:rsid w:val="002C14E3"/>
    <w:rsid w:val="002C2530"/>
    <w:rsid w:val="002C3A8D"/>
    <w:rsid w:val="002C569E"/>
    <w:rsid w:val="002D030D"/>
    <w:rsid w:val="002D453A"/>
    <w:rsid w:val="002D4794"/>
    <w:rsid w:val="002E5000"/>
    <w:rsid w:val="002F0FF6"/>
    <w:rsid w:val="002F3ABF"/>
    <w:rsid w:val="002F4E95"/>
    <w:rsid w:val="002F781F"/>
    <w:rsid w:val="003010D8"/>
    <w:rsid w:val="00302B58"/>
    <w:rsid w:val="003036EC"/>
    <w:rsid w:val="00303CA2"/>
    <w:rsid w:val="00314793"/>
    <w:rsid w:val="0031485B"/>
    <w:rsid w:val="00316BCE"/>
    <w:rsid w:val="0031702D"/>
    <w:rsid w:val="003179DE"/>
    <w:rsid w:val="0032148C"/>
    <w:rsid w:val="00322059"/>
    <w:rsid w:val="00322B10"/>
    <w:rsid w:val="00326645"/>
    <w:rsid w:val="00326BEA"/>
    <w:rsid w:val="0033318D"/>
    <w:rsid w:val="00362315"/>
    <w:rsid w:val="00364F20"/>
    <w:rsid w:val="00367032"/>
    <w:rsid w:val="003670BD"/>
    <w:rsid w:val="00374916"/>
    <w:rsid w:val="00377450"/>
    <w:rsid w:val="00383DB1"/>
    <w:rsid w:val="00387D52"/>
    <w:rsid w:val="00391A33"/>
    <w:rsid w:val="003976F7"/>
    <w:rsid w:val="003B1287"/>
    <w:rsid w:val="003B55EE"/>
    <w:rsid w:val="003B6EB5"/>
    <w:rsid w:val="003C0208"/>
    <w:rsid w:val="003C3628"/>
    <w:rsid w:val="003C66E0"/>
    <w:rsid w:val="003D6905"/>
    <w:rsid w:val="003E0226"/>
    <w:rsid w:val="003E0780"/>
    <w:rsid w:val="003F1BFB"/>
    <w:rsid w:val="003F3297"/>
    <w:rsid w:val="003F365C"/>
    <w:rsid w:val="003F426C"/>
    <w:rsid w:val="003F63B5"/>
    <w:rsid w:val="003F6977"/>
    <w:rsid w:val="00402574"/>
    <w:rsid w:val="00403C06"/>
    <w:rsid w:val="004072A1"/>
    <w:rsid w:val="00410FE6"/>
    <w:rsid w:val="00414473"/>
    <w:rsid w:val="00414802"/>
    <w:rsid w:val="004216B1"/>
    <w:rsid w:val="00423615"/>
    <w:rsid w:val="00427866"/>
    <w:rsid w:val="004318D4"/>
    <w:rsid w:val="0043499A"/>
    <w:rsid w:val="004422C4"/>
    <w:rsid w:val="00443ADB"/>
    <w:rsid w:val="00446E01"/>
    <w:rsid w:val="004508A0"/>
    <w:rsid w:val="00460632"/>
    <w:rsid w:val="00461E97"/>
    <w:rsid w:val="004631A9"/>
    <w:rsid w:val="004667E8"/>
    <w:rsid w:val="00477191"/>
    <w:rsid w:val="00477E0C"/>
    <w:rsid w:val="00484B70"/>
    <w:rsid w:val="0048757B"/>
    <w:rsid w:val="004A4C03"/>
    <w:rsid w:val="004A66D0"/>
    <w:rsid w:val="004B01BE"/>
    <w:rsid w:val="004B3976"/>
    <w:rsid w:val="004B4CE1"/>
    <w:rsid w:val="004B52D0"/>
    <w:rsid w:val="004C0E5E"/>
    <w:rsid w:val="004C1DC4"/>
    <w:rsid w:val="004C3388"/>
    <w:rsid w:val="004C4288"/>
    <w:rsid w:val="004C54A4"/>
    <w:rsid w:val="004C636E"/>
    <w:rsid w:val="004C641E"/>
    <w:rsid w:val="004C7D8E"/>
    <w:rsid w:val="004D10BC"/>
    <w:rsid w:val="004D6EE3"/>
    <w:rsid w:val="004E274E"/>
    <w:rsid w:val="004E2B7E"/>
    <w:rsid w:val="004E54C0"/>
    <w:rsid w:val="004E7F26"/>
    <w:rsid w:val="004F1DB9"/>
    <w:rsid w:val="004F3082"/>
    <w:rsid w:val="004F4780"/>
    <w:rsid w:val="004F55E1"/>
    <w:rsid w:val="005038BC"/>
    <w:rsid w:val="005053B6"/>
    <w:rsid w:val="005103F3"/>
    <w:rsid w:val="00512E0D"/>
    <w:rsid w:val="00526C39"/>
    <w:rsid w:val="0053271D"/>
    <w:rsid w:val="00544609"/>
    <w:rsid w:val="00544BE5"/>
    <w:rsid w:val="005512F7"/>
    <w:rsid w:val="00553AF5"/>
    <w:rsid w:val="00556791"/>
    <w:rsid w:val="005617B2"/>
    <w:rsid w:val="005677AD"/>
    <w:rsid w:val="00571381"/>
    <w:rsid w:val="005727C4"/>
    <w:rsid w:val="005762A4"/>
    <w:rsid w:val="0058343A"/>
    <w:rsid w:val="005903C2"/>
    <w:rsid w:val="005932CD"/>
    <w:rsid w:val="005A4092"/>
    <w:rsid w:val="005A469F"/>
    <w:rsid w:val="005B1783"/>
    <w:rsid w:val="005B5D21"/>
    <w:rsid w:val="005B6667"/>
    <w:rsid w:val="005C79C7"/>
    <w:rsid w:val="005D1EAE"/>
    <w:rsid w:val="005E78BB"/>
    <w:rsid w:val="005E7E75"/>
    <w:rsid w:val="005F19EF"/>
    <w:rsid w:val="005F5A32"/>
    <w:rsid w:val="005F7B49"/>
    <w:rsid w:val="006000C3"/>
    <w:rsid w:val="0060395C"/>
    <w:rsid w:val="00605DD9"/>
    <w:rsid w:val="00606068"/>
    <w:rsid w:val="006101C2"/>
    <w:rsid w:val="00610CBA"/>
    <w:rsid w:val="00611B54"/>
    <w:rsid w:val="0061330F"/>
    <w:rsid w:val="0062214C"/>
    <w:rsid w:val="00626ADD"/>
    <w:rsid w:val="00627431"/>
    <w:rsid w:val="00631DA3"/>
    <w:rsid w:val="00633A6D"/>
    <w:rsid w:val="006362B9"/>
    <w:rsid w:val="0063694D"/>
    <w:rsid w:val="00653003"/>
    <w:rsid w:val="006574C6"/>
    <w:rsid w:val="00660885"/>
    <w:rsid w:val="00671C52"/>
    <w:rsid w:val="00672EFB"/>
    <w:rsid w:val="00673E47"/>
    <w:rsid w:val="00683B0D"/>
    <w:rsid w:val="006863D6"/>
    <w:rsid w:val="00687EA8"/>
    <w:rsid w:val="00696E97"/>
    <w:rsid w:val="006A6BBD"/>
    <w:rsid w:val="006B0FDA"/>
    <w:rsid w:val="006B49A1"/>
    <w:rsid w:val="006B5A0D"/>
    <w:rsid w:val="006C5BE6"/>
    <w:rsid w:val="006C70A4"/>
    <w:rsid w:val="006D0EB1"/>
    <w:rsid w:val="006D140D"/>
    <w:rsid w:val="006D3723"/>
    <w:rsid w:val="006D379E"/>
    <w:rsid w:val="006D71EB"/>
    <w:rsid w:val="006E18B0"/>
    <w:rsid w:val="006E4624"/>
    <w:rsid w:val="006E5E19"/>
    <w:rsid w:val="006F6D02"/>
    <w:rsid w:val="00703596"/>
    <w:rsid w:val="007068B6"/>
    <w:rsid w:val="00711109"/>
    <w:rsid w:val="007129EE"/>
    <w:rsid w:val="00716290"/>
    <w:rsid w:val="007274A4"/>
    <w:rsid w:val="00730A20"/>
    <w:rsid w:val="00732FA2"/>
    <w:rsid w:val="007378A6"/>
    <w:rsid w:val="007442F6"/>
    <w:rsid w:val="00752D7A"/>
    <w:rsid w:val="0075410B"/>
    <w:rsid w:val="007557F7"/>
    <w:rsid w:val="00764794"/>
    <w:rsid w:val="007758A9"/>
    <w:rsid w:val="007770C1"/>
    <w:rsid w:val="00784225"/>
    <w:rsid w:val="00792290"/>
    <w:rsid w:val="0079240E"/>
    <w:rsid w:val="00792BBD"/>
    <w:rsid w:val="007A2ECD"/>
    <w:rsid w:val="007A3A09"/>
    <w:rsid w:val="007A51B5"/>
    <w:rsid w:val="007A5696"/>
    <w:rsid w:val="007A632A"/>
    <w:rsid w:val="007A771A"/>
    <w:rsid w:val="007B1554"/>
    <w:rsid w:val="007B47EE"/>
    <w:rsid w:val="007C7EF1"/>
    <w:rsid w:val="007D1003"/>
    <w:rsid w:val="007D2CBE"/>
    <w:rsid w:val="007D3291"/>
    <w:rsid w:val="007D5475"/>
    <w:rsid w:val="007E3890"/>
    <w:rsid w:val="007F6B8A"/>
    <w:rsid w:val="00800047"/>
    <w:rsid w:val="00802F74"/>
    <w:rsid w:val="0080411F"/>
    <w:rsid w:val="0080761B"/>
    <w:rsid w:val="00810651"/>
    <w:rsid w:val="00815BDF"/>
    <w:rsid w:val="008252D0"/>
    <w:rsid w:val="008317D2"/>
    <w:rsid w:val="0083664F"/>
    <w:rsid w:val="008458EB"/>
    <w:rsid w:val="0084623B"/>
    <w:rsid w:val="00847ECA"/>
    <w:rsid w:val="00850065"/>
    <w:rsid w:val="00867771"/>
    <w:rsid w:val="008713B2"/>
    <w:rsid w:val="0087209F"/>
    <w:rsid w:val="00873726"/>
    <w:rsid w:val="0087419F"/>
    <w:rsid w:val="00874E4E"/>
    <w:rsid w:val="00876A8D"/>
    <w:rsid w:val="00877CF8"/>
    <w:rsid w:val="008837D4"/>
    <w:rsid w:val="008878F6"/>
    <w:rsid w:val="00891364"/>
    <w:rsid w:val="00891CA6"/>
    <w:rsid w:val="00895A9E"/>
    <w:rsid w:val="008A30D6"/>
    <w:rsid w:val="008A32D2"/>
    <w:rsid w:val="008B750C"/>
    <w:rsid w:val="008D141B"/>
    <w:rsid w:val="008D26A0"/>
    <w:rsid w:val="008F0FD6"/>
    <w:rsid w:val="008F7E7D"/>
    <w:rsid w:val="00903603"/>
    <w:rsid w:val="009043F9"/>
    <w:rsid w:val="00907836"/>
    <w:rsid w:val="009162B5"/>
    <w:rsid w:val="009169FC"/>
    <w:rsid w:val="00921677"/>
    <w:rsid w:val="009233D4"/>
    <w:rsid w:val="00923D30"/>
    <w:rsid w:val="009244B3"/>
    <w:rsid w:val="009255AF"/>
    <w:rsid w:val="00925D87"/>
    <w:rsid w:val="00926108"/>
    <w:rsid w:val="009266C3"/>
    <w:rsid w:val="0092713F"/>
    <w:rsid w:val="00934A53"/>
    <w:rsid w:val="00935289"/>
    <w:rsid w:val="00941802"/>
    <w:rsid w:val="00946B06"/>
    <w:rsid w:val="00947B93"/>
    <w:rsid w:val="0095135B"/>
    <w:rsid w:val="009533E6"/>
    <w:rsid w:val="00964F40"/>
    <w:rsid w:val="00966DC7"/>
    <w:rsid w:val="00967059"/>
    <w:rsid w:val="00972682"/>
    <w:rsid w:val="00972D5C"/>
    <w:rsid w:val="00982F4C"/>
    <w:rsid w:val="009835D7"/>
    <w:rsid w:val="00983926"/>
    <w:rsid w:val="00984466"/>
    <w:rsid w:val="0099262E"/>
    <w:rsid w:val="009A06C5"/>
    <w:rsid w:val="009A3B30"/>
    <w:rsid w:val="009C05FE"/>
    <w:rsid w:val="009C5B80"/>
    <w:rsid w:val="009D28DD"/>
    <w:rsid w:val="009D3360"/>
    <w:rsid w:val="009D63EF"/>
    <w:rsid w:val="009E0CD2"/>
    <w:rsid w:val="009E2824"/>
    <w:rsid w:val="009E7A63"/>
    <w:rsid w:val="00A120C2"/>
    <w:rsid w:val="00A16E1C"/>
    <w:rsid w:val="00A21C3C"/>
    <w:rsid w:val="00A432EA"/>
    <w:rsid w:val="00A46F90"/>
    <w:rsid w:val="00A509C6"/>
    <w:rsid w:val="00A541F1"/>
    <w:rsid w:val="00A56777"/>
    <w:rsid w:val="00A65F3F"/>
    <w:rsid w:val="00A6682E"/>
    <w:rsid w:val="00A675B0"/>
    <w:rsid w:val="00A71FAB"/>
    <w:rsid w:val="00A74301"/>
    <w:rsid w:val="00A7755E"/>
    <w:rsid w:val="00A77C3D"/>
    <w:rsid w:val="00A9089C"/>
    <w:rsid w:val="00AA2A8E"/>
    <w:rsid w:val="00AB723A"/>
    <w:rsid w:val="00AC018B"/>
    <w:rsid w:val="00AC2AEF"/>
    <w:rsid w:val="00AC72C3"/>
    <w:rsid w:val="00AD07C6"/>
    <w:rsid w:val="00AD59B3"/>
    <w:rsid w:val="00AD7D87"/>
    <w:rsid w:val="00AE09E2"/>
    <w:rsid w:val="00AE2787"/>
    <w:rsid w:val="00AE36BC"/>
    <w:rsid w:val="00AE7C81"/>
    <w:rsid w:val="00AF5B45"/>
    <w:rsid w:val="00B0186D"/>
    <w:rsid w:val="00B026CC"/>
    <w:rsid w:val="00B026EA"/>
    <w:rsid w:val="00B028FF"/>
    <w:rsid w:val="00B13E31"/>
    <w:rsid w:val="00B1696E"/>
    <w:rsid w:val="00B173B3"/>
    <w:rsid w:val="00B2187A"/>
    <w:rsid w:val="00B2459F"/>
    <w:rsid w:val="00B41874"/>
    <w:rsid w:val="00B46C3F"/>
    <w:rsid w:val="00B46C62"/>
    <w:rsid w:val="00B50E5F"/>
    <w:rsid w:val="00B52267"/>
    <w:rsid w:val="00B570FF"/>
    <w:rsid w:val="00B57E9F"/>
    <w:rsid w:val="00B6425F"/>
    <w:rsid w:val="00B71F31"/>
    <w:rsid w:val="00B72CA7"/>
    <w:rsid w:val="00B730C7"/>
    <w:rsid w:val="00B744AA"/>
    <w:rsid w:val="00B853B6"/>
    <w:rsid w:val="00B9536B"/>
    <w:rsid w:val="00BA1272"/>
    <w:rsid w:val="00BA4E3F"/>
    <w:rsid w:val="00BA7F4E"/>
    <w:rsid w:val="00BB2FB6"/>
    <w:rsid w:val="00BC33A8"/>
    <w:rsid w:val="00BC6062"/>
    <w:rsid w:val="00BC790D"/>
    <w:rsid w:val="00BD01AD"/>
    <w:rsid w:val="00BE000E"/>
    <w:rsid w:val="00BE6B95"/>
    <w:rsid w:val="00BF2934"/>
    <w:rsid w:val="00BF299D"/>
    <w:rsid w:val="00BF7C73"/>
    <w:rsid w:val="00C03900"/>
    <w:rsid w:val="00C105E3"/>
    <w:rsid w:val="00C1493A"/>
    <w:rsid w:val="00C16921"/>
    <w:rsid w:val="00C27587"/>
    <w:rsid w:val="00C314D9"/>
    <w:rsid w:val="00C373BA"/>
    <w:rsid w:val="00C43FDC"/>
    <w:rsid w:val="00C56BE2"/>
    <w:rsid w:val="00C61E11"/>
    <w:rsid w:val="00C6525B"/>
    <w:rsid w:val="00C73475"/>
    <w:rsid w:val="00C735D0"/>
    <w:rsid w:val="00C96BFC"/>
    <w:rsid w:val="00C97101"/>
    <w:rsid w:val="00CA078A"/>
    <w:rsid w:val="00CA1A85"/>
    <w:rsid w:val="00CB395B"/>
    <w:rsid w:val="00CB4EC9"/>
    <w:rsid w:val="00CC1963"/>
    <w:rsid w:val="00CC409F"/>
    <w:rsid w:val="00CE1F85"/>
    <w:rsid w:val="00CF309B"/>
    <w:rsid w:val="00CF3C69"/>
    <w:rsid w:val="00CF5CD8"/>
    <w:rsid w:val="00D02D0B"/>
    <w:rsid w:val="00D05838"/>
    <w:rsid w:val="00D11D8D"/>
    <w:rsid w:val="00D1333C"/>
    <w:rsid w:val="00D13DB3"/>
    <w:rsid w:val="00D150F7"/>
    <w:rsid w:val="00D15974"/>
    <w:rsid w:val="00D15C1A"/>
    <w:rsid w:val="00D17188"/>
    <w:rsid w:val="00D2547D"/>
    <w:rsid w:val="00D25F1C"/>
    <w:rsid w:val="00D37777"/>
    <w:rsid w:val="00D42943"/>
    <w:rsid w:val="00D5313C"/>
    <w:rsid w:val="00D5392D"/>
    <w:rsid w:val="00D543EF"/>
    <w:rsid w:val="00D54C9A"/>
    <w:rsid w:val="00D618AB"/>
    <w:rsid w:val="00D749A2"/>
    <w:rsid w:val="00D755BE"/>
    <w:rsid w:val="00D809AF"/>
    <w:rsid w:val="00D83EE4"/>
    <w:rsid w:val="00D91682"/>
    <w:rsid w:val="00DA0EE8"/>
    <w:rsid w:val="00DA4859"/>
    <w:rsid w:val="00DA5527"/>
    <w:rsid w:val="00DA61CA"/>
    <w:rsid w:val="00DB2E4E"/>
    <w:rsid w:val="00DB433E"/>
    <w:rsid w:val="00DB5D4A"/>
    <w:rsid w:val="00DC2011"/>
    <w:rsid w:val="00DD5B43"/>
    <w:rsid w:val="00DE473E"/>
    <w:rsid w:val="00DE659E"/>
    <w:rsid w:val="00DF0852"/>
    <w:rsid w:val="00DF302D"/>
    <w:rsid w:val="00DF3FEE"/>
    <w:rsid w:val="00DF7460"/>
    <w:rsid w:val="00E0230F"/>
    <w:rsid w:val="00E17BA1"/>
    <w:rsid w:val="00E21656"/>
    <w:rsid w:val="00E21CD3"/>
    <w:rsid w:val="00E2705A"/>
    <w:rsid w:val="00E306BB"/>
    <w:rsid w:val="00E30B73"/>
    <w:rsid w:val="00E31DF0"/>
    <w:rsid w:val="00E33E9E"/>
    <w:rsid w:val="00E34CD8"/>
    <w:rsid w:val="00E40C32"/>
    <w:rsid w:val="00E5136D"/>
    <w:rsid w:val="00E514FF"/>
    <w:rsid w:val="00E61925"/>
    <w:rsid w:val="00E710E0"/>
    <w:rsid w:val="00E80CA7"/>
    <w:rsid w:val="00E906B4"/>
    <w:rsid w:val="00E91039"/>
    <w:rsid w:val="00E93376"/>
    <w:rsid w:val="00E93A2F"/>
    <w:rsid w:val="00E95CB1"/>
    <w:rsid w:val="00EA5E5C"/>
    <w:rsid w:val="00EB36E0"/>
    <w:rsid w:val="00EC58C0"/>
    <w:rsid w:val="00EC6BD2"/>
    <w:rsid w:val="00EC6FF8"/>
    <w:rsid w:val="00ED0F10"/>
    <w:rsid w:val="00ED491F"/>
    <w:rsid w:val="00ED7D98"/>
    <w:rsid w:val="00EE4027"/>
    <w:rsid w:val="00EE76C4"/>
    <w:rsid w:val="00EF3C94"/>
    <w:rsid w:val="00F059E1"/>
    <w:rsid w:val="00F07921"/>
    <w:rsid w:val="00F107D9"/>
    <w:rsid w:val="00F12440"/>
    <w:rsid w:val="00F157D3"/>
    <w:rsid w:val="00F2151A"/>
    <w:rsid w:val="00F30859"/>
    <w:rsid w:val="00F35115"/>
    <w:rsid w:val="00F353A7"/>
    <w:rsid w:val="00F35A7B"/>
    <w:rsid w:val="00F35EB9"/>
    <w:rsid w:val="00F42FE1"/>
    <w:rsid w:val="00F4306A"/>
    <w:rsid w:val="00F44AFF"/>
    <w:rsid w:val="00F539DE"/>
    <w:rsid w:val="00F71C44"/>
    <w:rsid w:val="00F75B66"/>
    <w:rsid w:val="00F77BA7"/>
    <w:rsid w:val="00F8230E"/>
    <w:rsid w:val="00F8235C"/>
    <w:rsid w:val="00F85DD2"/>
    <w:rsid w:val="00F87BA6"/>
    <w:rsid w:val="00F87C15"/>
    <w:rsid w:val="00F95627"/>
    <w:rsid w:val="00FA6A3A"/>
    <w:rsid w:val="00FA710E"/>
    <w:rsid w:val="00FB00EC"/>
    <w:rsid w:val="00FB0F58"/>
    <w:rsid w:val="00FB630F"/>
    <w:rsid w:val="00FC68EB"/>
    <w:rsid w:val="00FC6B52"/>
    <w:rsid w:val="00FD0053"/>
    <w:rsid w:val="00FD2737"/>
    <w:rsid w:val="00FD4631"/>
    <w:rsid w:val="00FD65E1"/>
    <w:rsid w:val="00FE078C"/>
    <w:rsid w:val="00FF26C1"/>
    <w:rsid w:val="00FF4242"/>
    <w:rsid w:val="013C3D02"/>
    <w:rsid w:val="01A8901F"/>
    <w:rsid w:val="01EB5BFF"/>
    <w:rsid w:val="024DC986"/>
    <w:rsid w:val="02588B13"/>
    <w:rsid w:val="0342B6E8"/>
    <w:rsid w:val="04E3F71B"/>
    <w:rsid w:val="069E1047"/>
    <w:rsid w:val="06AA87D5"/>
    <w:rsid w:val="0708124C"/>
    <w:rsid w:val="0820B84B"/>
    <w:rsid w:val="0839E0A8"/>
    <w:rsid w:val="083B4F3E"/>
    <w:rsid w:val="084E013A"/>
    <w:rsid w:val="08DEE14A"/>
    <w:rsid w:val="0997A5A0"/>
    <w:rsid w:val="09A94D4C"/>
    <w:rsid w:val="0A84176B"/>
    <w:rsid w:val="0AB5B23E"/>
    <w:rsid w:val="0B42339D"/>
    <w:rsid w:val="0C985C5F"/>
    <w:rsid w:val="0D2CB878"/>
    <w:rsid w:val="0E8FF9CF"/>
    <w:rsid w:val="10179CFE"/>
    <w:rsid w:val="101923EA"/>
    <w:rsid w:val="1064593A"/>
    <w:rsid w:val="1102980A"/>
    <w:rsid w:val="12C63F67"/>
    <w:rsid w:val="12E1978A"/>
    <w:rsid w:val="134D4582"/>
    <w:rsid w:val="138D1172"/>
    <w:rsid w:val="1428BE39"/>
    <w:rsid w:val="14620FC8"/>
    <w:rsid w:val="1480C8BC"/>
    <w:rsid w:val="14C013C8"/>
    <w:rsid w:val="15DD7AAE"/>
    <w:rsid w:val="15F0A705"/>
    <w:rsid w:val="170CFB3F"/>
    <w:rsid w:val="173B9224"/>
    <w:rsid w:val="1820B6A5"/>
    <w:rsid w:val="18244B6D"/>
    <w:rsid w:val="1836DC15"/>
    <w:rsid w:val="1871D195"/>
    <w:rsid w:val="18A01878"/>
    <w:rsid w:val="19B10DAB"/>
    <w:rsid w:val="1B3B32FB"/>
    <w:rsid w:val="1C50793F"/>
    <w:rsid w:val="1C864784"/>
    <w:rsid w:val="1D652467"/>
    <w:rsid w:val="1D8C5D8A"/>
    <w:rsid w:val="1DB96D13"/>
    <w:rsid w:val="1E060A4B"/>
    <w:rsid w:val="1ED0CBCB"/>
    <w:rsid w:val="1F6696B0"/>
    <w:rsid w:val="2027CC7B"/>
    <w:rsid w:val="205DDFF6"/>
    <w:rsid w:val="206C9C2C"/>
    <w:rsid w:val="20C415AA"/>
    <w:rsid w:val="213F493C"/>
    <w:rsid w:val="21FF8B7E"/>
    <w:rsid w:val="223496C6"/>
    <w:rsid w:val="226C1A84"/>
    <w:rsid w:val="22B8C8E8"/>
    <w:rsid w:val="236853E5"/>
    <w:rsid w:val="24200377"/>
    <w:rsid w:val="243A07D3"/>
    <w:rsid w:val="2448F05D"/>
    <w:rsid w:val="248250DE"/>
    <w:rsid w:val="24FB3D9E"/>
    <w:rsid w:val="251D4CA3"/>
    <w:rsid w:val="256E264B"/>
    <w:rsid w:val="25E4C0BE"/>
    <w:rsid w:val="276DB819"/>
    <w:rsid w:val="2775A4A4"/>
    <w:rsid w:val="28ADB493"/>
    <w:rsid w:val="28E7FB36"/>
    <w:rsid w:val="29804BC6"/>
    <w:rsid w:val="29B4AB64"/>
    <w:rsid w:val="2A2D0736"/>
    <w:rsid w:val="2A3C7FE5"/>
    <w:rsid w:val="2AF19262"/>
    <w:rsid w:val="2B4FA982"/>
    <w:rsid w:val="2BA024E5"/>
    <w:rsid w:val="2BC5A28A"/>
    <w:rsid w:val="2BD8AC78"/>
    <w:rsid w:val="2CB89D56"/>
    <w:rsid w:val="2D8C4992"/>
    <w:rsid w:val="2E02F91E"/>
    <w:rsid w:val="2E05DF1F"/>
    <w:rsid w:val="2E7BD827"/>
    <w:rsid w:val="2E90E50D"/>
    <w:rsid w:val="30004DB9"/>
    <w:rsid w:val="309F9E1B"/>
    <w:rsid w:val="30B0D8F2"/>
    <w:rsid w:val="30FF7E30"/>
    <w:rsid w:val="310C901F"/>
    <w:rsid w:val="31148E9A"/>
    <w:rsid w:val="3310FAA0"/>
    <w:rsid w:val="33AC1A3E"/>
    <w:rsid w:val="34E60215"/>
    <w:rsid w:val="35002691"/>
    <w:rsid w:val="3602D20E"/>
    <w:rsid w:val="3629DC51"/>
    <w:rsid w:val="36977042"/>
    <w:rsid w:val="369BF6F2"/>
    <w:rsid w:val="36D599C2"/>
    <w:rsid w:val="36F0D28A"/>
    <w:rsid w:val="3764ED69"/>
    <w:rsid w:val="3813DD69"/>
    <w:rsid w:val="389DAAF1"/>
    <w:rsid w:val="3945ABC5"/>
    <w:rsid w:val="39D397B4"/>
    <w:rsid w:val="3A295C20"/>
    <w:rsid w:val="3A57BB38"/>
    <w:rsid w:val="3AC853C9"/>
    <w:rsid w:val="3BF38B99"/>
    <w:rsid w:val="3CAFA2C9"/>
    <w:rsid w:val="3CF6D648"/>
    <w:rsid w:val="3DFFF48B"/>
    <w:rsid w:val="3EBB6D74"/>
    <w:rsid w:val="3F6125A4"/>
    <w:rsid w:val="3F80FFFC"/>
    <w:rsid w:val="40313E07"/>
    <w:rsid w:val="40B5C1E5"/>
    <w:rsid w:val="40D80AA3"/>
    <w:rsid w:val="421EBD8A"/>
    <w:rsid w:val="42649DDD"/>
    <w:rsid w:val="43A5199C"/>
    <w:rsid w:val="43A915AB"/>
    <w:rsid w:val="44F26071"/>
    <w:rsid w:val="45050F84"/>
    <w:rsid w:val="453CF981"/>
    <w:rsid w:val="46392DFC"/>
    <w:rsid w:val="46D822A2"/>
    <w:rsid w:val="46E0B66D"/>
    <w:rsid w:val="4785AE35"/>
    <w:rsid w:val="48D682CD"/>
    <w:rsid w:val="4935FFEF"/>
    <w:rsid w:val="49655260"/>
    <w:rsid w:val="4A75CC88"/>
    <w:rsid w:val="4AA8EC64"/>
    <w:rsid w:val="4BE739B5"/>
    <w:rsid w:val="4C91D7D4"/>
    <w:rsid w:val="4CEB3F28"/>
    <w:rsid w:val="4D6E0AE7"/>
    <w:rsid w:val="4D9444ED"/>
    <w:rsid w:val="4DD17EA5"/>
    <w:rsid w:val="4E06D5BC"/>
    <w:rsid w:val="4F50FAB9"/>
    <w:rsid w:val="51054103"/>
    <w:rsid w:val="512EDEFB"/>
    <w:rsid w:val="519867AC"/>
    <w:rsid w:val="51E4E798"/>
    <w:rsid w:val="52567B39"/>
    <w:rsid w:val="541CAECE"/>
    <w:rsid w:val="560708BB"/>
    <w:rsid w:val="57B1DDDA"/>
    <w:rsid w:val="58C5BCBD"/>
    <w:rsid w:val="590300AB"/>
    <w:rsid w:val="5A326C70"/>
    <w:rsid w:val="5A78350A"/>
    <w:rsid w:val="5B012904"/>
    <w:rsid w:val="5B2B2CB5"/>
    <w:rsid w:val="5B4CE28F"/>
    <w:rsid w:val="5B555011"/>
    <w:rsid w:val="5BB741FB"/>
    <w:rsid w:val="5BE56FC4"/>
    <w:rsid w:val="5CBB19F0"/>
    <w:rsid w:val="5D025B49"/>
    <w:rsid w:val="5D1ED724"/>
    <w:rsid w:val="5D628FE6"/>
    <w:rsid w:val="5E4E0942"/>
    <w:rsid w:val="604AF858"/>
    <w:rsid w:val="606535E1"/>
    <w:rsid w:val="616EDF87"/>
    <w:rsid w:val="61D5CC6C"/>
    <w:rsid w:val="6225047B"/>
    <w:rsid w:val="62681DF7"/>
    <w:rsid w:val="628EE7C1"/>
    <w:rsid w:val="629C323C"/>
    <w:rsid w:val="62B16E7C"/>
    <w:rsid w:val="63E57C6E"/>
    <w:rsid w:val="642112C4"/>
    <w:rsid w:val="645D723A"/>
    <w:rsid w:val="664562A5"/>
    <w:rsid w:val="6863CC3E"/>
    <w:rsid w:val="689D87D8"/>
    <w:rsid w:val="692A2AA8"/>
    <w:rsid w:val="69893240"/>
    <w:rsid w:val="6B9CDC2A"/>
    <w:rsid w:val="6BD37B8F"/>
    <w:rsid w:val="6BF179C1"/>
    <w:rsid w:val="6C1B6ECF"/>
    <w:rsid w:val="6C2EF745"/>
    <w:rsid w:val="6DA0CAAF"/>
    <w:rsid w:val="6E7B7812"/>
    <w:rsid w:val="6E89EC40"/>
    <w:rsid w:val="6EB450A9"/>
    <w:rsid w:val="6F0AC686"/>
    <w:rsid w:val="6F8EEA0A"/>
    <w:rsid w:val="6FB17550"/>
    <w:rsid w:val="6FF23184"/>
    <w:rsid w:val="6FFA9802"/>
    <w:rsid w:val="70C0B866"/>
    <w:rsid w:val="70EEDFF2"/>
    <w:rsid w:val="713FE6C9"/>
    <w:rsid w:val="7185B289"/>
    <w:rsid w:val="72D06FC8"/>
    <w:rsid w:val="73476512"/>
    <w:rsid w:val="73905AA3"/>
    <w:rsid w:val="73F85928"/>
    <w:rsid w:val="747C64B7"/>
    <w:rsid w:val="751F2415"/>
    <w:rsid w:val="756D0150"/>
    <w:rsid w:val="75721A84"/>
    <w:rsid w:val="7598C9AA"/>
    <w:rsid w:val="75ECF0B7"/>
    <w:rsid w:val="760DCA31"/>
    <w:rsid w:val="7801ADD8"/>
    <w:rsid w:val="78531744"/>
    <w:rsid w:val="78C71D1B"/>
    <w:rsid w:val="79DFB106"/>
    <w:rsid w:val="7A07BB4F"/>
    <w:rsid w:val="7B8476EE"/>
    <w:rsid w:val="7CC85EFF"/>
    <w:rsid w:val="7D9F3B6E"/>
    <w:rsid w:val="7DCF1B4F"/>
    <w:rsid w:val="7DD6240B"/>
    <w:rsid w:val="7E157926"/>
    <w:rsid w:val="7E534D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D62AD"/>
  <w15:chartTrackingRefBased/>
  <w15:docId w15:val="{2089307B-DF07-47C0-9509-C875CDF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aliases w:val="Heading 2 Char"/>
    <w:basedOn w:val="Normal"/>
    <w:next w:val="Normal"/>
    <w:qFormat/>
    <w:pPr>
      <w:keepNext/>
      <w:jc w:val="center"/>
      <w:outlineLvl w:val="1"/>
    </w:pPr>
    <w:rPr>
      <w:b/>
    </w:rPr>
  </w:style>
  <w:style w:type="paragraph" w:styleId="Heading3">
    <w:name w:val="heading 3"/>
    <w:basedOn w:val="Normal"/>
    <w:next w:val="Normal"/>
    <w:qFormat/>
    <w:pPr>
      <w:keepNext/>
      <w:spacing w:after="120"/>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keepNext/>
      <w:shd w:val="clear" w:color="auto" w:fill="FFFFFF"/>
      <w:outlineLvl w:val="6"/>
    </w:pPr>
    <w:rPr>
      <w:b/>
      <w:color w:val="0000FF"/>
      <w:sz w:val="28"/>
    </w:rPr>
  </w:style>
  <w:style w:type="paragraph" w:styleId="Heading8">
    <w:name w:val="heading 8"/>
    <w:basedOn w:val="Normal"/>
    <w:next w:val="Normal"/>
    <w:qFormat/>
    <w:pPr>
      <w:keepNext/>
      <w:shd w:val="clear" w:color="auto" w:fill="FFFFFF"/>
      <w:jc w:val="right"/>
      <w:outlineLvl w:val="7"/>
    </w:pPr>
    <w:rPr>
      <w:b/>
    </w:rPr>
  </w:style>
  <w:style w:type="paragraph" w:styleId="Heading9">
    <w:name w:val="heading 9"/>
    <w:basedOn w:val="Normal"/>
    <w:next w:val="Normal"/>
    <w:qFormat/>
    <w:pPr>
      <w:keepNext/>
      <w:shd w:val="clear" w:color="auto" w:fill="FFFFFF"/>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link w:val="FootnoteTextChar"/>
    <w:semiHidden/>
    <w:rPr>
      <w:sz w:val="20"/>
    </w:rPr>
  </w:style>
  <w:style w:type="character" w:styleId="FootnoteReference">
    <w:name w:val="footnote reference"/>
    <w:semiHidden/>
    <w:rPr>
      <w:sz w:val="20"/>
      <w:vertAlign w:val="superscript"/>
    </w:rPr>
  </w:style>
  <w:style w:type="paragraph" w:styleId="Title">
    <w:name w:val="Title"/>
    <w:basedOn w:val="Normal"/>
    <w:link w:val="TitleChar"/>
    <w:qFormat/>
    <w:pPr>
      <w:jc w:val="center"/>
    </w:pPr>
    <w:rPr>
      <w:b/>
    </w:rPr>
  </w:style>
  <w:style w:type="character" w:styleId="Hyperlink">
    <w:name w:val="Hyperlink"/>
    <w:rPr>
      <w:color w:val="0000FF"/>
      <w:sz w:val="20"/>
      <w:u w:val="single"/>
    </w:rPr>
  </w:style>
  <w:style w:type="paragraph" w:styleId="BodyText">
    <w:name w:val="Body Text"/>
    <w:basedOn w:val="Normal"/>
    <w:pPr>
      <w:tabs>
        <w:tab w:val="left" w:pos="0"/>
        <w:tab w:val="left" w:pos="1040"/>
        <w:tab w:val="left" w:pos="2081"/>
        <w:tab w:val="left" w:pos="3121"/>
        <w:tab w:val="left" w:pos="4161"/>
        <w:tab w:val="left" w:pos="5202"/>
        <w:tab w:val="left" w:pos="6242"/>
        <w:tab w:val="left" w:pos="7282"/>
        <w:tab w:val="left" w:pos="8323"/>
        <w:tab w:val="left" w:pos="9363"/>
        <w:tab w:val="left" w:pos="10403"/>
        <w:tab w:val="left" w:pos="11443"/>
      </w:tabs>
      <w:jc w:val="both"/>
    </w:pPr>
    <w:rPr>
      <w:rFonts w:ascii="Times New Roman" w:hAnsi="Times New Roman"/>
    </w:rPr>
  </w:style>
  <w:style w:type="paragraph" w:styleId="BodyText2">
    <w:name w:val="Body Text 2"/>
    <w:basedOn w:val="Normal"/>
    <w:rPr>
      <w:sz w:val="22"/>
    </w:rPr>
  </w:style>
  <w:style w:type="paragraph" w:styleId="BodyTextIndent">
    <w:name w:val="Body Text Indent"/>
    <w:basedOn w:val="Normal"/>
    <w:pPr>
      <w:ind w:left="432" w:hanging="432"/>
    </w:pPr>
    <w:rPr>
      <w:sz w:val="22"/>
    </w:rPr>
  </w:style>
  <w:style w:type="paragraph" w:styleId="BodyTextIndent2">
    <w:name w:val="Body Text Indent 2"/>
    <w:basedOn w:val="Normal"/>
    <w:pPr>
      <w:ind w:left="288" w:hanging="288"/>
    </w:pPr>
    <w:rPr>
      <w:sz w:val="22"/>
    </w:rPr>
  </w:style>
  <w:style w:type="character" w:styleId="PageNumber">
    <w:name w:val="page number"/>
    <w:rPr>
      <w:sz w:val="20"/>
    </w:rPr>
  </w:style>
  <w:style w:type="paragraph" w:styleId="BodyText3">
    <w:name w:val="Body Text 3"/>
    <w:basedOn w:val="Normal"/>
    <w:pPr>
      <w:pBdr>
        <w:top w:val="single" w:sz="6" w:space="1" w:color="auto"/>
        <w:left w:val="single" w:sz="6" w:space="4" w:color="auto"/>
        <w:bottom w:val="single" w:sz="6" w:space="1" w:color="auto"/>
        <w:right w:val="single" w:sz="6" w:space="4" w:color="auto"/>
      </w:pBdr>
    </w:pPr>
  </w:style>
  <w:style w:type="character" w:styleId="FollowedHyperlink">
    <w:name w:val="FollowedHyperlink"/>
    <w:rPr>
      <w:color w:val="800080"/>
      <w:u w:val="single"/>
    </w:rPr>
  </w:style>
  <w:style w:type="paragraph" w:styleId="BodyTextIndent3">
    <w:name w:val="Body Text Indent 3"/>
    <w:basedOn w:val="Normal"/>
    <w:pPr>
      <w:shd w:val="clear" w:color="auto" w:fill="FFFFFF"/>
      <w:spacing w:before="240"/>
      <w:ind w:left="360"/>
    </w:pPr>
    <w:rPr>
      <w:b/>
    </w:rPr>
  </w:style>
  <w:style w:type="paragraph" w:styleId="Subtitle">
    <w:name w:val="Subtitle"/>
    <w:basedOn w:val="Normal"/>
    <w:qFormat/>
    <w:pPr>
      <w:widowControl/>
    </w:pPr>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F4E95"/>
    <w:rPr>
      <w:rFonts w:ascii="Tahoma" w:hAnsi="Tahoma" w:cs="Tahoma"/>
      <w:sz w:val="16"/>
      <w:szCs w:val="16"/>
    </w:rPr>
  </w:style>
  <w:style w:type="paragraph" w:customStyle="1" w:styleId="Char">
    <w:name w:val="Char"/>
    <w:basedOn w:val="Normal"/>
    <w:rsid w:val="00DE659E"/>
    <w:pPr>
      <w:widowControl/>
      <w:spacing w:after="160" w:line="240" w:lineRule="exact"/>
    </w:pPr>
    <w:rPr>
      <w:rFonts w:ascii="Tahoma" w:hAnsi="Tahoma"/>
      <w:sz w:val="20"/>
      <w:lang w:val="en-US"/>
    </w:rPr>
  </w:style>
  <w:style w:type="table" w:styleId="TableGrid">
    <w:name w:val="Table Grid"/>
    <w:basedOn w:val="TableNormal"/>
    <w:rsid w:val="00BC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D15C1A"/>
    <w:pPr>
      <w:widowControl/>
      <w:spacing w:after="160" w:line="240" w:lineRule="exact"/>
    </w:pPr>
    <w:rPr>
      <w:rFonts w:ascii="Tahoma" w:hAnsi="Tahoma"/>
      <w:sz w:val="20"/>
      <w:lang w:val="en-US"/>
    </w:rPr>
  </w:style>
  <w:style w:type="paragraph" w:styleId="NormalWeb">
    <w:name w:val="Normal (Web)"/>
    <w:basedOn w:val="Normal"/>
    <w:rsid w:val="00D15C1A"/>
    <w:pPr>
      <w:widowControl/>
      <w:spacing w:before="100" w:beforeAutospacing="1" w:after="100" w:afterAutospacing="1"/>
    </w:pPr>
    <w:rPr>
      <w:rFonts w:ascii="Times New Roman" w:hAnsi="Times New Roman"/>
      <w:szCs w:val="24"/>
      <w:lang w:eastAsia="en-GB"/>
    </w:rPr>
  </w:style>
  <w:style w:type="character" w:styleId="Strong">
    <w:name w:val="Strong"/>
    <w:qFormat/>
    <w:rsid w:val="00FA710E"/>
    <w:rPr>
      <w:rFonts w:ascii="Times New Roman" w:hAnsi="Times New Roman" w:cs="Times New Roman" w:hint="default"/>
      <w:b/>
      <w:bCs/>
    </w:rPr>
  </w:style>
  <w:style w:type="paragraph" w:customStyle="1" w:styleId="NormalWeb25">
    <w:name w:val="Normal (Web)25"/>
    <w:basedOn w:val="Normal"/>
    <w:rsid w:val="00FA710E"/>
    <w:pPr>
      <w:widowControl/>
      <w:shd w:val="clear" w:color="auto" w:fill="FFFFFF"/>
      <w:autoSpaceDE w:val="0"/>
      <w:autoSpaceDN w:val="0"/>
      <w:spacing w:before="100" w:after="100"/>
    </w:pPr>
    <w:rPr>
      <w:rFonts w:cs="Arial"/>
      <w:color w:val="000000"/>
      <w:sz w:val="32"/>
      <w:szCs w:val="32"/>
      <w:lang w:val="en-US" w:eastAsia="en-GB"/>
    </w:rPr>
  </w:style>
  <w:style w:type="paragraph" w:customStyle="1" w:styleId="Default">
    <w:name w:val="Default"/>
    <w:rsid w:val="006D3723"/>
    <w:pPr>
      <w:autoSpaceDE w:val="0"/>
      <w:autoSpaceDN w:val="0"/>
      <w:adjustRightInd w:val="0"/>
    </w:pPr>
    <w:rPr>
      <w:rFonts w:ascii="Gill Sans MT Pro Light" w:hAnsi="Gill Sans MT Pro Light" w:cs="Gill Sans MT Pro Light"/>
      <w:color w:val="000000"/>
      <w:sz w:val="24"/>
      <w:szCs w:val="24"/>
      <w:lang w:eastAsia="en-GB"/>
    </w:rPr>
  </w:style>
  <w:style w:type="character" w:customStyle="1" w:styleId="FootnoteTextChar">
    <w:name w:val="Footnote Text Char"/>
    <w:link w:val="FootnoteText"/>
    <w:semiHidden/>
    <w:rsid w:val="00AD59B3"/>
    <w:rPr>
      <w:rFonts w:ascii="Arial" w:hAnsi="Arial"/>
      <w:lang w:eastAsia="en-US"/>
    </w:rPr>
  </w:style>
  <w:style w:type="paragraph" w:customStyle="1" w:styleId="summarydetails">
    <w:name w:val="summarydetails"/>
    <w:basedOn w:val="Normal"/>
    <w:rsid w:val="00AD59B3"/>
    <w:pPr>
      <w:widowControl/>
      <w:spacing w:before="100" w:beforeAutospacing="1" w:after="100" w:afterAutospacing="1"/>
    </w:pPr>
    <w:rPr>
      <w:rFonts w:ascii="Times New Roman" w:hAnsi="Times New Roman"/>
      <w:szCs w:val="24"/>
      <w:lang w:eastAsia="en-GB"/>
    </w:rPr>
  </w:style>
  <w:style w:type="character" w:customStyle="1" w:styleId="HeaderChar">
    <w:name w:val="Header Char"/>
    <w:link w:val="Header"/>
    <w:uiPriority w:val="99"/>
    <w:rsid w:val="004C3388"/>
    <w:rPr>
      <w:rFonts w:ascii="Arial" w:hAnsi="Arial"/>
      <w:sz w:val="24"/>
      <w:lang w:eastAsia="en-US"/>
    </w:rPr>
  </w:style>
  <w:style w:type="character" w:customStyle="1" w:styleId="TitleChar">
    <w:name w:val="Title Char"/>
    <w:link w:val="Title"/>
    <w:rsid w:val="00C27587"/>
    <w:rPr>
      <w:rFonts w:ascii="Arial" w:hAnsi="Arial"/>
      <w:b/>
      <w:sz w:val="24"/>
      <w:lang w:eastAsia="en-US"/>
    </w:rPr>
  </w:style>
  <w:style w:type="paragraph" w:styleId="ListParagraph">
    <w:name w:val="List Paragraph"/>
    <w:basedOn w:val="Default"/>
    <w:next w:val="Default"/>
    <w:uiPriority w:val="34"/>
    <w:qFormat/>
    <w:rsid w:val="00B570FF"/>
    <w:rPr>
      <w:rFonts w:ascii="Arial" w:hAnsi="Arial" w:cs="Arial"/>
      <w:color w:val="auto"/>
    </w:rPr>
  </w:style>
  <w:style w:type="character" w:styleId="CommentReference">
    <w:name w:val="annotation reference"/>
    <w:rsid w:val="00966DC7"/>
    <w:rPr>
      <w:sz w:val="16"/>
      <w:szCs w:val="16"/>
    </w:rPr>
  </w:style>
  <w:style w:type="paragraph" w:styleId="CommentText">
    <w:name w:val="annotation text"/>
    <w:basedOn w:val="Normal"/>
    <w:link w:val="CommentTextChar"/>
    <w:rsid w:val="00966DC7"/>
    <w:rPr>
      <w:sz w:val="20"/>
    </w:rPr>
  </w:style>
  <w:style w:type="character" w:customStyle="1" w:styleId="CommentTextChar">
    <w:name w:val="Comment Text Char"/>
    <w:link w:val="CommentText"/>
    <w:rsid w:val="00966DC7"/>
    <w:rPr>
      <w:rFonts w:ascii="Arial" w:hAnsi="Arial"/>
      <w:lang w:eastAsia="en-US"/>
    </w:rPr>
  </w:style>
  <w:style w:type="paragraph" w:styleId="CommentSubject">
    <w:name w:val="annotation subject"/>
    <w:basedOn w:val="CommentText"/>
    <w:next w:val="CommentText"/>
    <w:link w:val="CommentSubjectChar"/>
    <w:rsid w:val="00966DC7"/>
    <w:rPr>
      <w:b/>
      <w:bCs/>
    </w:rPr>
  </w:style>
  <w:style w:type="character" w:customStyle="1" w:styleId="CommentSubjectChar">
    <w:name w:val="Comment Subject Char"/>
    <w:link w:val="CommentSubject"/>
    <w:rsid w:val="00966DC7"/>
    <w:rPr>
      <w:rFonts w:ascii="Arial" w:hAnsi="Arial"/>
      <w:b/>
      <w:bCs/>
      <w:lang w:eastAsia="en-US"/>
    </w:rPr>
  </w:style>
  <w:style w:type="character" w:customStyle="1" w:styleId="normaltextrun">
    <w:name w:val="normaltextrun"/>
    <w:basedOn w:val="DefaultParagraphFont"/>
    <w:rsid w:val="628EE7C1"/>
  </w:style>
  <w:style w:type="paragraph" w:customStyle="1" w:styleId="paragraph">
    <w:name w:val="paragraph"/>
    <w:basedOn w:val="Normal"/>
    <w:rsid w:val="628EE7C1"/>
    <w:pPr>
      <w:spacing w:beforeAutospacing="1" w:afterAutospacing="1"/>
    </w:pPr>
    <w:rPr>
      <w:rFonts w:ascii="Times New Roman" w:hAnsi="Times New Roman"/>
      <w:lang w:eastAsia="en-GB"/>
    </w:rPr>
  </w:style>
  <w:style w:type="character" w:customStyle="1" w:styleId="eop">
    <w:name w:val="eop"/>
    <w:basedOn w:val="DefaultParagraphFont"/>
    <w:rsid w:val="628EE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543">
      <w:bodyDiv w:val="1"/>
      <w:marLeft w:val="0"/>
      <w:marRight w:val="0"/>
      <w:marTop w:val="0"/>
      <w:marBottom w:val="0"/>
      <w:divBdr>
        <w:top w:val="none" w:sz="0" w:space="0" w:color="auto"/>
        <w:left w:val="none" w:sz="0" w:space="0" w:color="auto"/>
        <w:bottom w:val="none" w:sz="0" w:space="0" w:color="auto"/>
        <w:right w:val="none" w:sz="0" w:space="0" w:color="auto"/>
      </w:divBdr>
    </w:div>
    <w:div w:id="101459936">
      <w:bodyDiv w:val="1"/>
      <w:marLeft w:val="0"/>
      <w:marRight w:val="0"/>
      <w:marTop w:val="0"/>
      <w:marBottom w:val="0"/>
      <w:divBdr>
        <w:top w:val="none" w:sz="0" w:space="0" w:color="auto"/>
        <w:left w:val="none" w:sz="0" w:space="0" w:color="auto"/>
        <w:bottom w:val="none" w:sz="0" w:space="0" w:color="auto"/>
        <w:right w:val="none" w:sz="0" w:space="0" w:color="auto"/>
      </w:divBdr>
    </w:div>
    <w:div w:id="518661279">
      <w:bodyDiv w:val="1"/>
      <w:marLeft w:val="0"/>
      <w:marRight w:val="0"/>
      <w:marTop w:val="0"/>
      <w:marBottom w:val="0"/>
      <w:divBdr>
        <w:top w:val="none" w:sz="0" w:space="0" w:color="auto"/>
        <w:left w:val="none" w:sz="0" w:space="0" w:color="auto"/>
        <w:bottom w:val="none" w:sz="0" w:space="0" w:color="auto"/>
        <w:right w:val="none" w:sz="0" w:space="0" w:color="auto"/>
      </w:divBdr>
    </w:div>
    <w:div w:id="919408978">
      <w:bodyDiv w:val="1"/>
      <w:marLeft w:val="0"/>
      <w:marRight w:val="0"/>
      <w:marTop w:val="0"/>
      <w:marBottom w:val="0"/>
      <w:divBdr>
        <w:top w:val="none" w:sz="0" w:space="0" w:color="auto"/>
        <w:left w:val="none" w:sz="0" w:space="0" w:color="auto"/>
        <w:bottom w:val="none" w:sz="0" w:space="0" w:color="auto"/>
        <w:right w:val="none" w:sz="0" w:space="0" w:color="auto"/>
      </w:divBdr>
    </w:div>
    <w:div w:id="945237238">
      <w:bodyDiv w:val="1"/>
      <w:marLeft w:val="0"/>
      <w:marRight w:val="0"/>
      <w:marTop w:val="0"/>
      <w:marBottom w:val="0"/>
      <w:divBdr>
        <w:top w:val="none" w:sz="0" w:space="0" w:color="auto"/>
        <w:left w:val="none" w:sz="0" w:space="0" w:color="auto"/>
        <w:bottom w:val="none" w:sz="0" w:space="0" w:color="auto"/>
        <w:right w:val="none" w:sz="0" w:space="0" w:color="auto"/>
      </w:divBdr>
    </w:div>
    <w:div w:id="1489204085">
      <w:bodyDiv w:val="1"/>
      <w:marLeft w:val="0"/>
      <w:marRight w:val="0"/>
      <w:marTop w:val="0"/>
      <w:marBottom w:val="0"/>
      <w:divBdr>
        <w:top w:val="none" w:sz="0" w:space="0" w:color="auto"/>
        <w:left w:val="none" w:sz="0" w:space="0" w:color="auto"/>
        <w:bottom w:val="none" w:sz="0" w:space="0" w:color="auto"/>
        <w:right w:val="none" w:sz="0" w:space="0" w:color="auto"/>
      </w:divBdr>
    </w:div>
    <w:div w:id="19141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ss.martin@fif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nquiry.equalities@fif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EqualOpt xmlns="65446faf-de5a-4ff8-8564-bcfd1c270a88">Communities and Neighbourhoods</ServiceEqualOpt>
    <TaxCatchAll xmlns="264c5323-e590-4694-88b8-b70f18bb79bc">
      <Value>149</Value>
    </TaxCatchAll>
    <WorkAreaEqualReq xmlns="65446faf-de5a-4ff8-8564-bcfd1c270a88">Impact Assessment</WorkAreaEqualReq>
    <ItemEqualReq xmlns="65446faf-de5a-4ff8-8564-bcfd1c270a88">Form</ItemEqual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CalYearReq xmlns="264c5323-e590-4694-88b8-b70f18bb79bc">2021-12-31T00:00:00+00:00</CalYearReq>
    <Protective_x0020_Marking xmlns="264c5323-e590-4694-88b8-b70f18bb79bc">OFFICIAL</Protective_x0020_Marking>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443CFA9C0921384D811FBE472E7E514C" ma:contentTypeVersion="35" ma:contentTypeDescription="" ma:contentTypeScope="" ma:versionID="70185a012fc6c9d692010d3f0c0f604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fd1d99fcf0dab48d771b5e1df1b9b3b"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CalYearReq"/>
                <xsd:element ref="ns3:WorkAreaEqualReq"/>
                <xsd:element ref="ns3:ItemEqualReq"/>
                <xsd:element ref="ns3:ServiceEqual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d15e298-8915-4706-a550-f6f1c2a36d0f}"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15e298-8915-4706-a550-f6f1c2a36d0f}"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CalYearReq" ma:index="13" ma:displayName="Cal Year*" ma:default="2022-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qualReq" ma:index="14" ma:displayName="Work Area (Equal)*" ma:internalName="WorkAreaEqualReq" ma:readOnly="false">
      <xsd:simpleType>
        <xsd:restriction base="dms:Choice">
          <xsd:enumeration value="Accessible Information"/>
          <xsd:enumeration value="Equality Outcomes"/>
          <xsd:enumeration value="Fairer Scotland Duty"/>
          <xsd:enumeration value="Hate Incidents"/>
          <xsd:enumeration value="Impact Assessment"/>
          <xsd:enumeration value="Particpation Requests"/>
          <xsd:enumeration value="Projects"/>
          <xsd:enumeration value="Refugee Support"/>
          <xsd:enumeration value="Resources"/>
          <xsd:enumeration value="Senior Equalities Group"/>
        </xsd:restriction>
      </xsd:simpleType>
    </xsd:element>
    <xsd:element name="ItemEqualReq" ma:index="15" ma:displayName="Item (Equal)*" ma:internalName="ItemEqualReq" ma:readOnly="false">
      <xsd:simpleType>
        <xsd:restriction base="dms:Choice">
          <xsd:enumeration value="Annual Report"/>
          <xsd:enumeration value="Briefing"/>
          <xsd:enumeration value="Correspondence"/>
          <xsd:enumeration value="Form"/>
          <xsd:enumeration value="Guidance"/>
          <xsd:enumeration value="Meeting"/>
          <xsd:enumeration value="Policy"/>
          <xsd:enumeration value="Presentation"/>
          <xsd:enumeration value="Report"/>
          <xsd:enumeration value="Spreadsheet"/>
          <xsd:enumeration value="Stats"/>
        </xsd:restriction>
      </xsd:simpleType>
    </xsd:element>
    <xsd:element name="ServiceEqualOpt" ma:index="16" nillable="true" ma:displayName="Service (Equal)" ma:internalName="ServiceEqualOpt">
      <xsd:simpleType>
        <xsd:restriction base="dms:Choice">
          <xsd:enumeration value="Assets Transportation and Environment"/>
          <xsd:enumeration value="Children and Families"/>
          <xsd:enumeration value="Communities and Neighbourhoods"/>
          <xsd:enumeration value="Corporate"/>
          <xsd:enumeration value="Economy Planning and Employability"/>
          <xsd:enumeration value="Education"/>
          <xsd:enumeration value="Environmental Health"/>
          <xsd:enumeration value="Health and Social Care"/>
          <xsd:enumeration value="Housing"/>
          <xsd:enumeration value="H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43B5B1B7-3167-46B1-8253-56259298C334}">
  <ds:schemaRefs>
    <ds:schemaRef ds:uri="http://schemas.openxmlformats.org/officeDocument/2006/bibliography"/>
  </ds:schemaRefs>
</ds:datastoreItem>
</file>

<file path=customXml/itemProps2.xml><?xml version="1.0" encoding="utf-8"?>
<ds:datastoreItem xmlns:ds="http://schemas.openxmlformats.org/officeDocument/2006/customXml" ds:itemID="{16C3A2F6-09B7-4417-8B90-AFA60B895B9A}">
  <ds:schemaRefs>
    <ds:schemaRef ds:uri="http://schemas.microsoft.com/sharepoint/v3/contenttype/forms"/>
  </ds:schemaRefs>
</ds:datastoreItem>
</file>

<file path=customXml/itemProps3.xml><?xml version="1.0" encoding="utf-8"?>
<ds:datastoreItem xmlns:ds="http://schemas.openxmlformats.org/officeDocument/2006/customXml" ds:itemID="{5AE58085-2CBD-44C2-BB2A-95ABFF5213CF}">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4.xml><?xml version="1.0" encoding="utf-8"?>
<ds:datastoreItem xmlns:ds="http://schemas.openxmlformats.org/officeDocument/2006/customXml" ds:itemID="{B8BD5B6E-0BD2-4EAB-A3C0-2409F808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BA8AD4-260D-4DDF-A907-6BACC399E3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fife council</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CLD Plan (2021-24)</dc:title>
  <dc:subject/>
  <dc:creator>fife council</dc:creator>
  <cp:keywords/>
  <cp:lastModifiedBy>Jill Guild</cp:lastModifiedBy>
  <cp:revision>2</cp:revision>
  <cp:lastPrinted>2018-06-18T22:14:00Z</cp:lastPrinted>
  <dcterms:created xsi:type="dcterms:W3CDTF">2022-06-14T09:11:00Z</dcterms:created>
  <dcterms:modified xsi:type="dcterms:W3CDTF">2022-06-14T09:11:00Z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0x010100A2637EAA83360140BB49E0F830C79BBC0100443CFA9C0921384D811FBE472E7E514C</vt:lpwstr>
  </property>
  <property fmtid="{D5CDD505-2E9C-101B-9397-08002B2CF9AE}" pid="3" name="_dlc_policyId">
    <vt:lpwstr>/sites/comprov/co-in-dc/Equalities</vt:lpwstr>
  </property>
  <property fmtid="{D5CDD505-2E9C-101B-9397-08002B2CF9AE}" pid="4" name="_dlc_ExpireDate">
    <vt:filetime>2022-08-17T12:30:01Z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YearReq">
    <vt:lpwstr>149;#2021|57ace4b8-1831-4b7c-b4ac-e8692ad19cc1</vt:lpwstr>
  </property>
</Properties>
</file>