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colors1.xml" ContentType="application/vnd.ms-office.chartcolor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theme/theme1.xml" ContentType="application/vnd.openxmlformats-officedocument.theme+xml"/>
  <Override PartName="/word/charts/style11.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6B9D6" w14:textId="77777777" w:rsidR="001927FC" w:rsidRPr="00B54AF4" w:rsidRDefault="00A9179A" w:rsidP="001927FC">
      <w:pPr>
        <w:pStyle w:val="CommitteeTitle"/>
        <w:rPr>
          <w:rFonts w:cs="Helvetica"/>
        </w:rPr>
      </w:pPr>
      <w:r w:rsidRPr="00B54AF4">
        <w:rPr>
          <w:rFonts w:cs="Helvetica"/>
        </w:rPr>
        <w:t xml:space="preserve">Assets and </w:t>
      </w:r>
      <w:r w:rsidR="000702B6">
        <w:rPr>
          <w:rFonts w:cs="Helvetica"/>
        </w:rPr>
        <w:t>Corporate Services</w:t>
      </w:r>
      <w:r w:rsidRPr="00B54AF4">
        <w:rPr>
          <w:rFonts w:cs="Helvetica"/>
        </w:rPr>
        <w:t xml:space="preserve"> Committee</w:t>
      </w:r>
      <w:r w:rsidR="00E24AD0" w:rsidRPr="00B54AF4">
        <w:rPr>
          <w:rFonts w:cs="Helvetica"/>
          <w:highlight w:val="yellow"/>
        </w:rPr>
        <w:drawing>
          <wp:anchor distT="0" distB="0" distL="114300" distR="114300" simplePos="0" relativeHeight="251657728" behindDoc="1" locked="0" layoutInCell="1" allowOverlap="1" wp14:anchorId="74760CB1" wp14:editId="6FD1CC2C">
            <wp:simplePos x="0" y="0"/>
            <wp:positionH relativeFrom="column">
              <wp:posOffset>-554355</wp:posOffset>
            </wp:positionH>
            <wp:positionV relativeFrom="paragraph">
              <wp:posOffset>-56515</wp:posOffset>
            </wp:positionV>
            <wp:extent cx="6972300" cy="920750"/>
            <wp:effectExtent l="0" t="0" r="0" b="0"/>
            <wp:wrapNone/>
            <wp:docPr id="3" name="Picture 3" descr="fcB&amp;WFlas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B&amp;WFlash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0" cy="920750"/>
                    </a:xfrm>
                    <a:prstGeom prst="rect">
                      <a:avLst/>
                    </a:prstGeom>
                    <a:noFill/>
                  </pic:spPr>
                </pic:pic>
              </a:graphicData>
            </a:graphic>
            <wp14:sizeRelH relativeFrom="page">
              <wp14:pctWidth>0</wp14:pctWidth>
            </wp14:sizeRelH>
            <wp14:sizeRelV relativeFrom="page">
              <wp14:pctHeight>0</wp14:pctHeight>
            </wp14:sizeRelV>
          </wp:anchor>
        </w:drawing>
      </w:r>
      <w:r w:rsidR="00F548B4" w:rsidRPr="00B54AF4">
        <w:rPr>
          <w:rFonts w:cs="Helvetica"/>
        </w:rPr>
        <w:t xml:space="preserve"> </w:t>
      </w:r>
    </w:p>
    <w:p w14:paraId="34A429CC" w14:textId="77777777" w:rsidR="00B86886" w:rsidRPr="00B54AF4" w:rsidRDefault="00B86886" w:rsidP="009B4ECC">
      <w:pPr>
        <w:spacing w:before="0"/>
        <w:rPr>
          <w:rFonts w:ascii="Arial" w:hAnsi="Arial" w:cs="Arial"/>
        </w:rPr>
      </w:pPr>
    </w:p>
    <w:p w14:paraId="18E455E5" w14:textId="73C0531E" w:rsidR="00E12351" w:rsidRPr="00B54AF4" w:rsidRDefault="00AE7F62" w:rsidP="009B4ECC">
      <w:pPr>
        <w:spacing w:before="0"/>
        <w:rPr>
          <w:rFonts w:ascii="Arial" w:hAnsi="Arial" w:cs="Arial"/>
        </w:rPr>
      </w:pPr>
      <w:r>
        <w:rPr>
          <w:rFonts w:ascii="Arial" w:hAnsi="Arial" w:cs="Arial"/>
        </w:rPr>
        <w:t>20 August 20</w:t>
      </w:r>
    </w:p>
    <w:p w14:paraId="0AC0036B" w14:textId="77777777" w:rsidR="009B4ECC" w:rsidRPr="00B54AF4" w:rsidRDefault="009B4ECC" w:rsidP="009B4ECC">
      <w:pPr>
        <w:spacing w:before="0"/>
        <w:rPr>
          <w:rFonts w:ascii="Arial" w:hAnsi="Arial" w:cs="Arial"/>
        </w:rPr>
      </w:pPr>
      <w:r w:rsidRPr="00B54AF4">
        <w:rPr>
          <w:rFonts w:ascii="Arial" w:hAnsi="Arial" w:cs="Arial"/>
        </w:rPr>
        <w:t xml:space="preserve">Agenda Item </w:t>
      </w:r>
      <w:r w:rsidR="00B70BAF" w:rsidRPr="00B54AF4">
        <w:rPr>
          <w:rFonts w:ascii="Arial" w:hAnsi="Arial" w:cs="Arial"/>
        </w:rPr>
        <w:t xml:space="preserve">No. </w:t>
      </w:r>
    </w:p>
    <w:tbl>
      <w:tblPr>
        <w:tblW w:w="0" w:type="auto"/>
        <w:tblLook w:val="00A0" w:firstRow="1" w:lastRow="0" w:firstColumn="1" w:lastColumn="0" w:noHBand="0" w:noVBand="0"/>
      </w:tblPr>
      <w:tblGrid>
        <w:gridCol w:w="9638"/>
      </w:tblGrid>
      <w:tr w:rsidR="00A90C08" w:rsidRPr="00B54AF4" w14:paraId="27D655BB" w14:textId="77777777">
        <w:tc>
          <w:tcPr>
            <w:tcW w:w="9854" w:type="dxa"/>
            <w:tcBorders>
              <w:bottom w:val="single" w:sz="4" w:space="0" w:color="00424F"/>
            </w:tcBorders>
          </w:tcPr>
          <w:p w14:paraId="034FCF74" w14:textId="77777777" w:rsidR="00A90C08" w:rsidRPr="00B54AF4" w:rsidRDefault="00FB2266" w:rsidP="009578CD">
            <w:pPr>
              <w:pStyle w:val="ReportTitle"/>
              <w:rPr>
                <w:rFonts w:ascii="Arial" w:hAnsi="Arial" w:cs="Arial"/>
                <w:color w:val="FF0000"/>
              </w:rPr>
            </w:pPr>
            <w:r w:rsidRPr="00B54AF4">
              <w:rPr>
                <w:rFonts w:ascii="Arial" w:hAnsi="Arial" w:cs="Arial"/>
              </w:rPr>
              <w:t xml:space="preserve">Enterprise and Environment </w:t>
            </w:r>
            <w:proofErr w:type="gramStart"/>
            <w:r w:rsidRPr="00B54AF4">
              <w:rPr>
                <w:rFonts w:ascii="Arial" w:hAnsi="Arial" w:cs="Arial"/>
              </w:rPr>
              <w:t xml:space="preserve">Directorate </w:t>
            </w:r>
            <w:r w:rsidR="006B7E99" w:rsidRPr="00B54AF4">
              <w:rPr>
                <w:rFonts w:ascii="Arial" w:hAnsi="Arial" w:cs="Arial"/>
              </w:rPr>
              <w:t xml:space="preserve"> </w:t>
            </w:r>
            <w:r w:rsidRPr="00B54AF4">
              <w:rPr>
                <w:rFonts w:ascii="Arial" w:hAnsi="Arial" w:cs="Arial"/>
              </w:rPr>
              <w:t>section</w:t>
            </w:r>
            <w:proofErr w:type="gramEnd"/>
            <w:r w:rsidRPr="00B54AF4">
              <w:rPr>
                <w:rFonts w:ascii="Arial" w:hAnsi="Arial" w:cs="Arial"/>
              </w:rPr>
              <w:t xml:space="preserve"> performance reports</w:t>
            </w:r>
          </w:p>
        </w:tc>
      </w:tr>
      <w:tr w:rsidR="00A90C08" w:rsidRPr="00B54AF4" w14:paraId="76B4B0CB" w14:textId="77777777">
        <w:tc>
          <w:tcPr>
            <w:tcW w:w="9854" w:type="dxa"/>
            <w:tcBorders>
              <w:top w:val="single" w:sz="4" w:space="0" w:color="00424F"/>
              <w:bottom w:val="single" w:sz="4" w:space="0" w:color="00424F"/>
            </w:tcBorders>
          </w:tcPr>
          <w:p w14:paraId="64A3B070" w14:textId="77777777" w:rsidR="00A90C08" w:rsidRPr="00B54AF4" w:rsidRDefault="00A90C08" w:rsidP="0080109B">
            <w:pPr>
              <w:pStyle w:val="overviewtext"/>
              <w:rPr>
                <w:rFonts w:ascii="Arial" w:hAnsi="Arial" w:cs="Arial"/>
              </w:rPr>
            </w:pPr>
            <w:r w:rsidRPr="00B54AF4">
              <w:rPr>
                <w:rFonts w:ascii="Arial" w:hAnsi="Arial" w:cs="Arial"/>
              </w:rPr>
              <w:t xml:space="preserve">Report by: </w:t>
            </w:r>
            <w:r w:rsidR="00D611BE" w:rsidRPr="00B54AF4">
              <w:rPr>
                <w:rFonts w:ascii="Arial" w:hAnsi="Arial" w:cs="Arial"/>
              </w:rPr>
              <w:t>Keith Winter, Executive Director, Enterprise and Environment</w:t>
            </w:r>
          </w:p>
        </w:tc>
      </w:tr>
      <w:tr w:rsidR="00A90C08" w:rsidRPr="00B54AF4" w14:paraId="56A15FD9" w14:textId="77777777">
        <w:tc>
          <w:tcPr>
            <w:tcW w:w="9854" w:type="dxa"/>
            <w:tcBorders>
              <w:top w:val="single" w:sz="4" w:space="0" w:color="00424F"/>
              <w:bottom w:val="single" w:sz="4" w:space="0" w:color="00424F"/>
            </w:tcBorders>
          </w:tcPr>
          <w:p w14:paraId="0CEF6278" w14:textId="77777777" w:rsidR="00A90C08" w:rsidRPr="00B54AF4" w:rsidRDefault="00A90C08" w:rsidP="00FE2AE3">
            <w:pPr>
              <w:pStyle w:val="overviewtext"/>
              <w:rPr>
                <w:rFonts w:ascii="Arial" w:hAnsi="Arial" w:cs="Arial"/>
              </w:rPr>
            </w:pPr>
            <w:r w:rsidRPr="00B54AF4">
              <w:rPr>
                <w:rFonts w:ascii="Arial" w:hAnsi="Arial" w:cs="Arial"/>
              </w:rPr>
              <w:t>Wards Affected: All</w:t>
            </w:r>
          </w:p>
        </w:tc>
      </w:tr>
    </w:tbl>
    <w:p w14:paraId="07E6E1E6" w14:textId="77777777" w:rsidR="00A90C08" w:rsidRPr="00B54AF4" w:rsidRDefault="00A90C08" w:rsidP="00BD7A97">
      <w:pPr>
        <w:pStyle w:val="overviewheading"/>
        <w:spacing w:before="240" w:after="120"/>
        <w:jc w:val="both"/>
        <w:rPr>
          <w:rFonts w:ascii="Arial" w:hAnsi="Arial" w:cs="Arial"/>
        </w:rPr>
      </w:pPr>
      <w:r w:rsidRPr="00B54AF4">
        <w:rPr>
          <w:rFonts w:ascii="Arial" w:hAnsi="Arial" w:cs="Arial"/>
        </w:rPr>
        <w:t>Purpose</w:t>
      </w:r>
    </w:p>
    <w:p w14:paraId="3F74F4C5" w14:textId="77777777" w:rsidR="001D758F" w:rsidRPr="00B54AF4" w:rsidRDefault="00E82D85" w:rsidP="00BD7A97">
      <w:pPr>
        <w:spacing w:before="240"/>
        <w:ind w:left="720"/>
        <w:jc w:val="both"/>
        <w:rPr>
          <w:rFonts w:ascii="Arial" w:hAnsi="Arial" w:cs="Arial"/>
        </w:rPr>
      </w:pPr>
      <w:r w:rsidRPr="00B54AF4">
        <w:rPr>
          <w:rFonts w:ascii="Arial" w:hAnsi="Arial" w:cs="Arial"/>
        </w:rPr>
        <w:t xml:space="preserve">To present the </w:t>
      </w:r>
      <w:r w:rsidR="00E74D16" w:rsidRPr="00B54AF4">
        <w:rPr>
          <w:rFonts w:ascii="Arial" w:hAnsi="Arial" w:cs="Arial"/>
        </w:rPr>
        <w:t>performance scorecard</w:t>
      </w:r>
      <w:r w:rsidR="00FB2266" w:rsidRPr="00B54AF4">
        <w:rPr>
          <w:rFonts w:ascii="Arial" w:hAnsi="Arial" w:cs="Arial"/>
        </w:rPr>
        <w:t>s</w:t>
      </w:r>
      <w:r w:rsidR="00E74D16" w:rsidRPr="00B54AF4">
        <w:rPr>
          <w:rFonts w:ascii="Arial" w:hAnsi="Arial" w:cs="Arial"/>
        </w:rPr>
        <w:t xml:space="preserve"> for </w:t>
      </w:r>
      <w:bookmarkStart w:id="0" w:name="_Hlk20211990"/>
      <w:bookmarkStart w:id="1" w:name="_Hlk21426288"/>
      <w:r w:rsidR="008C0555" w:rsidRPr="00B54AF4">
        <w:rPr>
          <w:rFonts w:ascii="Arial" w:hAnsi="Arial" w:cs="Arial"/>
        </w:rPr>
        <w:t xml:space="preserve">Property Services &amp; Facilities </w:t>
      </w:r>
      <w:proofErr w:type="spellStart"/>
      <w:r w:rsidR="008C0555" w:rsidRPr="00B54AF4">
        <w:rPr>
          <w:rFonts w:ascii="Arial" w:hAnsi="Arial" w:cs="Arial"/>
        </w:rPr>
        <w:t>Mangement</w:t>
      </w:r>
      <w:proofErr w:type="spellEnd"/>
      <w:r w:rsidR="00494FCA" w:rsidRPr="00B54AF4">
        <w:rPr>
          <w:rFonts w:ascii="Arial" w:hAnsi="Arial" w:cs="Arial"/>
        </w:rPr>
        <w:t xml:space="preserve"> </w:t>
      </w:r>
      <w:bookmarkEnd w:id="0"/>
      <w:r w:rsidR="00494FCA" w:rsidRPr="00B54AF4">
        <w:rPr>
          <w:rFonts w:ascii="Arial" w:hAnsi="Arial" w:cs="Arial"/>
        </w:rPr>
        <w:t>for 2018/19</w:t>
      </w:r>
    </w:p>
    <w:bookmarkEnd w:id="1"/>
    <w:p w14:paraId="04DEF699" w14:textId="77777777" w:rsidR="00A90C08" w:rsidRPr="00B54AF4" w:rsidRDefault="00A90C08" w:rsidP="00BD7A97">
      <w:pPr>
        <w:pStyle w:val="overviewheading"/>
        <w:tabs>
          <w:tab w:val="center" w:pos="4819"/>
        </w:tabs>
        <w:spacing w:before="240" w:after="120"/>
        <w:jc w:val="both"/>
        <w:rPr>
          <w:rFonts w:ascii="Arial" w:hAnsi="Arial" w:cs="Arial"/>
        </w:rPr>
      </w:pPr>
      <w:r w:rsidRPr="00B54AF4">
        <w:rPr>
          <w:rFonts w:ascii="Arial" w:hAnsi="Arial" w:cs="Arial"/>
        </w:rPr>
        <w:t>Recommendations</w:t>
      </w:r>
    </w:p>
    <w:p w14:paraId="78A6F491" w14:textId="77777777" w:rsidR="00494FCA" w:rsidRPr="00B54AF4" w:rsidRDefault="00494FCA" w:rsidP="00B54AF4">
      <w:pPr>
        <w:pStyle w:val="Para2"/>
        <w:rPr>
          <w:rFonts w:ascii="Arial" w:hAnsi="Arial" w:cs="Arial"/>
        </w:rPr>
      </w:pPr>
      <w:r w:rsidRPr="00B54AF4">
        <w:rPr>
          <w:rFonts w:ascii="Arial" w:hAnsi="Arial" w:cs="Arial"/>
        </w:rPr>
        <w:t>Members are asked to</w:t>
      </w:r>
      <w:r w:rsidR="002125C9" w:rsidRPr="00B54AF4">
        <w:rPr>
          <w:rFonts w:ascii="Arial" w:hAnsi="Arial" w:cs="Arial"/>
        </w:rPr>
        <w:t xml:space="preserve"> note</w:t>
      </w:r>
      <w:r w:rsidRPr="00B54AF4">
        <w:rPr>
          <w:rFonts w:ascii="Arial" w:hAnsi="Arial" w:cs="Arial"/>
        </w:rPr>
        <w:t>:</w:t>
      </w:r>
    </w:p>
    <w:p w14:paraId="3801463A" w14:textId="276B1277" w:rsidR="00494FCA" w:rsidRPr="00B54AF4" w:rsidRDefault="00494FCA" w:rsidP="00B54AF4">
      <w:pPr>
        <w:pStyle w:val="Para2"/>
        <w:jc w:val="left"/>
        <w:rPr>
          <w:rFonts w:ascii="Arial" w:hAnsi="Arial" w:cs="Arial"/>
        </w:rPr>
      </w:pPr>
      <w:r w:rsidRPr="00B54AF4">
        <w:rPr>
          <w:rFonts w:ascii="Arial" w:hAnsi="Arial" w:cs="Arial"/>
        </w:rPr>
        <w:t xml:space="preserve">the </w:t>
      </w:r>
      <w:r w:rsidR="00A9179A" w:rsidRPr="00B54AF4">
        <w:rPr>
          <w:rFonts w:ascii="Arial" w:hAnsi="Arial" w:cs="Arial"/>
        </w:rPr>
        <w:t xml:space="preserve">Property Services &amp; Facilities </w:t>
      </w:r>
      <w:proofErr w:type="spellStart"/>
      <w:r w:rsidR="00A9179A" w:rsidRPr="00B54AF4">
        <w:rPr>
          <w:rFonts w:ascii="Arial" w:hAnsi="Arial" w:cs="Arial"/>
        </w:rPr>
        <w:t>Mangement</w:t>
      </w:r>
      <w:proofErr w:type="spellEnd"/>
      <w:r w:rsidR="00A9179A" w:rsidRPr="00B54AF4">
        <w:rPr>
          <w:rFonts w:ascii="Arial" w:hAnsi="Arial" w:cs="Arial"/>
        </w:rPr>
        <w:t xml:space="preserve"> for </w:t>
      </w:r>
      <w:r w:rsidR="00AE7F62">
        <w:rPr>
          <w:rFonts w:ascii="Arial" w:hAnsi="Arial" w:cs="Arial"/>
        </w:rPr>
        <w:t>2019/20</w:t>
      </w:r>
      <w:r w:rsidR="00B54AF4" w:rsidRPr="00B54AF4">
        <w:rPr>
          <w:rFonts w:ascii="Arial" w:hAnsi="Arial" w:cs="Arial"/>
        </w:rPr>
        <w:t xml:space="preserve"> </w:t>
      </w:r>
      <w:r w:rsidRPr="00B54AF4">
        <w:rPr>
          <w:rFonts w:ascii="Arial" w:hAnsi="Arial" w:cs="Arial"/>
        </w:rPr>
        <w:t>performance information presented at appendi</w:t>
      </w:r>
      <w:r w:rsidR="005E13A1" w:rsidRPr="00B54AF4">
        <w:rPr>
          <w:rFonts w:ascii="Arial" w:hAnsi="Arial" w:cs="Arial"/>
        </w:rPr>
        <w:t>ces</w:t>
      </w:r>
      <w:r w:rsidRPr="00B54AF4">
        <w:rPr>
          <w:rFonts w:ascii="Arial" w:hAnsi="Arial" w:cs="Arial"/>
        </w:rPr>
        <w:t xml:space="preserve"> 1</w:t>
      </w:r>
      <w:r w:rsidR="00FB2266" w:rsidRPr="00B54AF4">
        <w:rPr>
          <w:rFonts w:ascii="Arial" w:hAnsi="Arial" w:cs="Arial"/>
        </w:rPr>
        <w:t xml:space="preserve"> &amp; 2</w:t>
      </w:r>
      <w:r w:rsidR="002125C9" w:rsidRPr="00B54AF4">
        <w:rPr>
          <w:rFonts w:ascii="Arial" w:hAnsi="Arial" w:cs="Arial"/>
        </w:rPr>
        <w:t xml:space="preserve">; </w:t>
      </w:r>
    </w:p>
    <w:p w14:paraId="23EFFA1C" w14:textId="77777777" w:rsidR="00B70BAF" w:rsidRPr="00B54AF4" w:rsidRDefault="003F30B3" w:rsidP="00B54AF4">
      <w:pPr>
        <w:pStyle w:val="Para2"/>
        <w:rPr>
          <w:rFonts w:ascii="Arial" w:hAnsi="Arial" w:cs="Arial"/>
        </w:rPr>
      </w:pPr>
      <w:r w:rsidRPr="00B54AF4">
        <w:rPr>
          <w:rFonts w:ascii="Arial" w:hAnsi="Arial" w:cs="Arial"/>
        </w:rPr>
        <w:t>the</w:t>
      </w:r>
      <w:r w:rsidR="00326B8A" w:rsidRPr="00B54AF4">
        <w:rPr>
          <w:rFonts w:ascii="Arial" w:hAnsi="Arial" w:cs="Arial"/>
        </w:rPr>
        <w:t xml:space="preserve"> arrangements set out in section 1 to fulfil the Council’s obligation to comply with Audit Scotland’s 201</w:t>
      </w:r>
      <w:r w:rsidR="00AC3328" w:rsidRPr="00B54AF4">
        <w:rPr>
          <w:rFonts w:ascii="Arial" w:hAnsi="Arial" w:cs="Arial"/>
        </w:rPr>
        <w:t>5</w:t>
      </w:r>
      <w:r w:rsidR="00326B8A" w:rsidRPr="00B54AF4">
        <w:rPr>
          <w:rFonts w:ascii="Arial" w:hAnsi="Arial" w:cs="Arial"/>
        </w:rPr>
        <w:t xml:space="preserve"> SPI Direction.</w:t>
      </w:r>
      <w:r w:rsidRPr="00B54AF4">
        <w:rPr>
          <w:rFonts w:ascii="Arial" w:hAnsi="Arial" w:cs="Arial"/>
        </w:rPr>
        <w:t xml:space="preserve"> </w:t>
      </w:r>
      <w:r w:rsidR="00616D1F" w:rsidRPr="00B54AF4">
        <w:rPr>
          <w:rFonts w:ascii="Arial" w:hAnsi="Arial" w:cs="Arial"/>
        </w:rPr>
        <w:t xml:space="preserve"> </w:t>
      </w:r>
    </w:p>
    <w:p w14:paraId="485AD23F" w14:textId="77777777" w:rsidR="002F1B31" w:rsidRPr="00B54AF4" w:rsidRDefault="00A9179A" w:rsidP="00B54AF4">
      <w:pPr>
        <w:pStyle w:val="Para2"/>
        <w:rPr>
          <w:rFonts w:ascii="Arial" w:hAnsi="Arial" w:cs="Arial"/>
        </w:rPr>
      </w:pPr>
      <w:r w:rsidRPr="00B54AF4">
        <w:rPr>
          <w:rFonts w:ascii="Arial" w:hAnsi="Arial" w:cs="Arial"/>
        </w:rPr>
        <w:t>The e</w:t>
      </w:r>
      <w:r w:rsidR="009175AF" w:rsidRPr="00B54AF4">
        <w:rPr>
          <w:rFonts w:ascii="Arial" w:hAnsi="Arial" w:cs="Arial"/>
        </w:rPr>
        <w:t>stablishment change</w:t>
      </w:r>
      <w:r w:rsidR="002F1B31" w:rsidRPr="00B54AF4">
        <w:rPr>
          <w:rFonts w:ascii="Arial" w:hAnsi="Arial" w:cs="Arial"/>
        </w:rPr>
        <w:t xml:space="preserve"> </w:t>
      </w:r>
      <w:r w:rsidR="00647D31" w:rsidRPr="00B54AF4">
        <w:rPr>
          <w:rFonts w:ascii="Arial" w:hAnsi="Arial" w:cs="Arial"/>
        </w:rPr>
        <w:t>information presented as appendi</w:t>
      </w:r>
      <w:r w:rsidR="003162E2" w:rsidRPr="00B54AF4">
        <w:rPr>
          <w:rFonts w:ascii="Arial" w:hAnsi="Arial" w:cs="Arial"/>
        </w:rPr>
        <w:t>x</w:t>
      </w:r>
      <w:r w:rsidR="00647D31" w:rsidRPr="00B54AF4">
        <w:rPr>
          <w:rFonts w:ascii="Arial" w:hAnsi="Arial" w:cs="Arial"/>
        </w:rPr>
        <w:t xml:space="preserve"> </w:t>
      </w:r>
      <w:r w:rsidR="00FB2266" w:rsidRPr="00B54AF4">
        <w:rPr>
          <w:rFonts w:ascii="Arial" w:hAnsi="Arial" w:cs="Arial"/>
        </w:rPr>
        <w:t>3</w:t>
      </w:r>
    </w:p>
    <w:p w14:paraId="5F409F10" w14:textId="77777777" w:rsidR="00A90C08" w:rsidRPr="00B54AF4" w:rsidRDefault="00A90C08" w:rsidP="00BD7A97">
      <w:pPr>
        <w:pStyle w:val="overviewheading"/>
        <w:spacing w:before="240" w:after="120"/>
        <w:jc w:val="both"/>
        <w:rPr>
          <w:rFonts w:ascii="Arial" w:hAnsi="Arial" w:cs="Arial"/>
        </w:rPr>
      </w:pPr>
      <w:r w:rsidRPr="00B54AF4">
        <w:rPr>
          <w:rFonts w:ascii="Arial" w:hAnsi="Arial" w:cs="Arial"/>
        </w:rPr>
        <w:t>Resource Implications</w:t>
      </w:r>
    </w:p>
    <w:p w14:paraId="4D232365" w14:textId="77777777" w:rsidR="00A90C08" w:rsidRPr="00B54AF4" w:rsidRDefault="00494FCA" w:rsidP="00BD7A97">
      <w:pPr>
        <w:spacing w:before="240"/>
        <w:ind w:left="720"/>
        <w:jc w:val="both"/>
        <w:rPr>
          <w:rFonts w:ascii="Arial" w:hAnsi="Arial" w:cs="Arial"/>
        </w:rPr>
      </w:pPr>
      <w:r w:rsidRPr="00B54AF4">
        <w:rPr>
          <w:rFonts w:ascii="Arial" w:hAnsi="Arial" w:cs="Arial"/>
        </w:rPr>
        <w:t>None</w:t>
      </w:r>
    </w:p>
    <w:p w14:paraId="5811B9D3" w14:textId="77777777" w:rsidR="00A90C08" w:rsidRPr="00B54AF4" w:rsidRDefault="00A90C08" w:rsidP="00BD7A97">
      <w:pPr>
        <w:pStyle w:val="overviewheading"/>
        <w:spacing w:before="240" w:after="120"/>
        <w:jc w:val="both"/>
        <w:rPr>
          <w:rFonts w:ascii="Arial" w:hAnsi="Arial" w:cs="Arial"/>
        </w:rPr>
      </w:pPr>
      <w:r w:rsidRPr="00B54AF4">
        <w:rPr>
          <w:rFonts w:ascii="Arial" w:hAnsi="Arial" w:cs="Arial"/>
        </w:rPr>
        <w:t xml:space="preserve">Legal </w:t>
      </w:r>
      <w:r w:rsidR="00913EA4" w:rsidRPr="00B54AF4">
        <w:rPr>
          <w:rFonts w:ascii="Arial" w:hAnsi="Arial" w:cs="Arial"/>
        </w:rPr>
        <w:t>&amp;</w:t>
      </w:r>
      <w:r w:rsidRPr="00B54AF4">
        <w:rPr>
          <w:rFonts w:ascii="Arial" w:hAnsi="Arial" w:cs="Arial"/>
        </w:rPr>
        <w:t xml:space="preserve"> Risk Implications</w:t>
      </w:r>
    </w:p>
    <w:p w14:paraId="3B12AF37" w14:textId="77777777" w:rsidR="006B2171" w:rsidRPr="00B54AF4" w:rsidRDefault="00494FCA" w:rsidP="00BD7A97">
      <w:pPr>
        <w:pStyle w:val="summarydetails"/>
        <w:spacing w:before="240" w:after="120"/>
        <w:jc w:val="both"/>
        <w:rPr>
          <w:rFonts w:ascii="Arial" w:hAnsi="Arial" w:cs="Arial"/>
        </w:rPr>
      </w:pPr>
      <w:r w:rsidRPr="00B54AF4">
        <w:rPr>
          <w:rFonts w:ascii="Arial" w:hAnsi="Arial" w:cs="Arial"/>
        </w:rPr>
        <w:t>None</w:t>
      </w:r>
    </w:p>
    <w:p w14:paraId="56D8A978" w14:textId="77777777" w:rsidR="00A90C08" w:rsidRPr="00B54AF4" w:rsidRDefault="00A90C08" w:rsidP="00BD7A97">
      <w:pPr>
        <w:pStyle w:val="overviewheading"/>
        <w:spacing w:before="240" w:after="120"/>
        <w:jc w:val="both"/>
        <w:rPr>
          <w:rFonts w:ascii="Arial" w:hAnsi="Arial" w:cs="Arial"/>
        </w:rPr>
      </w:pPr>
      <w:r w:rsidRPr="00B54AF4">
        <w:rPr>
          <w:rFonts w:ascii="Arial" w:hAnsi="Arial" w:cs="Arial"/>
        </w:rPr>
        <w:t>Impact Assessment</w:t>
      </w:r>
    </w:p>
    <w:p w14:paraId="50EA4E4A" w14:textId="77777777" w:rsidR="00E40EA6" w:rsidRPr="00B54AF4" w:rsidRDefault="005D6FDE" w:rsidP="005D6FDE">
      <w:pPr>
        <w:pStyle w:val="summarydetails"/>
        <w:spacing w:before="240" w:after="120"/>
        <w:jc w:val="both"/>
        <w:rPr>
          <w:rFonts w:ascii="Arial" w:hAnsi="Arial" w:cs="Arial"/>
        </w:rPr>
      </w:pPr>
      <w:r w:rsidRPr="00B54AF4">
        <w:rPr>
          <w:rFonts w:ascii="Arial" w:hAnsi="Arial" w:cs="Arial"/>
        </w:rPr>
        <w:t xml:space="preserve">An </w:t>
      </w:r>
      <w:proofErr w:type="spellStart"/>
      <w:r w:rsidRPr="00B54AF4">
        <w:rPr>
          <w:rFonts w:ascii="Arial" w:hAnsi="Arial" w:cs="Arial"/>
        </w:rPr>
        <w:t>EqIA</w:t>
      </w:r>
      <w:proofErr w:type="spellEnd"/>
      <w:r w:rsidRPr="00B54AF4">
        <w:rPr>
          <w:rFonts w:ascii="Arial" w:hAnsi="Arial" w:cs="Arial"/>
        </w:rPr>
        <w:t xml:space="preserve"> is not required because the report does not propose a change or revision to existing policies and practices.</w:t>
      </w:r>
    </w:p>
    <w:p w14:paraId="47CA43B9" w14:textId="77777777" w:rsidR="00A90C08" w:rsidRPr="00B54AF4" w:rsidRDefault="00A90C08" w:rsidP="00BD7A97">
      <w:pPr>
        <w:pStyle w:val="overviewheading"/>
        <w:spacing w:before="240" w:after="120"/>
        <w:jc w:val="both"/>
        <w:rPr>
          <w:rFonts w:ascii="Arial" w:hAnsi="Arial" w:cs="Arial"/>
        </w:rPr>
      </w:pPr>
      <w:r w:rsidRPr="00B54AF4">
        <w:rPr>
          <w:rFonts w:ascii="Arial" w:hAnsi="Arial" w:cs="Arial"/>
        </w:rPr>
        <w:t>Consultation</w:t>
      </w:r>
    </w:p>
    <w:p w14:paraId="3594FE0E" w14:textId="77777777" w:rsidR="008E74AD" w:rsidRPr="00B54AF4" w:rsidRDefault="00494FCA" w:rsidP="0038700D">
      <w:pPr>
        <w:pStyle w:val="Heading2"/>
        <w:spacing w:before="240" w:after="120"/>
        <w:rPr>
          <w:rFonts w:ascii="Arial" w:hAnsi="Arial" w:cs="Arial"/>
        </w:rPr>
      </w:pPr>
      <w:r w:rsidRPr="00B54AF4">
        <w:rPr>
          <w:rFonts w:ascii="Arial" w:hAnsi="Arial" w:cs="Arial"/>
          <w:b w:val="0"/>
          <w:sz w:val="24"/>
          <w:szCs w:val="24"/>
        </w:rPr>
        <w:tab/>
        <w:t>None required</w:t>
      </w:r>
      <w:r w:rsidR="00BD7A97" w:rsidRPr="00B54AF4">
        <w:rPr>
          <w:rFonts w:ascii="Arial" w:hAnsi="Arial" w:cs="Arial"/>
          <w:b w:val="0"/>
          <w:sz w:val="24"/>
          <w:szCs w:val="24"/>
        </w:rPr>
        <w:br w:type="column"/>
      </w:r>
      <w:r w:rsidR="00AD62CD" w:rsidRPr="00B54AF4">
        <w:rPr>
          <w:rFonts w:ascii="Arial" w:hAnsi="Arial" w:cs="Arial"/>
        </w:rPr>
        <w:lastRenderedPageBreak/>
        <w:t>1.</w:t>
      </w:r>
      <w:r w:rsidR="00BD7A97" w:rsidRPr="00B54AF4">
        <w:rPr>
          <w:rFonts w:ascii="Arial" w:hAnsi="Arial" w:cs="Arial"/>
        </w:rPr>
        <w:t>0</w:t>
      </w:r>
      <w:r w:rsidR="008E74AD" w:rsidRPr="00B54AF4">
        <w:rPr>
          <w:rFonts w:ascii="Arial" w:hAnsi="Arial" w:cs="Arial"/>
        </w:rPr>
        <w:tab/>
        <w:t>Background</w:t>
      </w:r>
    </w:p>
    <w:p w14:paraId="2FE31D81" w14:textId="3EDAE065" w:rsidR="00494FCA" w:rsidRPr="00B54AF4" w:rsidRDefault="00494FCA" w:rsidP="00B4134A">
      <w:pPr>
        <w:pStyle w:val="Default"/>
        <w:numPr>
          <w:ilvl w:val="1"/>
          <w:numId w:val="24"/>
        </w:numPr>
      </w:pPr>
      <w:r w:rsidRPr="00B54AF4">
        <w:t xml:space="preserve">Audit Scotland </w:t>
      </w:r>
      <w:r w:rsidR="00B4134A" w:rsidRPr="00B54AF4">
        <w:t xml:space="preserve">published </w:t>
      </w:r>
      <w:r w:rsidR="00FF6206">
        <w:t xml:space="preserve">new </w:t>
      </w:r>
      <w:r w:rsidRPr="00B54AF4">
        <w:t>S</w:t>
      </w:r>
      <w:r w:rsidR="0009444F" w:rsidRPr="00B54AF4">
        <w:t>tatutory Performance D</w:t>
      </w:r>
      <w:r w:rsidRPr="00B54AF4">
        <w:t>irection in December 201</w:t>
      </w:r>
      <w:r w:rsidR="00FF6206">
        <w:t>8</w:t>
      </w:r>
      <w:r w:rsidRPr="00B54AF4">
        <w:t>.</w:t>
      </w:r>
      <w:r w:rsidR="0009444F" w:rsidRPr="00B54AF4">
        <w:t xml:space="preserve"> </w:t>
      </w:r>
      <w:r w:rsidR="00FF6206">
        <w:t>2019/20</w:t>
      </w:r>
      <w:r w:rsidR="008243AC" w:rsidRPr="00B54AF4">
        <w:t xml:space="preserve"> is the fi</w:t>
      </w:r>
      <w:r w:rsidR="00FF6206">
        <w:t>rst</w:t>
      </w:r>
      <w:r w:rsidR="008243AC" w:rsidRPr="00B54AF4">
        <w:t xml:space="preserve"> year to which that direction applies. </w:t>
      </w:r>
      <w:r w:rsidR="00B4134A" w:rsidRPr="00B54AF4">
        <w:t>The Council is required to report a range of information setting out:</w:t>
      </w:r>
    </w:p>
    <w:p w14:paraId="36EF9D1B" w14:textId="77777777" w:rsidR="00B4134A" w:rsidRPr="00B54AF4" w:rsidRDefault="00B4134A" w:rsidP="00B4134A">
      <w:pPr>
        <w:pStyle w:val="Default"/>
        <w:ind w:left="720"/>
      </w:pPr>
    </w:p>
    <w:p w14:paraId="216AD3FA" w14:textId="77777777" w:rsidR="00B4134A" w:rsidRPr="00B54AF4" w:rsidRDefault="00B4134A" w:rsidP="00B4134A">
      <w:pPr>
        <w:pStyle w:val="Default"/>
        <w:numPr>
          <w:ilvl w:val="0"/>
          <w:numId w:val="25"/>
        </w:numPr>
      </w:pPr>
      <w:r w:rsidRPr="00B54AF4">
        <w:t>Its performance in improving local public services (including with partners).</w:t>
      </w:r>
    </w:p>
    <w:p w14:paraId="1A52D605" w14:textId="5E697B24" w:rsidR="00B4134A" w:rsidRPr="00B54AF4" w:rsidRDefault="00E3537E" w:rsidP="00B4134A">
      <w:pPr>
        <w:pStyle w:val="Default"/>
        <w:numPr>
          <w:ilvl w:val="0"/>
          <w:numId w:val="25"/>
        </w:numPr>
      </w:pPr>
      <w:r>
        <w:t>Progress against the desired outcomes agreed with its partners and communities.</w:t>
      </w:r>
    </w:p>
    <w:p w14:paraId="76E93A21" w14:textId="77777777" w:rsidR="00B4134A" w:rsidRPr="00B54AF4" w:rsidRDefault="00B4134A" w:rsidP="00B4134A">
      <w:pPr>
        <w:pStyle w:val="Default"/>
        <w:numPr>
          <w:ilvl w:val="0"/>
          <w:numId w:val="25"/>
        </w:numPr>
      </w:pPr>
      <w:r w:rsidRPr="00B54AF4">
        <w:t xml:space="preserve">Its performance in engaging with communities and service </w:t>
      </w:r>
      <w:proofErr w:type="gramStart"/>
      <w:r w:rsidRPr="00B54AF4">
        <w:t>users, and</w:t>
      </w:r>
      <w:proofErr w:type="gramEnd"/>
      <w:r w:rsidRPr="00B54AF4">
        <w:t xml:space="preserve"> responding to their views and concerns.</w:t>
      </w:r>
    </w:p>
    <w:p w14:paraId="6C680CA8" w14:textId="77777777" w:rsidR="00B4134A" w:rsidRPr="00B54AF4" w:rsidRDefault="00B4134A" w:rsidP="00B4134A">
      <w:pPr>
        <w:pStyle w:val="Default"/>
        <w:numPr>
          <w:ilvl w:val="0"/>
          <w:numId w:val="25"/>
        </w:numPr>
      </w:pPr>
      <w:r w:rsidRPr="00B54AF4">
        <w:t>Its performance in achieving Best Value, including its use of performance benchmarking; options appraisal; and use of resources.</w:t>
      </w:r>
      <w:r w:rsidRPr="00B54AF4">
        <w:cr/>
      </w:r>
    </w:p>
    <w:p w14:paraId="6EBA6EDB" w14:textId="77777777" w:rsidR="00C828EB" w:rsidRPr="00B54AF4" w:rsidRDefault="00494FCA" w:rsidP="0009444F">
      <w:pPr>
        <w:pStyle w:val="Default"/>
        <w:ind w:left="720" w:hanging="720"/>
      </w:pPr>
      <w:r w:rsidRPr="00B54AF4">
        <w:t xml:space="preserve"> </w:t>
      </w:r>
    </w:p>
    <w:p w14:paraId="013BC212" w14:textId="0308C9E6" w:rsidR="00C828EB" w:rsidRPr="00B54AF4" w:rsidRDefault="00C828EB" w:rsidP="008243AC">
      <w:pPr>
        <w:pStyle w:val="Default"/>
        <w:numPr>
          <w:ilvl w:val="1"/>
          <w:numId w:val="24"/>
        </w:numPr>
      </w:pPr>
      <w:r w:rsidRPr="00B54AF4">
        <w:t xml:space="preserve">The </w:t>
      </w:r>
      <w:r w:rsidR="008243AC" w:rsidRPr="00B54AF4">
        <w:t xml:space="preserve">first </w:t>
      </w:r>
      <w:r w:rsidRPr="00B54AF4">
        <w:t xml:space="preserve">requirement, to report the </w:t>
      </w:r>
      <w:r w:rsidR="008243AC" w:rsidRPr="00B54AF4">
        <w:t xml:space="preserve">Council’s </w:t>
      </w:r>
      <w:r w:rsidRPr="00B54AF4">
        <w:t xml:space="preserve">performance </w:t>
      </w:r>
      <w:r w:rsidR="008243AC" w:rsidRPr="00B54AF4">
        <w:t>in improving local public services</w:t>
      </w:r>
      <w:r w:rsidR="00FF6206">
        <w:t xml:space="preserve"> and outcomes</w:t>
      </w:r>
      <w:r w:rsidR="008243AC" w:rsidRPr="00B54AF4">
        <w:t xml:space="preserve"> (including with partners) </w:t>
      </w:r>
      <w:r w:rsidRPr="00B54AF4">
        <w:t xml:space="preserve">will be satisfied by the series of reports (of which this is one) that will be presented to the Council covering the whole of the Council’s performance for </w:t>
      </w:r>
      <w:r w:rsidR="00FF6206">
        <w:t>2019/20</w:t>
      </w:r>
      <w:r w:rsidRPr="00B54AF4">
        <w:t xml:space="preserve">. </w:t>
      </w:r>
      <w:r w:rsidR="00A30604" w:rsidRPr="00B54AF4">
        <w:t xml:space="preserve">Where possible, comparative performance is given for </w:t>
      </w:r>
      <w:r w:rsidR="004049D8" w:rsidRPr="00B54AF4">
        <w:t>the Scottish average, top quartile, and peer group averages.</w:t>
      </w:r>
    </w:p>
    <w:p w14:paraId="6C90DF6A" w14:textId="77777777" w:rsidR="008243AC" w:rsidRPr="00B54AF4" w:rsidRDefault="008243AC" w:rsidP="008243AC">
      <w:pPr>
        <w:pStyle w:val="Default"/>
      </w:pPr>
    </w:p>
    <w:p w14:paraId="0CD7CC2A" w14:textId="77777777" w:rsidR="008243AC" w:rsidRPr="00B54AF4" w:rsidRDefault="008243AC" w:rsidP="009C410D">
      <w:pPr>
        <w:pStyle w:val="Default"/>
        <w:numPr>
          <w:ilvl w:val="1"/>
          <w:numId w:val="24"/>
        </w:numPr>
      </w:pPr>
      <w:r w:rsidRPr="00B54AF4">
        <w:t xml:space="preserve">The other requirements </w:t>
      </w:r>
      <w:r w:rsidR="009C410D" w:rsidRPr="00B54AF4">
        <w:t xml:space="preserve">of the Statutory Performance Direction </w:t>
      </w:r>
      <w:r w:rsidRPr="00B54AF4">
        <w:t xml:space="preserve">will be satisfied by </w:t>
      </w:r>
      <w:r w:rsidR="009C410D" w:rsidRPr="00B54AF4">
        <w:t xml:space="preserve">a combination of </w:t>
      </w:r>
    </w:p>
    <w:p w14:paraId="4DC0206D" w14:textId="77777777" w:rsidR="009C410D" w:rsidRPr="00B54AF4" w:rsidRDefault="009C410D" w:rsidP="009C410D">
      <w:pPr>
        <w:pStyle w:val="Default"/>
      </w:pPr>
    </w:p>
    <w:p w14:paraId="5EA8E623" w14:textId="77777777" w:rsidR="009C410D" w:rsidRPr="00B54AF4" w:rsidRDefault="009C410D" w:rsidP="009C410D">
      <w:pPr>
        <w:pStyle w:val="Default"/>
        <w:numPr>
          <w:ilvl w:val="0"/>
          <w:numId w:val="27"/>
        </w:numPr>
      </w:pPr>
      <w:r w:rsidRPr="00B54AF4">
        <w:t xml:space="preserve">Update reports to the Fife Partnership regarding progress against the Plan for Fife, with reports also going to Policy and Co-ordination Committee. </w:t>
      </w:r>
    </w:p>
    <w:p w14:paraId="1091C62D" w14:textId="77777777" w:rsidR="002F1B31" w:rsidRPr="00B54AF4" w:rsidRDefault="002F1B31" w:rsidP="002F1B31">
      <w:pPr>
        <w:pStyle w:val="Default"/>
        <w:ind w:left="1440"/>
      </w:pPr>
    </w:p>
    <w:p w14:paraId="436C70AF" w14:textId="77777777" w:rsidR="009C410D" w:rsidRPr="00B54AF4" w:rsidRDefault="009C410D" w:rsidP="009C410D">
      <w:pPr>
        <w:pStyle w:val="Default"/>
        <w:numPr>
          <w:ilvl w:val="0"/>
          <w:numId w:val="27"/>
        </w:numPr>
      </w:pPr>
      <w:r w:rsidRPr="00B54AF4">
        <w:t>public performance reporting, assurance statements and governance arrangements.</w:t>
      </w:r>
    </w:p>
    <w:p w14:paraId="322BB63A" w14:textId="77777777" w:rsidR="00C828EB" w:rsidRPr="00B54AF4" w:rsidRDefault="00C828EB" w:rsidP="0009444F">
      <w:pPr>
        <w:pStyle w:val="Default"/>
        <w:ind w:left="720" w:hanging="720"/>
      </w:pPr>
    </w:p>
    <w:p w14:paraId="51FAA1F1" w14:textId="77777777" w:rsidR="00490EFF" w:rsidRPr="00B54AF4" w:rsidRDefault="00C828EB" w:rsidP="0009444F">
      <w:pPr>
        <w:pStyle w:val="Default"/>
        <w:ind w:left="720" w:hanging="720"/>
      </w:pPr>
      <w:r w:rsidRPr="00B54AF4">
        <w:t>1.</w:t>
      </w:r>
      <w:r w:rsidR="009C410D" w:rsidRPr="00B54AF4">
        <w:t>4</w:t>
      </w:r>
      <w:r w:rsidRPr="00B54AF4">
        <w:t xml:space="preserve">. </w:t>
      </w:r>
      <w:r w:rsidRPr="00B54AF4">
        <w:tab/>
        <w:t>Taken together, these reports will cover the whole of the Local Government Benchmarking Framework</w:t>
      </w:r>
      <w:r w:rsidR="003F30B3" w:rsidRPr="00B54AF4">
        <w:t>, plus selected service performance indicators that give a balanced picture of Council performance.</w:t>
      </w:r>
      <w:r w:rsidRPr="00B54AF4">
        <w:t xml:space="preserve"> </w:t>
      </w:r>
    </w:p>
    <w:p w14:paraId="17237059" w14:textId="77777777" w:rsidR="00490EFF" w:rsidRPr="00B54AF4" w:rsidRDefault="00490EFF" w:rsidP="0009444F">
      <w:pPr>
        <w:pStyle w:val="Default"/>
        <w:ind w:left="720" w:hanging="720"/>
      </w:pPr>
    </w:p>
    <w:p w14:paraId="4599B8FC" w14:textId="77777777" w:rsidR="00986992" w:rsidRPr="00B54AF4" w:rsidRDefault="00986992" w:rsidP="0009444F">
      <w:pPr>
        <w:pStyle w:val="Default"/>
        <w:ind w:left="720" w:hanging="720"/>
      </w:pPr>
      <w:r w:rsidRPr="00B54AF4">
        <w:t>1.</w:t>
      </w:r>
      <w:r w:rsidR="00F548B4" w:rsidRPr="00B54AF4">
        <w:t>5</w:t>
      </w:r>
      <w:r w:rsidRPr="00B54AF4">
        <w:t xml:space="preserve"> </w:t>
      </w:r>
      <w:r w:rsidRPr="00B54AF4">
        <w:tab/>
        <w:t>The appendix to this report is presented in the form of a balanced scorecard covering the areas of Customer, People, Responsiveness and Cost results. This is consistent with the format used for the 2017/18 Public Performance Report and mirrors the approach used for internal management reporting throughout the year.</w:t>
      </w:r>
    </w:p>
    <w:p w14:paraId="355A6D4B" w14:textId="77777777" w:rsidR="00B4134A" w:rsidRPr="00B54AF4" w:rsidRDefault="00B4134A" w:rsidP="0009444F">
      <w:pPr>
        <w:pStyle w:val="Default"/>
        <w:ind w:left="720" w:hanging="720"/>
      </w:pPr>
    </w:p>
    <w:p w14:paraId="691FB69A" w14:textId="77777777" w:rsidR="00B4134A" w:rsidRPr="00B54AF4" w:rsidRDefault="00B4134A" w:rsidP="0009444F">
      <w:pPr>
        <w:pStyle w:val="Default"/>
        <w:ind w:left="720" w:hanging="720"/>
      </w:pPr>
      <w:r w:rsidRPr="00B54AF4">
        <w:t>1.</w:t>
      </w:r>
      <w:r w:rsidR="00F548B4" w:rsidRPr="00B54AF4">
        <w:t>6</w:t>
      </w:r>
      <w:r w:rsidRPr="00B54AF4">
        <w:t xml:space="preserve"> </w:t>
      </w:r>
      <w:r w:rsidRPr="00B54AF4">
        <w:tab/>
        <w:t>The</w:t>
      </w:r>
      <w:r w:rsidR="008243AC" w:rsidRPr="00B54AF4">
        <w:t xml:space="preserve"> new</w:t>
      </w:r>
      <w:r w:rsidRPr="00B54AF4">
        <w:t xml:space="preserve"> </w:t>
      </w:r>
      <w:r w:rsidR="008243AC" w:rsidRPr="00B54AF4">
        <w:t xml:space="preserve">2018 SPI </w:t>
      </w:r>
      <w:r w:rsidRPr="00B54AF4">
        <w:t>direction</w:t>
      </w:r>
      <w:r w:rsidR="008243AC" w:rsidRPr="00B54AF4">
        <w:t>, which comes into force from financial year 2019/20</w:t>
      </w:r>
      <w:r w:rsidRPr="00B54AF4">
        <w:t xml:space="preserve"> </w:t>
      </w:r>
      <w:r w:rsidR="008243AC" w:rsidRPr="00B54AF4">
        <w:t xml:space="preserve">is </w:t>
      </w:r>
      <w:r w:rsidRPr="00B54AF4">
        <w:t xml:space="preserve">has similar in most respects to the previous direction, but has been enhanced to give greater </w:t>
      </w:r>
      <w:proofErr w:type="gramStart"/>
      <w:r w:rsidRPr="00B54AF4">
        <w:t>clarity  to</w:t>
      </w:r>
      <w:proofErr w:type="gramEnd"/>
      <w:r w:rsidRPr="00B54AF4">
        <w:t xml:space="preserve"> the public and the Council.</w:t>
      </w:r>
    </w:p>
    <w:p w14:paraId="00AD226B" w14:textId="77777777" w:rsidR="002F1B31" w:rsidRPr="00B54AF4" w:rsidRDefault="002F1B31" w:rsidP="0009444F">
      <w:pPr>
        <w:pStyle w:val="Default"/>
        <w:ind w:left="720" w:hanging="720"/>
      </w:pPr>
    </w:p>
    <w:p w14:paraId="0D0E08A3" w14:textId="77777777" w:rsidR="00F548B4" w:rsidRPr="00B54AF4" w:rsidRDefault="00F548B4" w:rsidP="0009444F">
      <w:pPr>
        <w:pStyle w:val="Default"/>
        <w:ind w:left="720" w:hanging="720"/>
      </w:pPr>
    </w:p>
    <w:p w14:paraId="6E6E1DAB" w14:textId="77777777" w:rsidR="003162E2" w:rsidRPr="00B54AF4" w:rsidRDefault="003162E2" w:rsidP="0009444F">
      <w:pPr>
        <w:pStyle w:val="Default"/>
        <w:ind w:left="720" w:hanging="720"/>
      </w:pPr>
    </w:p>
    <w:p w14:paraId="11752744" w14:textId="77777777" w:rsidR="003162E2" w:rsidRPr="00B54AF4" w:rsidRDefault="003162E2" w:rsidP="0009444F">
      <w:pPr>
        <w:pStyle w:val="Default"/>
        <w:ind w:left="720" w:hanging="720"/>
      </w:pPr>
    </w:p>
    <w:p w14:paraId="56701A6B" w14:textId="77777777" w:rsidR="003162E2" w:rsidRPr="00B54AF4" w:rsidRDefault="003162E2" w:rsidP="0009444F">
      <w:pPr>
        <w:pStyle w:val="Default"/>
        <w:ind w:left="720" w:hanging="720"/>
      </w:pPr>
    </w:p>
    <w:p w14:paraId="25B255FC" w14:textId="77777777" w:rsidR="003162E2" w:rsidRPr="00B54AF4" w:rsidRDefault="003162E2" w:rsidP="0009444F">
      <w:pPr>
        <w:pStyle w:val="Default"/>
        <w:ind w:left="720" w:hanging="720"/>
      </w:pPr>
    </w:p>
    <w:p w14:paraId="45997997" w14:textId="77777777" w:rsidR="003162E2" w:rsidRPr="00B54AF4" w:rsidRDefault="003162E2" w:rsidP="0009444F">
      <w:pPr>
        <w:pStyle w:val="Default"/>
        <w:ind w:left="720" w:hanging="720"/>
      </w:pPr>
    </w:p>
    <w:p w14:paraId="2BDA75EA" w14:textId="77777777" w:rsidR="003162E2" w:rsidRPr="00B54AF4" w:rsidRDefault="003162E2" w:rsidP="0009444F">
      <w:pPr>
        <w:pStyle w:val="Default"/>
        <w:ind w:left="720" w:hanging="720"/>
      </w:pPr>
    </w:p>
    <w:p w14:paraId="76EA6699" w14:textId="77777777" w:rsidR="003162E2" w:rsidRPr="00B54AF4" w:rsidRDefault="003162E2" w:rsidP="0009444F">
      <w:pPr>
        <w:pStyle w:val="Default"/>
        <w:ind w:left="720" w:hanging="720"/>
      </w:pPr>
    </w:p>
    <w:p w14:paraId="196EFE8F" w14:textId="77777777" w:rsidR="003162E2" w:rsidRPr="00B54AF4" w:rsidRDefault="003162E2" w:rsidP="0009444F">
      <w:pPr>
        <w:pStyle w:val="Default"/>
        <w:ind w:left="720" w:hanging="720"/>
      </w:pPr>
    </w:p>
    <w:p w14:paraId="52287AE8" w14:textId="77777777" w:rsidR="00B30244" w:rsidRPr="00B54AF4" w:rsidRDefault="00B30244" w:rsidP="00B30244">
      <w:pPr>
        <w:pStyle w:val="p1"/>
        <w:pBdr>
          <w:bottom w:val="single" w:sz="4" w:space="1" w:color="auto"/>
        </w:pBdr>
        <w:spacing w:before="240" w:after="120"/>
        <w:jc w:val="both"/>
        <w:rPr>
          <w:rStyle w:val="s1"/>
          <w:rFonts w:ascii="Arial" w:hAnsi="Arial" w:cs="Arial"/>
          <w:b/>
          <w:color w:val="auto"/>
          <w:sz w:val="36"/>
          <w:szCs w:val="22"/>
        </w:rPr>
      </w:pPr>
      <w:r w:rsidRPr="00B54AF4">
        <w:rPr>
          <w:rStyle w:val="s1"/>
          <w:rFonts w:ascii="Arial" w:hAnsi="Arial" w:cs="Arial"/>
          <w:b/>
          <w:color w:val="auto"/>
          <w:sz w:val="36"/>
          <w:szCs w:val="22"/>
        </w:rPr>
        <w:t>2.0 Establishment Changes</w:t>
      </w:r>
    </w:p>
    <w:p w14:paraId="75FFF0A4" w14:textId="77777777" w:rsidR="00C015DA" w:rsidRPr="00B54AF4" w:rsidRDefault="00B30244" w:rsidP="00DB4F24">
      <w:pPr>
        <w:pStyle w:val="p1"/>
        <w:spacing w:before="240" w:after="120"/>
        <w:ind w:left="720" w:hanging="720"/>
        <w:jc w:val="both"/>
        <w:rPr>
          <w:rStyle w:val="s1"/>
          <w:rFonts w:ascii="Arial" w:hAnsi="Arial" w:cs="Arial"/>
          <w:color w:val="auto"/>
          <w:sz w:val="24"/>
          <w:szCs w:val="22"/>
        </w:rPr>
      </w:pPr>
      <w:r w:rsidRPr="00B54AF4">
        <w:rPr>
          <w:rStyle w:val="s1"/>
          <w:rFonts w:ascii="Arial" w:hAnsi="Arial" w:cs="Arial"/>
          <w:color w:val="auto"/>
          <w:sz w:val="24"/>
          <w:szCs w:val="22"/>
        </w:rPr>
        <w:t xml:space="preserve">2.1 </w:t>
      </w:r>
      <w:r w:rsidRPr="00B54AF4">
        <w:rPr>
          <w:rStyle w:val="s1"/>
          <w:rFonts w:ascii="Arial" w:hAnsi="Arial" w:cs="Arial"/>
          <w:color w:val="auto"/>
          <w:sz w:val="24"/>
          <w:szCs w:val="22"/>
        </w:rPr>
        <w:tab/>
      </w:r>
      <w:r w:rsidR="00C015DA" w:rsidRPr="00B54AF4">
        <w:rPr>
          <w:rStyle w:val="s1"/>
          <w:rFonts w:ascii="Arial" w:hAnsi="Arial" w:cs="Arial"/>
          <w:color w:val="auto"/>
          <w:sz w:val="24"/>
          <w:szCs w:val="22"/>
        </w:rPr>
        <w:t>Paragraph 2.3.1 of the Scheme of Officer Powers requires Executive Directors to report any posts established to Committee as a part of their annual performance report. A table setting out establishment changes is attached at Appendix 3</w:t>
      </w:r>
    </w:p>
    <w:p w14:paraId="76BFC606" w14:textId="77777777" w:rsidR="00C015DA" w:rsidRPr="00B54AF4" w:rsidRDefault="00C015DA" w:rsidP="00C015DA">
      <w:pPr>
        <w:pStyle w:val="xmsonormal"/>
        <w:shd w:val="clear" w:color="auto" w:fill="FFFFFF"/>
        <w:spacing w:before="0" w:beforeAutospacing="0" w:after="0" w:afterAutospacing="0"/>
        <w:rPr>
          <w:rFonts w:ascii="Arial" w:hAnsi="Arial" w:cs="Arial"/>
          <w:iCs/>
          <w:color w:val="201F1E"/>
          <w:bdr w:val="none" w:sz="0" w:space="0" w:color="auto" w:frame="1"/>
        </w:rPr>
      </w:pPr>
    </w:p>
    <w:p w14:paraId="361CDD86" w14:textId="77777777" w:rsidR="00E156C4" w:rsidRPr="00B54AF4" w:rsidRDefault="00B30244" w:rsidP="00B30244">
      <w:pPr>
        <w:pStyle w:val="p1"/>
        <w:pBdr>
          <w:bottom w:val="single" w:sz="4" w:space="1" w:color="auto"/>
        </w:pBdr>
        <w:spacing w:before="240" w:after="120"/>
        <w:jc w:val="both"/>
        <w:rPr>
          <w:rFonts w:ascii="Arial" w:hAnsi="Arial" w:cs="Arial"/>
          <w:color w:val="auto"/>
          <w:sz w:val="22"/>
          <w:szCs w:val="22"/>
        </w:rPr>
      </w:pPr>
      <w:r w:rsidRPr="00B54AF4">
        <w:rPr>
          <w:rStyle w:val="s1"/>
          <w:rFonts w:ascii="Arial" w:hAnsi="Arial" w:cs="Arial"/>
          <w:b/>
          <w:color w:val="auto"/>
          <w:sz w:val="36"/>
          <w:szCs w:val="36"/>
        </w:rPr>
        <w:t xml:space="preserve">3.0 </w:t>
      </w:r>
      <w:r w:rsidR="00E156C4" w:rsidRPr="00B54AF4">
        <w:rPr>
          <w:rStyle w:val="s1"/>
          <w:rFonts w:ascii="Arial" w:hAnsi="Arial" w:cs="Arial"/>
          <w:b/>
          <w:color w:val="auto"/>
          <w:sz w:val="36"/>
          <w:szCs w:val="36"/>
        </w:rPr>
        <w:t>Conclusion</w:t>
      </w:r>
      <w:r w:rsidR="00F70710" w:rsidRPr="00B54AF4">
        <w:rPr>
          <w:rStyle w:val="s1"/>
          <w:rFonts w:ascii="Arial" w:hAnsi="Arial" w:cs="Arial"/>
          <w:b/>
          <w:color w:val="auto"/>
          <w:sz w:val="36"/>
          <w:szCs w:val="36"/>
        </w:rPr>
        <w:t>s</w:t>
      </w:r>
      <w:r w:rsidR="00E156C4" w:rsidRPr="00B54AF4">
        <w:rPr>
          <w:rStyle w:val="s1"/>
          <w:rFonts w:ascii="Arial" w:hAnsi="Arial" w:cs="Arial"/>
          <w:b/>
          <w:color w:val="auto"/>
          <w:sz w:val="36"/>
          <w:szCs w:val="36"/>
        </w:rPr>
        <w:t xml:space="preserve"> </w:t>
      </w:r>
    </w:p>
    <w:p w14:paraId="0C6B3593" w14:textId="77777777" w:rsidR="00F31797" w:rsidRPr="00B54AF4" w:rsidRDefault="00F31797" w:rsidP="00986992">
      <w:pPr>
        <w:spacing w:before="0" w:after="0"/>
        <w:ind w:left="709" w:hanging="709"/>
        <w:jc w:val="both"/>
        <w:rPr>
          <w:rFonts w:ascii="Arial" w:hAnsi="Arial" w:cs="Arial"/>
          <w:szCs w:val="24"/>
        </w:rPr>
      </w:pPr>
    </w:p>
    <w:p w14:paraId="07F2FE5B" w14:textId="77777777" w:rsidR="005D6FDE" w:rsidRPr="00B54AF4" w:rsidRDefault="00B30244" w:rsidP="005D6FDE">
      <w:pPr>
        <w:spacing w:before="0" w:after="0"/>
        <w:ind w:left="720" w:hanging="720"/>
        <w:jc w:val="both"/>
        <w:rPr>
          <w:rFonts w:ascii="Arial" w:hAnsi="Arial" w:cs="Arial"/>
          <w:szCs w:val="24"/>
        </w:rPr>
      </w:pPr>
      <w:r w:rsidRPr="00B54AF4">
        <w:rPr>
          <w:rFonts w:ascii="Arial" w:hAnsi="Arial" w:cs="Arial"/>
          <w:szCs w:val="24"/>
        </w:rPr>
        <w:t>3</w:t>
      </w:r>
      <w:r w:rsidR="005D6FDE" w:rsidRPr="00B54AF4">
        <w:rPr>
          <w:rFonts w:ascii="Arial" w:hAnsi="Arial" w:cs="Arial"/>
          <w:szCs w:val="24"/>
        </w:rPr>
        <w:t>.1</w:t>
      </w:r>
      <w:r w:rsidR="005D6FDE" w:rsidRPr="00B54AF4">
        <w:rPr>
          <w:rFonts w:ascii="Arial" w:hAnsi="Arial" w:cs="Arial"/>
          <w:szCs w:val="24"/>
        </w:rPr>
        <w:tab/>
        <w:t>This report is the first in a series covering the whole of the Council’s performance against key indicators, including the Local Government Benchmarking framework.</w:t>
      </w:r>
    </w:p>
    <w:p w14:paraId="10149425" w14:textId="77777777" w:rsidR="005D6FDE" w:rsidRPr="00B54AF4" w:rsidRDefault="005D6FDE" w:rsidP="005D6FDE">
      <w:pPr>
        <w:spacing w:before="0" w:after="0"/>
        <w:ind w:left="720" w:hanging="720"/>
        <w:jc w:val="both"/>
        <w:rPr>
          <w:rFonts w:ascii="Arial" w:hAnsi="Arial" w:cs="Arial"/>
          <w:szCs w:val="24"/>
        </w:rPr>
      </w:pPr>
    </w:p>
    <w:p w14:paraId="008413EE" w14:textId="77777777" w:rsidR="005D6FDE" w:rsidRPr="00B54AF4" w:rsidRDefault="00B30244" w:rsidP="005D6FDE">
      <w:pPr>
        <w:spacing w:before="0" w:after="0"/>
        <w:ind w:left="720" w:hanging="720"/>
        <w:jc w:val="both"/>
        <w:rPr>
          <w:rFonts w:ascii="Arial" w:hAnsi="Arial" w:cs="Arial"/>
          <w:szCs w:val="24"/>
        </w:rPr>
      </w:pPr>
      <w:r w:rsidRPr="00B54AF4">
        <w:rPr>
          <w:rFonts w:ascii="Arial" w:hAnsi="Arial" w:cs="Arial"/>
          <w:szCs w:val="24"/>
        </w:rPr>
        <w:t>3</w:t>
      </w:r>
      <w:r w:rsidR="005D6FDE" w:rsidRPr="00B54AF4">
        <w:rPr>
          <w:rFonts w:ascii="Arial" w:hAnsi="Arial" w:cs="Arial"/>
          <w:szCs w:val="24"/>
        </w:rPr>
        <w:t>.2</w:t>
      </w:r>
      <w:r w:rsidR="005D6FDE" w:rsidRPr="00B54AF4">
        <w:rPr>
          <w:rFonts w:ascii="Arial" w:hAnsi="Arial" w:cs="Arial"/>
          <w:szCs w:val="24"/>
        </w:rPr>
        <w:tab/>
        <w:t xml:space="preserve">The overall performance of </w:t>
      </w:r>
      <w:r w:rsidR="00A9179A" w:rsidRPr="00B54AF4">
        <w:rPr>
          <w:rFonts w:ascii="Arial" w:hAnsi="Arial" w:cs="Arial"/>
        </w:rPr>
        <w:t xml:space="preserve">Property Services &amp; Facilities </w:t>
      </w:r>
      <w:proofErr w:type="spellStart"/>
      <w:proofErr w:type="gramStart"/>
      <w:r w:rsidR="00A9179A" w:rsidRPr="00B54AF4">
        <w:rPr>
          <w:rFonts w:ascii="Arial" w:hAnsi="Arial" w:cs="Arial"/>
        </w:rPr>
        <w:t>Mangement</w:t>
      </w:r>
      <w:proofErr w:type="spellEnd"/>
      <w:r w:rsidR="00FB2266" w:rsidRPr="00B54AF4">
        <w:rPr>
          <w:rFonts w:ascii="Arial" w:hAnsi="Arial" w:cs="Arial"/>
          <w:szCs w:val="24"/>
        </w:rPr>
        <w:t xml:space="preserve"> </w:t>
      </w:r>
      <w:r w:rsidR="002C4C07" w:rsidRPr="00B54AF4">
        <w:rPr>
          <w:rFonts w:ascii="Arial" w:hAnsi="Arial" w:cs="Arial"/>
          <w:szCs w:val="24"/>
        </w:rPr>
        <w:t xml:space="preserve"> </w:t>
      </w:r>
      <w:r w:rsidR="00F548B4" w:rsidRPr="00B54AF4">
        <w:rPr>
          <w:rFonts w:ascii="Arial" w:hAnsi="Arial" w:cs="Arial"/>
          <w:szCs w:val="24"/>
        </w:rPr>
        <w:t>is</w:t>
      </w:r>
      <w:proofErr w:type="gramEnd"/>
      <w:r w:rsidR="00F548B4" w:rsidRPr="00B54AF4">
        <w:rPr>
          <w:rFonts w:ascii="Arial" w:hAnsi="Arial" w:cs="Arial"/>
          <w:szCs w:val="24"/>
        </w:rPr>
        <w:t xml:space="preserve"> </w:t>
      </w:r>
      <w:r w:rsidR="005D6FDE" w:rsidRPr="00B54AF4">
        <w:rPr>
          <w:rFonts w:ascii="Arial" w:hAnsi="Arial" w:cs="Arial"/>
          <w:szCs w:val="24"/>
        </w:rPr>
        <w:t>positive</w:t>
      </w:r>
      <w:r w:rsidR="00547880" w:rsidRPr="00B54AF4">
        <w:rPr>
          <w:rFonts w:ascii="Arial" w:hAnsi="Arial" w:cs="Arial"/>
          <w:szCs w:val="24"/>
        </w:rPr>
        <w:t>; areas for improvement focus are identified in appendi</w:t>
      </w:r>
      <w:r w:rsidR="00FB2266" w:rsidRPr="00B54AF4">
        <w:rPr>
          <w:rFonts w:ascii="Arial" w:hAnsi="Arial" w:cs="Arial"/>
          <w:szCs w:val="24"/>
        </w:rPr>
        <w:t xml:space="preserve">ces </w:t>
      </w:r>
      <w:r w:rsidR="00547880" w:rsidRPr="00B54AF4">
        <w:rPr>
          <w:rFonts w:ascii="Arial" w:hAnsi="Arial" w:cs="Arial"/>
          <w:szCs w:val="24"/>
        </w:rPr>
        <w:t xml:space="preserve"> 1</w:t>
      </w:r>
      <w:r w:rsidR="00FB2266" w:rsidRPr="00B54AF4">
        <w:rPr>
          <w:rFonts w:ascii="Arial" w:hAnsi="Arial" w:cs="Arial"/>
          <w:szCs w:val="24"/>
        </w:rPr>
        <w:t xml:space="preserve"> &amp; 2</w:t>
      </w:r>
      <w:r w:rsidR="002C4C07" w:rsidRPr="00B54AF4">
        <w:rPr>
          <w:rFonts w:ascii="Arial" w:hAnsi="Arial" w:cs="Arial"/>
          <w:szCs w:val="24"/>
        </w:rPr>
        <w:t>.</w:t>
      </w:r>
    </w:p>
    <w:p w14:paraId="65FD45AF" w14:textId="77777777" w:rsidR="005D6FDE" w:rsidRPr="00B54AF4" w:rsidRDefault="005D6FDE" w:rsidP="00986992">
      <w:pPr>
        <w:spacing w:before="0" w:after="0"/>
        <w:ind w:left="709" w:hanging="709"/>
        <w:jc w:val="both"/>
        <w:rPr>
          <w:rFonts w:ascii="Arial" w:hAnsi="Arial" w:cs="Arial"/>
          <w:szCs w:val="24"/>
        </w:rPr>
      </w:pPr>
    </w:p>
    <w:p w14:paraId="40673B91" w14:textId="77777777" w:rsidR="00B30244" w:rsidRPr="00B54AF4" w:rsidRDefault="00B30244" w:rsidP="008B7AEF">
      <w:pPr>
        <w:spacing w:before="0" w:after="0"/>
        <w:rPr>
          <w:rFonts w:ascii="Arial" w:hAnsi="Arial" w:cs="Arial"/>
          <w:b/>
          <w:szCs w:val="24"/>
        </w:rPr>
      </w:pPr>
    </w:p>
    <w:p w14:paraId="53650BAE" w14:textId="77777777" w:rsidR="00B30244" w:rsidRPr="00B54AF4" w:rsidRDefault="00B30244" w:rsidP="008B7AEF">
      <w:pPr>
        <w:spacing w:before="0" w:after="0"/>
        <w:rPr>
          <w:rFonts w:ascii="Arial" w:hAnsi="Arial" w:cs="Arial"/>
          <w:b/>
          <w:szCs w:val="24"/>
        </w:rPr>
      </w:pPr>
    </w:p>
    <w:p w14:paraId="667E0287" w14:textId="77777777" w:rsidR="00603139" w:rsidRPr="00B54AF4" w:rsidRDefault="000532D5" w:rsidP="008B7AEF">
      <w:pPr>
        <w:spacing w:before="0" w:after="0"/>
        <w:rPr>
          <w:rFonts w:ascii="Arial" w:hAnsi="Arial" w:cs="Arial"/>
          <w:b/>
          <w:szCs w:val="24"/>
        </w:rPr>
      </w:pPr>
      <w:r w:rsidRPr="00B54AF4">
        <w:rPr>
          <w:rFonts w:ascii="Arial" w:hAnsi="Arial" w:cs="Arial"/>
          <w:b/>
          <w:szCs w:val="24"/>
        </w:rPr>
        <w:t xml:space="preserve">List of </w:t>
      </w:r>
      <w:r w:rsidR="00603139" w:rsidRPr="00B54AF4">
        <w:rPr>
          <w:rFonts w:ascii="Arial" w:hAnsi="Arial" w:cs="Arial"/>
          <w:b/>
          <w:szCs w:val="24"/>
        </w:rPr>
        <w:t>Appendices</w:t>
      </w:r>
      <w:r w:rsidR="00F85B98" w:rsidRPr="00B54AF4">
        <w:rPr>
          <w:rFonts w:ascii="Arial" w:hAnsi="Arial" w:cs="Arial"/>
          <w:b/>
          <w:szCs w:val="24"/>
        </w:rPr>
        <w:t xml:space="preserve"> </w:t>
      </w:r>
    </w:p>
    <w:p w14:paraId="0B33D99A" w14:textId="77777777" w:rsidR="00603139" w:rsidRPr="00B54AF4" w:rsidRDefault="00603139" w:rsidP="008B7AEF">
      <w:pPr>
        <w:spacing w:before="0" w:after="0"/>
        <w:rPr>
          <w:rFonts w:ascii="Arial" w:hAnsi="Arial" w:cs="Arial"/>
          <w:b/>
          <w:szCs w:val="24"/>
        </w:rPr>
      </w:pPr>
    </w:p>
    <w:p w14:paraId="5F2F9347" w14:textId="77777777" w:rsidR="008B7AEF" w:rsidRPr="00B54AF4" w:rsidRDefault="003F30B3" w:rsidP="008B7AEF">
      <w:pPr>
        <w:spacing w:before="0" w:after="0"/>
        <w:jc w:val="both"/>
        <w:rPr>
          <w:rFonts w:ascii="Arial" w:hAnsi="Arial" w:cs="Arial"/>
          <w:szCs w:val="24"/>
        </w:rPr>
      </w:pPr>
      <w:r w:rsidRPr="00B54AF4">
        <w:rPr>
          <w:rFonts w:ascii="Arial" w:hAnsi="Arial" w:cs="Arial"/>
          <w:szCs w:val="24"/>
        </w:rPr>
        <w:t>Appendix 1</w:t>
      </w:r>
      <w:r w:rsidR="00AA10C2" w:rsidRPr="00B54AF4">
        <w:rPr>
          <w:rFonts w:ascii="Arial" w:hAnsi="Arial" w:cs="Arial"/>
          <w:szCs w:val="24"/>
        </w:rPr>
        <w:t xml:space="preserve"> – </w:t>
      </w:r>
      <w:bookmarkStart w:id="2" w:name="_Hlk20295217"/>
      <w:r w:rsidR="00A9179A" w:rsidRPr="00B54AF4">
        <w:rPr>
          <w:rFonts w:ascii="Arial" w:hAnsi="Arial" w:cs="Arial"/>
          <w:szCs w:val="24"/>
        </w:rPr>
        <w:t>Property Services</w:t>
      </w:r>
      <w:r w:rsidR="00AA10C2" w:rsidRPr="00B54AF4">
        <w:rPr>
          <w:rFonts w:ascii="Arial" w:hAnsi="Arial" w:cs="Arial"/>
          <w:szCs w:val="24"/>
        </w:rPr>
        <w:t xml:space="preserve"> </w:t>
      </w:r>
      <w:bookmarkEnd w:id="2"/>
      <w:r w:rsidR="00AA10C2" w:rsidRPr="00B54AF4">
        <w:rPr>
          <w:rFonts w:ascii="Arial" w:hAnsi="Arial" w:cs="Arial"/>
          <w:szCs w:val="24"/>
        </w:rPr>
        <w:t>Performance Report 2018/19</w:t>
      </w:r>
    </w:p>
    <w:p w14:paraId="3F31FCAF" w14:textId="77777777" w:rsidR="009E27BB" w:rsidRPr="00B54AF4" w:rsidRDefault="009E27BB" w:rsidP="008B7AEF">
      <w:pPr>
        <w:spacing w:before="0" w:after="0"/>
        <w:jc w:val="both"/>
        <w:rPr>
          <w:rFonts w:ascii="Arial" w:hAnsi="Arial" w:cs="Arial"/>
          <w:szCs w:val="24"/>
        </w:rPr>
      </w:pPr>
      <w:bookmarkStart w:id="3" w:name="_Hlk20295235"/>
      <w:r w:rsidRPr="00B54AF4">
        <w:rPr>
          <w:rFonts w:ascii="Arial" w:hAnsi="Arial" w:cs="Arial"/>
          <w:szCs w:val="24"/>
        </w:rPr>
        <w:t xml:space="preserve">Appendix </w:t>
      </w:r>
      <w:bookmarkStart w:id="4" w:name="_Hlk20295187"/>
      <w:r w:rsidRPr="00B54AF4">
        <w:rPr>
          <w:rFonts w:ascii="Arial" w:hAnsi="Arial" w:cs="Arial"/>
          <w:szCs w:val="24"/>
        </w:rPr>
        <w:t xml:space="preserve">2 – </w:t>
      </w:r>
      <w:r w:rsidR="00A9179A" w:rsidRPr="00B54AF4">
        <w:rPr>
          <w:rFonts w:ascii="Arial" w:hAnsi="Arial" w:cs="Arial"/>
          <w:szCs w:val="24"/>
        </w:rPr>
        <w:t>Facilities Management</w:t>
      </w:r>
      <w:r w:rsidR="00FB2266" w:rsidRPr="00B54AF4">
        <w:rPr>
          <w:rFonts w:ascii="Arial" w:hAnsi="Arial" w:cs="Arial"/>
          <w:szCs w:val="24"/>
        </w:rPr>
        <w:t xml:space="preserve"> </w:t>
      </w:r>
      <w:bookmarkEnd w:id="3"/>
      <w:r w:rsidR="00FB2266" w:rsidRPr="00B54AF4">
        <w:rPr>
          <w:rFonts w:ascii="Arial" w:hAnsi="Arial" w:cs="Arial"/>
          <w:szCs w:val="24"/>
        </w:rPr>
        <w:t>Performance Report 2018/19</w:t>
      </w:r>
      <w:bookmarkEnd w:id="4"/>
    </w:p>
    <w:p w14:paraId="7BB7A302" w14:textId="77777777" w:rsidR="005E13A1" w:rsidRPr="00B54AF4" w:rsidRDefault="00FB2266" w:rsidP="005E13A1">
      <w:pPr>
        <w:spacing w:before="0" w:after="0"/>
        <w:rPr>
          <w:rFonts w:ascii="Arial" w:hAnsi="Arial" w:cs="Arial"/>
          <w:szCs w:val="24"/>
        </w:rPr>
      </w:pPr>
      <w:r w:rsidRPr="00B54AF4">
        <w:rPr>
          <w:rFonts w:ascii="Arial" w:hAnsi="Arial" w:cs="Arial"/>
          <w:szCs w:val="24"/>
        </w:rPr>
        <w:t>Appendix 3 –</w:t>
      </w:r>
      <w:bookmarkStart w:id="5" w:name="_Hlk20295305"/>
      <w:r w:rsidR="00B54AF4">
        <w:rPr>
          <w:rFonts w:ascii="Arial" w:hAnsi="Arial" w:cs="Arial"/>
          <w:szCs w:val="24"/>
        </w:rPr>
        <w:t xml:space="preserve"> </w:t>
      </w:r>
      <w:r w:rsidR="003162E2" w:rsidRPr="00B54AF4">
        <w:rPr>
          <w:rFonts w:ascii="Arial" w:hAnsi="Arial" w:cs="Arial"/>
          <w:szCs w:val="24"/>
        </w:rPr>
        <w:t>E</w:t>
      </w:r>
      <w:r w:rsidR="005E13A1" w:rsidRPr="00B54AF4">
        <w:rPr>
          <w:rFonts w:ascii="Arial" w:hAnsi="Arial" w:cs="Arial"/>
          <w:szCs w:val="24"/>
        </w:rPr>
        <w:t xml:space="preserve">stablishment change </w:t>
      </w:r>
      <w:r w:rsidR="003162E2" w:rsidRPr="00B54AF4">
        <w:rPr>
          <w:rFonts w:ascii="Arial" w:hAnsi="Arial" w:cs="Arial"/>
          <w:szCs w:val="24"/>
        </w:rPr>
        <w:t>Information</w:t>
      </w:r>
      <w:r w:rsidR="00CA7764">
        <w:rPr>
          <w:rFonts w:ascii="Arial" w:hAnsi="Arial" w:cs="Arial"/>
          <w:szCs w:val="24"/>
        </w:rPr>
        <w:t xml:space="preserve"> </w:t>
      </w:r>
      <w:r w:rsidR="005E13A1" w:rsidRPr="00B54AF4">
        <w:rPr>
          <w:rFonts w:ascii="Arial" w:hAnsi="Arial" w:cs="Arial"/>
          <w:szCs w:val="24"/>
        </w:rPr>
        <w:t>2018/19</w:t>
      </w:r>
      <w:bookmarkEnd w:id="5"/>
    </w:p>
    <w:p w14:paraId="4EF570F9" w14:textId="77777777" w:rsidR="00F548B4" w:rsidRPr="00B54AF4" w:rsidRDefault="00F548B4" w:rsidP="00F548B4">
      <w:pPr>
        <w:rPr>
          <w:rFonts w:ascii="Arial" w:hAnsi="Arial" w:cs="Arial"/>
        </w:rPr>
      </w:pPr>
    </w:p>
    <w:p w14:paraId="38FBD401" w14:textId="77777777" w:rsidR="000532D5" w:rsidRPr="00B54AF4" w:rsidRDefault="008B7AEF" w:rsidP="00BF0181">
      <w:pPr>
        <w:pStyle w:val="Heading4"/>
        <w:spacing w:before="0" w:after="0"/>
        <w:rPr>
          <w:rFonts w:ascii="Arial" w:hAnsi="Arial" w:cs="Arial"/>
          <w:szCs w:val="24"/>
        </w:rPr>
      </w:pPr>
      <w:r w:rsidRPr="00B54AF4">
        <w:rPr>
          <w:rFonts w:ascii="Arial" w:hAnsi="Arial" w:cs="Arial"/>
          <w:szCs w:val="24"/>
        </w:rPr>
        <w:t>Report Contact</w:t>
      </w:r>
    </w:p>
    <w:p w14:paraId="3000F225" w14:textId="77777777" w:rsidR="008430A3" w:rsidRPr="00B54AF4" w:rsidRDefault="008430A3" w:rsidP="00690847">
      <w:pPr>
        <w:spacing w:before="0" w:after="0"/>
        <w:rPr>
          <w:rFonts w:ascii="Arial" w:hAnsi="Arial" w:cs="Arial"/>
        </w:rPr>
      </w:pPr>
      <w:r w:rsidRPr="00B54AF4">
        <w:rPr>
          <w:rFonts w:ascii="Arial" w:hAnsi="Arial" w:cs="Arial"/>
        </w:rPr>
        <w:t>Jim Lumsden</w:t>
      </w:r>
    </w:p>
    <w:p w14:paraId="2F564FBB" w14:textId="77777777" w:rsidR="00690847" w:rsidRPr="00B54AF4" w:rsidRDefault="00690847" w:rsidP="00690847">
      <w:pPr>
        <w:spacing w:before="0" w:after="0"/>
        <w:rPr>
          <w:rFonts w:ascii="Arial" w:hAnsi="Arial" w:cs="Arial"/>
        </w:rPr>
      </w:pPr>
      <w:r w:rsidRPr="00B54AF4">
        <w:rPr>
          <w:rFonts w:ascii="Arial" w:hAnsi="Arial" w:cs="Arial"/>
        </w:rPr>
        <w:t>Corporate Development Team Manager</w:t>
      </w:r>
    </w:p>
    <w:p w14:paraId="1D3D8E0E" w14:textId="77777777" w:rsidR="00690847" w:rsidRPr="00B54AF4" w:rsidRDefault="00690847" w:rsidP="005E13A1">
      <w:pPr>
        <w:spacing w:before="0" w:after="0"/>
        <w:jc w:val="both"/>
        <w:rPr>
          <w:rFonts w:ascii="Arial" w:hAnsi="Arial" w:cs="Arial"/>
        </w:rPr>
      </w:pPr>
      <w:r w:rsidRPr="00B54AF4">
        <w:rPr>
          <w:rFonts w:ascii="Arial" w:hAnsi="Arial" w:cs="Arial"/>
        </w:rPr>
        <w:t>Communities Directorate</w:t>
      </w:r>
    </w:p>
    <w:p w14:paraId="5D7F6FBF" w14:textId="77777777" w:rsidR="00690847" w:rsidRPr="00B54AF4" w:rsidRDefault="00690847" w:rsidP="00690847">
      <w:pPr>
        <w:spacing w:before="0" w:after="0"/>
        <w:rPr>
          <w:rFonts w:ascii="Arial" w:hAnsi="Arial" w:cs="Arial"/>
        </w:rPr>
      </w:pPr>
      <w:r w:rsidRPr="00B54AF4">
        <w:rPr>
          <w:rFonts w:ascii="Arial" w:hAnsi="Arial" w:cs="Arial"/>
        </w:rPr>
        <w:t>03451 555555 x 450602</w:t>
      </w:r>
    </w:p>
    <w:p w14:paraId="7CEEE938" w14:textId="1BAA56C8" w:rsidR="00690847" w:rsidRDefault="00690847" w:rsidP="008430A3">
      <w:pPr>
        <w:rPr>
          <w:rFonts w:ascii="Arial" w:hAnsi="Arial" w:cs="Arial"/>
        </w:rPr>
      </w:pPr>
    </w:p>
    <w:p w14:paraId="70CFED5A" w14:textId="73D18676" w:rsidR="00046857" w:rsidRDefault="00046857" w:rsidP="008430A3">
      <w:pPr>
        <w:rPr>
          <w:rFonts w:ascii="Arial" w:hAnsi="Arial" w:cs="Arial"/>
        </w:rPr>
      </w:pPr>
    </w:p>
    <w:p w14:paraId="482044F1" w14:textId="1901B6EE" w:rsidR="00046857" w:rsidRDefault="00046857" w:rsidP="008430A3">
      <w:pPr>
        <w:rPr>
          <w:rFonts w:ascii="Arial" w:hAnsi="Arial" w:cs="Arial"/>
        </w:rPr>
      </w:pPr>
    </w:p>
    <w:p w14:paraId="71D39915" w14:textId="5DA4A58D" w:rsidR="00046857" w:rsidRDefault="00046857" w:rsidP="008430A3">
      <w:pPr>
        <w:rPr>
          <w:rFonts w:ascii="Arial" w:hAnsi="Arial" w:cs="Arial"/>
        </w:rPr>
      </w:pPr>
    </w:p>
    <w:p w14:paraId="106FF3DC" w14:textId="31EAE609" w:rsidR="00046857" w:rsidRDefault="00046857" w:rsidP="008430A3">
      <w:pPr>
        <w:rPr>
          <w:rFonts w:ascii="Arial" w:hAnsi="Arial" w:cs="Arial"/>
        </w:rPr>
      </w:pPr>
    </w:p>
    <w:p w14:paraId="1B87BA11" w14:textId="40F9ED00" w:rsidR="00046857" w:rsidRDefault="00046857" w:rsidP="008430A3">
      <w:pPr>
        <w:rPr>
          <w:rFonts w:ascii="Arial" w:hAnsi="Arial" w:cs="Arial"/>
        </w:rPr>
      </w:pPr>
    </w:p>
    <w:p w14:paraId="4F05F623" w14:textId="32C06E17" w:rsidR="00046857" w:rsidRDefault="00046857" w:rsidP="008430A3">
      <w:pPr>
        <w:rPr>
          <w:rFonts w:ascii="Arial" w:hAnsi="Arial" w:cs="Arial"/>
        </w:rPr>
      </w:pPr>
    </w:p>
    <w:p w14:paraId="1B4C25E0" w14:textId="5355BAB8" w:rsidR="00046857" w:rsidRDefault="00046857" w:rsidP="008430A3">
      <w:pPr>
        <w:rPr>
          <w:rFonts w:ascii="Arial" w:hAnsi="Arial" w:cs="Arial"/>
        </w:rPr>
      </w:pPr>
    </w:p>
    <w:p w14:paraId="1AE91577" w14:textId="7AE929ED" w:rsidR="00046857" w:rsidRDefault="00046857" w:rsidP="008430A3">
      <w:pPr>
        <w:rPr>
          <w:rFonts w:ascii="Arial" w:hAnsi="Arial" w:cs="Arial"/>
        </w:rPr>
      </w:pPr>
    </w:p>
    <w:p w14:paraId="5DFA7609" w14:textId="6C8F2ABB" w:rsidR="00046857" w:rsidRDefault="00046857" w:rsidP="008430A3">
      <w:pPr>
        <w:rPr>
          <w:rFonts w:ascii="Arial" w:hAnsi="Arial" w:cs="Arial"/>
        </w:rPr>
      </w:pPr>
    </w:p>
    <w:p w14:paraId="4B67449D" w14:textId="53C01E77" w:rsidR="00046857" w:rsidRDefault="00046857" w:rsidP="008430A3">
      <w:pPr>
        <w:rPr>
          <w:rFonts w:ascii="Arial" w:hAnsi="Arial" w:cs="Arial"/>
        </w:rPr>
      </w:pPr>
    </w:p>
    <w:p w14:paraId="0C5D967F" w14:textId="7D6342C0" w:rsidR="00046857" w:rsidRDefault="00046857" w:rsidP="008430A3">
      <w:pPr>
        <w:rPr>
          <w:rFonts w:ascii="Arial" w:hAnsi="Arial" w:cs="Arial"/>
        </w:rPr>
      </w:pPr>
    </w:p>
    <w:p w14:paraId="6404BDED" w14:textId="2436AFEA" w:rsidR="00046857" w:rsidRDefault="00046857" w:rsidP="008430A3">
      <w:pPr>
        <w:rPr>
          <w:rFonts w:ascii="Arial" w:hAnsi="Arial" w:cs="Arial"/>
        </w:rPr>
      </w:pPr>
    </w:p>
    <w:p w14:paraId="6FC82F05" w14:textId="77777777" w:rsidR="00046857" w:rsidRPr="00046857" w:rsidRDefault="00046857" w:rsidP="00046857">
      <w:pPr>
        <w:ind w:left="426"/>
        <w:rPr>
          <w:rFonts w:asciiTheme="minorBidi" w:eastAsiaTheme="minorHAnsi" w:hAnsiTheme="minorBidi" w:cstheme="minorBidi"/>
          <w:color w:val="1F4E79" w:themeColor="accent5" w:themeShade="80"/>
          <w:szCs w:val="24"/>
          <w:lang w:eastAsia="en-US"/>
        </w:rPr>
      </w:pPr>
      <w:r w:rsidRPr="00046857">
        <w:rPr>
          <w:rFonts w:asciiTheme="minorBidi" w:eastAsiaTheme="minorHAnsi" w:hAnsiTheme="minorBidi" w:cstheme="minorBidi"/>
          <w:noProof/>
          <w:color w:val="1F4E79" w:themeColor="accent5" w:themeShade="80"/>
          <w:szCs w:val="24"/>
        </w:rPr>
        <w:lastRenderedPageBreak/>
        <w:drawing>
          <wp:inline distT="0" distB="0" distL="0" distR="0" wp14:anchorId="54BCBC99" wp14:editId="679C23AE">
            <wp:extent cx="2215166" cy="10037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_Logo_c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317" cy="1070426"/>
                    </a:xfrm>
                    <a:prstGeom prst="rect">
                      <a:avLst/>
                    </a:prstGeom>
                  </pic:spPr>
                </pic:pic>
              </a:graphicData>
            </a:graphic>
          </wp:inline>
        </w:drawing>
      </w:r>
    </w:p>
    <w:p w14:paraId="6DC0BD23" w14:textId="77777777" w:rsidR="00046857" w:rsidRPr="00046857" w:rsidRDefault="00046857" w:rsidP="00046857">
      <w:pPr>
        <w:rPr>
          <w:rFonts w:asciiTheme="minorBidi" w:eastAsiaTheme="minorHAnsi" w:hAnsiTheme="minorBidi" w:cstheme="minorBidi"/>
          <w:color w:val="1F4E79" w:themeColor="accent5" w:themeShade="80"/>
          <w:szCs w:val="24"/>
          <w:lang w:eastAsia="en-US"/>
        </w:rPr>
      </w:pPr>
    </w:p>
    <w:p w14:paraId="1624DE54" w14:textId="77777777" w:rsidR="00046857" w:rsidRPr="00046857" w:rsidRDefault="00046857" w:rsidP="00046857">
      <w:pPr>
        <w:keepNext/>
        <w:keepLines/>
        <w:spacing w:before="240" w:after="0"/>
        <w:ind w:right="821"/>
        <w:outlineLvl w:val="0"/>
        <w:rPr>
          <w:rFonts w:ascii="Arial" w:eastAsiaTheme="majorEastAsia" w:hAnsi="Arial" w:cstheme="majorBidi"/>
          <w:color w:val="1F4E79" w:themeColor="accent5" w:themeShade="80"/>
          <w:sz w:val="56"/>
          <w:szCs w:val="56"/>
          <w:lang w:eastAsia="en-US"/>
        </w:rPr>
      </w:pPr>
      <w:r w:rsidRPr="00046857">
        <w:rPr>
          <w:rFonts w:ascii="Arial" w:eastAsiaTheme="majorEastAsia" w:hAnsi="Arial" w:cstheme="majorBidi"/>
          <w:color w:val="1F4E79" w:themeColor="accent5" w:themeShade="80"/>
          <w:sz w:val="56"/>
          <w:szCs w:val="56"/>
          <w:lang w:eastAsia="en-US"/>
        </w:rPr>
        <w:t>Property Services</w:t>
      </w:r>
    </w:p>
    <w:p w14:paraId="1F7204AD" w14:textId="77777777" w:rsidR="00046857" w:rsidRPr="00046857" w:rsidRDefault="00046857" w:rsidP="00046857">
      <w:pPr>
        <w:keepNext/>
        <w:keepLines/>
        <w:spacing w:before="240" w:after="0"/>
        <w:ind w:right="821"/>
        <w:outlineLvl w:val="0"/>
        <w:rPr>
          <w:rFonts w:ascii="Arial" w:eastAsiaTheme="majorEastAsia" w:hAnsi="Arial" w:cstheme="majorBidi"/>
          <w:color w:val="1F4E79" w:themeColor="accent5" w:themeShade="80"/>
          <w:sz w:val="72"/>
          <w:szCs w:val="32"/>
          <w:lang w:eastAsia="en-US"/>
        </w:rPr>
      </w:pPr>
      <w:r w:rsidRPr="00046857">
        <w:rPr>
          <w:rFonts w:ascii="Arial" w:eastAsiaTheme="majorEastAsia" w:hAnsi="Arial" w:cstheme="majorBidi"/>
          <w:color w:val="1F4E79" w:themeColor="accent5" w:themeShade="80"/>
          <w:sz w:val="56"/>
          <w:szCs w:val="56"/>
          <w:lang w:eastAsia="en-US"/>
        </w:rPr>
        <w:t>Performance Report 2018/19</w:t>
      </w:r>
    </w:p>
    <w:tbl>
      <w:tblPr>
        <w:tblStyle w:val="TableGrid1"/>
        <w:tblW w:w="4997"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shd w:val="clear" w:color="auto" w:fill="FFC000"/>
        <w:tblLook w:val="04A0" w:firstRow="1" w:lastRow="0" w:firstColumn="1" w:lastColumn="0" w:noHBand="0" w:noVBand="1"/>
      </w:tblPr>
      <w:tblGrid>
        <w:gridCol w:w="4811"/>
        <w:gridCol w:w="4811"/>
      </w:tblGrid>
      <w:tr w:rsidR="00046857" w:rsidRPr="00046857" w14:paraId="2C5C102C" w14:textId="77777777" w:rsidTr="00823C4A">
        <w:trPr>
          <w:trHeight w:val="8720"/>
        </w:trPr>
        <w:tc>
          <w:tcPr>
            <w:tcW w:w="2500" w:type="pct"/>
            <w:shd w:val="clear" w:color="auto" w:fill="auto"/>
          </w:tcPr>
          <w:p w14:paraId="742A1140" w14:textId="77777777" w:rsidR="00046857" w:rsidRPr="00046857" w:rsidRDefault="00046857" w:rsidP="00046857">
            <w:pPr>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 xml:space="preserve">This report provides a strategic overview of performance against key indicators. We’ve worked hard to maintain and improve performance, and this year has seen </w:t>
            </w:r>
            <w:proofErr w:type="gramStart"/>
            <w:r w:rsidRPr="00046857">
              <w:rPr>
                <w:rFonts w:ascii="Arial" w:eastAsiaTheme="minorHAnsi" w:hAnsi="Arial" w:cs="Arial"/>
                <w:color w:val="1F4E79" w:themeColor="accent5" w:themeShade="80"/>
                <w:sz w:val="22"/>
                <w:szCs w:val="22"/>
              </w:rPr>
              <w:t>a number of</w:t>
            </w:r>
            <w:proofErr w:type="gramEnd"/>
            <w:r w:rsidRPr="00046857">
              <w:rPr>
                <w:rFonts w:ascii="Arial" w:eastAsiaTheme="minorHAnsi" w:hAnsi="Arial" w:cs="Arial"/>
                <w:color w:val="1F4E79" w:themeColor="accent5" w:themeShade="80"/>
                <w:sz w:val="22"/>
                <w:szCs w:val="22"/>
              </w:rPr>
              <w:t xml:space="preserve"> important achievements for Property Services:</w:t>
            </w:r>
          </w:p>
          <w:p w14:paraId="0CE4AB21" w14:textId="77777777" w:rsidR="00046857" w:rsidRPr="00046857" w:rsidRDefault="00046857" w:rsidP="00046857">
            <w:pPr>
              <w:numPr>
                <w:ilvl w:val="0"/>
                <w:numId w:val="31"/>
              </w:numPr>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 xml:space="preserve">£71M of capital projects delivered which relates to 328 projects </w:t>
            </w:r>
            <w:r w:rsidRPr="00046857">
              <w:rPr>
                <w:rFonts w:ascii="Arial" w:eastAsiaTheme="minorHAnsi" w:hAnsi="Arial" w:cs="Arial"/>
                <w:color w:val="1F4E79" w:themeColor="accent5" w:themeShade="80"/>
                <w:sz w:val="22"/>
                <w:szCs w:val="22"/>
              </w:rPr>
              <w:br/>
            </w:r>
          </w:p>
          <w:p w14:paraId="3B85D39A" w14:textId="77777777" w:rsidR="00046857" w:rsidRPr="00046857" w:rsidRDefault="00046857" w:rsidP="00046857">
            <w:pPr>
              <w:numPr>
                <w:ilvl w:val="0"/>
                <w:numId w:val="31"/>
              </w:numPr>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Ongoing delivery of BFF (Building Fife’s Future) programme of works, including Madras</w:t>
            </w:r>
            <w:r w:rsidRPr="00046857">
              <w:rPr>
                <w:rFonts w:ascii="Arial" w:eastAsiaTheme="minorHAnsi" w:hAnsi="Arial" w:cs="Arial"/>
                <w:color w:val="1F4E79" w:themeColor="accent5" w:themeShade="80"/>
                <w:sz w:val="22"/>
                <w:szCs w:val="22"/>
              </w:rPr>
              <w:br/>
            </w:r>
          </w:p>
          <w:p w14:paraId="181380C8" w14:textId="77777777" w:rsidR="00046857" w:rsidRPr="00046857" w:rsidRDefault="00046857" w:rsidP="00046857">
            <w:pPr>
              <w:numPr>
                <w:ilvl w:val="0"/>
                <w:numId w:val="31"/>
              </w:numPr>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Delivery of the Building Value programme and reduction of property costs by 5%</w:t>
            </w:r>
            <w:r w:rsidRPr="00046857">
              <w:rPr>
                <w:rFonts w:ascii="Arial" w:eastAsiaTheme="minorHAnsi" w:hAnsi="Arial" w:cs="Arial"/>
                <w:color w:val="1F4E79" w:themeColor="accent5" w:themeShade="80"/>
                <w:sz w:val="22"/>
                <w:szCs w:val="22"/>
              </w:rPr>
              <w:br/>
            </w:r>
          </w:p>
          <w:p w14:paraId="3F403739" w14:textId="77777777" w:rsidR="00046857" w:rsidRPr="00046857" w:rsidRDefault="00046857" w:rsidP="00046857">
            <w:pPr>
              <w:numPr>
                <w:ilvl w:val="0"/>
                <w:numId w:val="31"/>
              </w:numPr>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 xml:space="preserve">Significant Planning exercise in place to deliver nursery places across Fife </w:t>
            </w:r>
            <w:r w:rsidRPr="00046857">
              <w:rPr>
                <w:rFonts w:ascii="Arial" w:eastAsiaTheme="minorHAnsi" w:hAnsi="Arial" w:cs="Arial"/>
                <w:color w:val="1F4E79" w:themeColor="accent5" w:themeShade="80"/>
                <w:sz w:val="22"/>
                <w:szCs w:val="22"/>
              </w:rPr>
              <w:br/>
            </w:r>
          </w:p>
          <w:p w14:paraId="1D9352E3" w14:textId="77777777" w:rsidR="00046857" w:rsidRPr="00046857" w:rsidRDefault="00046857" w:rsidP="00046857">
            <w:pPr>
              <w:numPr>
                <w:ilvl w:val="0"/>
                <w:numId w:val="31"/>
              </w:numPr>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 xml:space="preserve">Delivery of 324 houses via the AHP (Affordable Housing Programme) </w:t>
            </w:r>
          </w:p>
          <w:p w14:paraId="37DF8563" w14:textId="77777777" w:rsidR="00046857" w:rsidRPr="00046857" w:rsidRDefault="00046857" w:rsidP="00046857">
            <w:pPr>
              <w:numPr>
                <w:ilvl w:val="0"/>
                <w:numId w:val="30"/>
              </w:numPr>
              <w:ind w:left="720"/>
              <w:contextualSpacing/>
              <w:rPr>
                <w:rFonts w:ascii="Arial" w:eastAsiaTheme="minorHAnsi" w:hAnsi="Arial" w:cs="Arial"/>
                <w:color w:val="1F4E79" w:themeColor="accent5" w:themeShade="80"/>
                <w:sz w:val="22"/>
                <w:szCs w:val="22"/>
              </w:rPr>
            </w:pPr>
          </w:p>
          <w:p w14:paraId="150D0647" w14:textId="77777777" w:rsidR="00046857" w:rsidRPr="00046857" w:rsidRDefault="00046857" w:rsidP="00046857">
            <w:pPr>
              <w:numPr>
                <w:ilvl w:val="0"/>
                <w:numId w:val="31"/>
              </w:numPr>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20,102 repairs delivered across the Council’s Non-Housing Estate</w:t>
            </w:r>
          </w:p>
          <w:p w14:paraId="2FB68711" w14:textId="77777777" w:rsidR="00046857" w:rsidRPr="00046857" w:rsidRDefault="00046857" w:rsidP="00046857">
            <w:pPr>
              <w:numPr>
                <w:ilvl w:val="0"/>
                <w:numId w:val="30"/>
              </w:numPr>
              <w:ind w:left="720"/>
              <w:contextualSpacing/>
              <w:rPr>
                <w:rFonts w:ascii="Arial" w:eastAsiaTheme="minorHAnsi" w:hAnsi="Arial" w:cs="Arial"/>
                <w:color w:val="1F4E79" w:themeColor="accent5" w:themeShade="80"/>
                <w:sz w:val="22"/>
                <w:szCs w:val="22"/>
              </w:rPr>
            </w:pPr>
          </w:p>
          <w:p w14:paraId="086876A3" w14:textId="77777777" w:rsidR="00046857" w:rsidRPr="00046857" w:rsidRDefault="00046857" w:rsidP="00046857">
            <w:pPr>
              <w:numPr>
                <w:ilvl w:val="0"/>
                <w:numId w:val="31"/>
              </w:numPr>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Significant reductions in energy use across the Council Non-Housing Estate</w:t>
            </w:r>
          </w:p>
          <w:p w14:paraId="2A9C0E6D" w14:textId="77777777" w:rsidR="00046857" w:rsidRPr="00046857" w:rsidRDefault="00046857" w:rsidP="00046857">
            <w:pPr>
              <w:numPr>
                <w:ilvl w:val="0"/>
                <w:numId w:val="30"/>
              </w:numPr>
              <w:ind w:left="720"/>
              <w:contextualSpacing/>
              <w:rPr>
                <w:rFonts w:ascii="Arial" w:eastAsiaTheme="minorHAnsi" w:hAnsi="Arial" w:cs="Arial"/>
                <w:color w:val="1F4E79" w:themeColor="accent5" w:themeShade="80"/>
                <w:sz w:val="22"/>
                <w:szCs w:val="22"/>
              </w:rPr>
            </w:pPr>
          </w:p>
          <w:p w14:paraId="3FE242D1" w14:textId="77777777" w:rsidR="00046857" w:rsidRPr="00046857" w:rsidRDefault="00046857" w:rsidP="00046857">
            <w:pPr>
              <w:numPr>
                <w:ilvl w:val="0"/>
                <w:numId w:val="31"/>
              </w:numPr>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 xml:space="preserve">Community benefits achieved in contracts put in place by Property Services including four apprentices </w:t>
            </w:r>
            <w:r w:rsidRPr="00046857">
              <w:rPr>
                <w:rFonts w:ascii="Arial" w:eastAsiaTheme="minorHAnsi" w:hAnsi="Arial" w:cs="Arial"/>
                <w:color w:val="1F4E79" w:themeColor="accent5" w:themeShade="80"/>
                <w:sz w:val="22"/>
                <w:szCs w:val="22"/>
              </w:rPr>
              <w:br/>
            </w:r>
          </w:p>
          <w:p w14:paraId="662A0FE2" w14:textId="77777777" w:rsidR="00046857" w:rsidRPr="00046857" w:rsidRDefault="00046857" w:rsidP="00046857">
            <w:pPr>
              <w:numPr>
                <w:ilvl w:val="0"/>
                <w:numId w:val="31"/>
              </w:numPr>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Continued high level of satisfaction with services provided by Property Service</w:t>
            </w:r>
            <w:r w:rsidRPr="00046857">
              <w:rPr>
                <w:rFonts w:ascii="Arial" w:eastAsiaTheme="minorHAnsi" w:hAnsi="Arial" w:cs="Arial"/>
                <w:color w:val="1F4E79" w:themeColor="accent5" w:themeShade="80"/>
                <w:sz w:val="22"/>
                <w:szCs w:val="22"/>
              </w:rPr>
              <w:br/>
            </w:r>
          </w:p>
          <w:p w14:paraId="76B047A3" w14:textId="77777777" w:rsidR="00046857" w:rsidRPr="00046857" w:rsidRDefault="00046857" w:rsidP="00046857">
            <w:pPr>
              <w:numPr>
                <w:ilvl w:val="0"/>
                <w:numId w:val="31"/>
              </w:numPr>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Absence rates in Property Service continue to improve</w:t>
            </w:r>
          </w:p>
        </w:tc>
        <w:tc>
          <w:tcPr>
            <w:tcW w:w="2500" w:type="pct"/>
            <w:shd w:val="clear" w:color="auto" w:fill="auto"/>
          </w:tcPr>
          <w:p w14:paraId="63B91FB0" w14:textId="77777777" w:rsidR="00046857" w:rsidRPr="00046857" w:rsidRDefault="00046857" w:rsidP="00046857">
            <w:pPr>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However, we continue to face significant challenges in Property Services</w:t>
            </w:r>
          </w:p>
          <w:p w14:paraId="50019D4B" w14:textId="77777777" w:rsidR="00046857" w:rsidRPr="00046857" w:rsidRDefault="00046857" w:rsidP="00046857">
            <w:pPr>
              <w:rPr>
                <w:rFonts w:ascii="Arial" w:eastAsiaTheme="minorHAnsi" w:hAnsi="Arial" w:cs="Arial"/>
                <w:color w:val="1F4E79" w:themeColor="accent5" w:themeShade="80"/>
                <w:sz w:val="22"/>
                <w:szCs w:val="22"/>
              </w:rPr>
            </w:pPr>
          </w:p>
          <w:p w14:paraId="68FC37D6" w14:textId="77777777" w:rsidR="00046857" w:rsidRPr="00046857" w:rsidRDefault="00046857" w:rsidP="00046857">
            <w:pPr>
              <w:rPr>
                <w:rFonts w:ascii="Arial" w:eastAsiaTheme="minorHAnsi" w:hAnsi="Arial" w:cs="Arial"/>
                <w:color w:val="1F4E79" w:themeColor="accent5" w:themeShade="80"/>
                <w:sz w:val="22"/>
                <w:szCs w:val="22"/>
              </w:rPr>
            </w:pPr>
          </w:p>
          <w:p w14:paraId="2EF6F4AB" w14:textId="77777777" w:rsidR="00046857" w:rsidRPr="00046857" w:rsidRDefault="00046857" w:rsidP="00046857">
            <w:pPr>
              <w:rPr>
                <w:rFonts w:ascii="Arial" w:eastAsiaTheme="minorHAnsi" w:hAnsi="Arial" w:cs="Arial"/>
                <w:color w:val="1F4E79" w:themeColor="accent5" w:themeShade="80"/>
                <w:sz w:val="22"/>
                <w:szCs w:val="22"/>
              </w:rPr>
            </w:pPr>
          </w:p>
          <w:p w14:paraId="53151B7D" w14:textId="77777777" w:rsidR="00046857" w:rsidRPr="00046857" w:rsidRDefault="00046857" w:rsidP="00046857">
            <w:pPr>
              <w:numPr>
                <w:ilvl w:val="0"/>
                <w:numId w:val="32"/>
              </w:numPr>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Service review to be instigated which will focus on the need to reshape and prioritise service delivery to reflect reduced budget envelope</w:t>
            </w:r>
          </w:p>
          <w:p w14:paraId="6BCC5C4E" w14:textId="77777777" w:rsidR="00046857" w:rsidRPr="00046857" w:rsidRDefault="00046857" w:rsidP="00046857">
            <w:pPr>
              <w:numPr>
                <w:ilvl w:val="0"/>
                <w:numId w:val="30"/>
              </w:numPr>
              <w:ind w:left="720"/>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 xml:space="preserve"> </w:t>
            </w:r>
          </w:p>
          <w:p w14:paraId="19FE0AA2" w14:textId="77777777" w:rsidR="00046857" w:rsidRPr="00046857" w:rsidRDefault="00046857" w:rsidP="00046857">
            <w:pPr>
              <w:numPr>
                <w:ilvl w:val="0"/>
                <w:numId w:val="32"/>
              </w:numPr>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 xml:space="preserve"> Continue to improve customer satisfaction and understanding of the services we provide  </w:t>
            </w:r>
          </w:p>
          <w:p w14:paraId="41EAAAB7" w14:textId="77777777" w:rsidR="00046857" w:rsidRPr="00046857" w:rsidRDefault="00046857" w:rsidP="00046857">
            <w:pPr>
              <w:numPr>
                <w:ilvl w:val="0"/>
                <w:numId w:val="30"/>
              </w:numPr>
              <w:ind w:left="720"/>
              <w:contextualSpacing/>
              <w:rPr>
                <w:rFonts w:ascii="Arial" w:eastAsiaTheme="minorHAnsi" w:hAnsi="Arial" w:cs="Arial"/>
                <w:color w:val="1F4E79" w:themeColor="accent5" w:themeShade="80"/>
                <w:sz w:val="22"/>
                <w:szCs w:val="22"/>
              </w:rPr>
            </w:pPr>
          </w:p>
          <w:p w14:paraId="62A3FB5B" w14:textId="77777777" w:rsidR="00046857" w:rsidRPr="00046857" w:rsidRDefault="00046857" w:rsidP="00046857">
            <w:pPr>
              <w:numPr>
                <w:ilvl w:val="0"/>
                <w:numId w:val="32"/>
              </w:numPr>
              <w:contextualSpacing/>
              <w:rPr>
                <w:rFonts w:ascii="Arial" w:eastAsiaTheme="minorHAnsi" w:hAnsi="Arial" w:cs="Arial"/>
                <w:color w:val="1F4E79" w:themeColor="accent5" w:themeShade="80"/>
                <w:sz w:val="22"/>
                <w:szCs w:val="22"/>
              </w:rPr>
            </w:pPr>
            <w:r w:rsidRPr="00046857">
              <w:rPr>
                <w:rFonts w:ascii="Arial" w:eastAsiaTheme="minorHAnsi" w:hAnsi="Arial" w:cs="Arial"/>
                <w:color w:val="1F4E79" w:themeColor="accent5" w:themeShade="80"/>
                <w:sz w:val="22"/>
                <w:szCs w:val="22"/>
              </w:rPr>
              <w:t xml:space="preserve">Continue to be alert to implications of building related risks, to include in response to events elsewhere i.e. </w:t>
            </w:r>
            <w:proofErr w:type="spellStart"/>
            <w:r w:rsidRPr="00046857">
              <w:rPr>
                <w:rFonts w:ascii="Arial" w:eastAsiaTheme="minorHAnsi" w:hAnsi="Arial" w:cs="Arial"/>
                <w:color w:val="1F4E79" w:themeColor="accent5" w:themeShade="80"/>
                <w:sz w:val="22"/>
                <w:szCs w:val="22"/>
              </w:rPr>
              <w:t>Liberton</w:t>
            </w:r>
            <w:proofErr w:type="spellEnd"/>
            <w:r w:rsidRPr="00046857">
              <w:rPr>
                <w:rFonts w:ascii="Arial" w:eastAsiaTheme="minorHAnsi" w:hAnsi="Arial" w:cs="Arial"/>
                <w:color w:val="1F4E79" w:themeColor="accent5" w:themeShade="80"/>
                <w:sz w:val="22"/>
                <w:szCs w:val="22"/>
              </w:rPr>
              <w:t>, Oxgangs and Grenfell</w:t>
            </w:r>
          </w:p>
          <w:p w14:paraId="47EEB9D6" w14:textId="77777777" w:rsidR="00046857" w:rsidRPr="00046857" w:rsidRDefault="00046857" w:rsidP="00046857">
            <w:pPr>
              <w:rPr>
                <w:rFonts w:ascii="Arial" w:eastAsiaTheme="minorHAnsi" w:hAnsi="Arial" w:cs="Arial"/>
                <w:color w:val="1F4E79" w:themeColor="accent5" w:themeShade="80"/>
                <w:sz w:val="22"/>
                <w:szCs w:val="22"/>
              </w:rPr>
            </w:pPr>
          </w:p>
        </w:tc>
      </w:tr>
    </w:tbl>
    <w:p w14:paraId="10268CCF" w14:textId="77777777" w:rsidR="00046857" w:rsidRPr="00046857" w:rsidRDefault="00046857" w:rsidP="00046857">
      <w:pPr>
        <w:spacing w:before="0" w:after="0"/>
        <w:rPr>
          <w:rFonts w:asciiTheme="minorBidi" w:eastAsiaTheme="minorHAnsi" w:hAnsiTheme="minorBidi" w:cstheme="minorBidi"/>
          <w:color w:val="1F4E79" w:themeColor="accent5" w:themeShade="80"/>
          <w:sz w:val="56"/>
          <w:szCs w:val="56"/>
          <w:lang w:eastAsia="en-US"/>
        </w:rPr>
      </w:pPr>
      <w:bookmarkStart w:id="6" w:name="_Hlk14182235"/>
      <w:r w:rsidRPr="00046857">
        <w:rPr>
          <w:rFonts w:asciiTheme="minorBidi" w:eastAsiaTheme="minorHAnsi" w:hAnsiTheme="minorBidi" w:cstheme="minorBidi"/>
          <w:color w:val="1F4E79" w:themeColor="accent5" w:themeShade="80"/>
          <w:sz w:val="56"/>
          <w:szCs w:val="56"/>
          <w:lang w:eastAsia="en-US"/>
        </w:rPr>
        <w:br w:type="page"/>
      </w:r>
    </w:p>
    <w:p w14:paraId="31F4AA1B" w14:textId="77777777" w:rsidR="00046857" w:rsidRPr="00046857" w:rsidRDefault="00046857" w:rsidP="00046857">
      <w:pPr>
        <w:spacing w:before="0" w:after="0"/>
        <w:rPr>
          <w:rFonts w:ascii="Arial" w:eastAsiaTheme="minorHAnsi" w:hAnsi="Arial" w:cs="Arial"/>
          <w:color w:val="1F4E79" w:themeColor="accent5" w:themeShade="80"/>
          <w:szCs w:val="24"/>
          <w:lang w:eastAsia="en-US"/>
        </w:rPr>
      </w:pPr>
      <w:r w:rsidRPr="00046857">
        <w:rPr>
          <w:rFonts w:ascii="Arial" w:eastAsiaTheme="minorHAnsi" w:hAnsi="Arial" w:cs="Arial"/>
          <w:color w:val="1F4E79" w:themeColor="accent5" w:themeShade="80"/>
          <w:sz w:val="56"/>
          <w:szCs w:val="56"/>
          <w:lang w:eastAsia="en-US"/>
        </w:rPr>
        <w:lastRenderedPageBreak/>
        <w:t>Customer</w:t>
      </w:r>
    </w:p>
    <w:tbl>
      <w:tblPr>
        <w:tblStyle w:val="TableGrid1"/>
        <w:tblW w:w="10490" w:type="dxa"/>
        <w:tblInd w:w="-5"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Look w:val="04A0" w:firstRow="1" w:lastRow="0" w:firstColumn="1" w:lastColumn="0" w:noHBand="0" w:noVBand="1"/>
      </w:tblPr>
      <w:tblGrid>
        <w:gridCol w:w="6237"/>
        <w:gridCol w:w="4253"/>
      </w:tblGrid>
      <w:tr w:rsidR="00046857" w:rsidRPr="00046857" w14:paraId="39F3E4F9" w14:textId="77777777" w:rsidTr="00823C4A">
        <w:tc>
          <w:tcPr>
            <w:tcW w:w="6237" w:type="dxa"/>
            <w:shd w:val="clear" w:color="auto" w:fill="1F4E79" w:themeFill="accent5" w:themeFillShade="80"/>
            <w:vAlign w:val="center"/>
          </w:tcPr>
          <w:p w14:paraId="122E9D89" w14:textId="77777777" w:rsidR="00046857" w:rsidRPr="00046857" w:rsidRDefault="00046857" w:rsidP="00046857">
            <w:pPr>
              <w:jc w:val="center"/>
              <w:rPr>
                <w:rFonts w:ascii="Arial" w:eastAsiaTheme="minorHAnsi" w:hAnsi="Arial" w:cs="Arial"/>
                <w:b/>
                <w:bCs/>
                <w:color w:val="FFFFFF" w:themeColor="background1"/>
              </w:rPr>
            </w:pPr>
            <w:bookmarkStart w:id="7" w:name="_Hlk14170503"/>
            <w:bookmarkEnd w:id="6"/>
            <w:r w:rsidRPr="00046857">
              <w:rPr>
                <w:rFonts w:ascii="Arial" w:eastAsiaTheme="minorHAnsi" w:hAnsi="Arial" w:cs="Arial"/>
                <w:b/>
                <w:bCs/>
                <w:color w:val="FFFFFF" w:themeColor="background1"/>
              </w:rPr>
              <w:t>Performance</w:t>
            </w:r>
          </w:p>
        </w:tc>
        <w:tc>
          <w:tcPr>
            <w:tcW w:w="4253" w:type="dxa"/>
            <w:shd w:val="clear" w:color="auto" w:fill="1F4E79" w:themeFill="accent5" w:themeFillShade="80"/>
            <w:vAlign w:val="center"/>
          </w:tcPr>
          <w:p w14:paraId="215E4E70" w14:textId="77777777" w:rsidR="00046857" w:rsidRPr="00046857" w:rsidRDefault="00046857" w:rsidP="00046857">
            <w:pPr>
              <w:jc w:val="center"/>
              <w:rPr>
                <w:rFonts w:ascii="Arial" w:eastAsiaTheme="minorHAnsi" w:hAnsi="Arial" w:cs="Arial"/>
                <w:b/>
                <w:bCs/>
                <w:color w:val="FFFFFF" w:themeColor="background1"/>
              </w:rPr>
            </w:pPr>
            <w:r w:rsidRPr="00046857">
              <w:rPr>
                <w:rFonts w:ascii="Arial" w:eastAsiaTheme="minorHAnsi" w:hAnsi="Arial" w:cs="Arial"/>
                <w:b/>
                <w:bCs/>
                <w:color w:val="FFFFFF" w:themeColor="background1"/>
              </w:rPr>
              <w:t>Progress</w:t>
            </w:r>
          </w:p>
        </w:tc>
      </w:tr>
      <w:bookmarkEnd w:id="7"/>
      <w:tr w:rsidR="00046857" w:rsidRPr="00046857" w14:paraId="6091C950" w14:textId="77777777" w:rsidTr="00823C4A">
        <w:trPr>
          <w:trHeight w:val="2661"/>
        </w:trPr>
        <w:tc>
          <w:tcPr>
            <w:tcW w:w="6237" w:type="dxa"/>
          </w:tcPr>
          <w:p w14:paraId="5CA3E678" w14:textId="77777777" w:rsidR="00046857" w:rsidRPr="00046857" w:rsidRDefault="00046857" w:rsidP="00046857">
            <w:pPr>
              <w:rPr>
                <w:rFonts w:asciiTheme="minorBidi" w:eastAsiaTheme="minorHAnsi" w:hAnsiTheme="minorBidi"/>
                <w:color w:val="1F4E79" w:themeColor="accent5" w:themeShade="80"/>
              </w:rPr>
            </w:pPr>
            <w:r w:rsidRPr="00046857">
              <w:rPr>
                <w:rFonts w:asciiTheme="minorBidi" w:eastAsiaTheme="minorHAnsi" w:hAnsiTheme="minorBidi"/>
                <w:noProof/>
                <w:color w:val="1F4E79" w:themeColor="accent5" w:themeShade="80"/>
              </w:rPr>
              <w:drawing>
                <wp:inline distT="0" distB="0" distL="0" distR="0" wp14:anchorId="6C11ABD7" wp14:editId="7CFA4AF1">
                  <wp:extent cx="3666578" cy="2288258"/>
                  <wp:effectExtent l="0" t="0" r="10160" b="17145"/>
                  <wp:docPr id="2" name="Chart 2">
                    <a:extLst xmlns:a="http://schemas.openxmlformats.org/drawingml/2006/main">
                      <a:ext uri="{FF2B5EF4-FFF2-40B4-BE49-F238E27FC236}">
                        <a16:creationId xmlns:a16="http://schemas.microsoft.com/office/drawing/2014/main" id="{1D5848C2-4286-43AB-AFA0-6AF2AC1730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253" w:type="dxa"/>
            <w:vMerge w:val="restart"/>
          </w:tcPr>
          <w:p w14:paraId="16CD6469" w14:textId="77777777" w:rsidR="00046857" w:rsidRPr="00046857" w:rsidRDefault="00046857" w:rsidP="00046857">
            <w:pPr>
              <w:rPr>
                <w:rFonts w:ascii="Arial" w:eastAsiaTheme="minorHAnsi" w:hAnsi="Arial" w:cs="Arial"/>
                <w:color w:val="1F4E79" w:themeColor="accent5" w:themeShade="80"/>
              </w:rPr>
            </w:pPr>
            <w:r w:rsidRPr="00046857">
              <w:rPr>
                <w:rFonts w:ascii="Arial" w:eastAsiaTheme="minorHAnsi" w:hAnsi="Arial" w:cs="Arial"/>
                <w:color w:val="1F4E79" w:themeColor="accent5" w:themeShade="80"/>
              </w:rPr>
              <w:t>The total number of stage 1 and stage 2 complaints has increased from 3 in 2017/18 to 5 in 2018/19. 4 out of the 5 complaints received were dealt with within the required timescales.</w:t>
            </w:r>
          </w:p>
        </w:tc>
      </w:tr>
      <w:tr w:rsidR="00046857" w:rsidRPr="00046857" w14:paraId="448F151E" w14:textId="77777777" w:rsidTr="00823C4A">
        <w:trPr>
          <w:trHeight w:val="2661"/>
        </w:trPr>
        <w:tc>
          <w:tcPr>
            <w:tcW w:w="6237" w:type="dxa"/>
          </w:tcPr>
          <w:p w14:paraId="53E4F29B" w14:textId="77777777" w:rsidR="00046857" w:rsidRPr="00046857" w:rsidRDefault="00046857" w:rsidP="00046857">
            <w:pPr>
              <w:rPr>
                <w:rFonts w:asciiTheme="minorBidi" w:eastAsiaTheme="minorHAnsi" w:hAnsiTheme="minorBidi"/>
                <w:color w:val="1F4E79" w:themeColor="accent5" w:themeShade="80"/>
              </w:rPr>
            </w:pPr>
            <w:r w:rsidRPr="00046857">
              <w:rPr>
                <w:rFonts w:asciiTheme="minorBidi" w:eastAsiaTheme="minorHAnsi" w:hAnsiTheme="minorBidi"/>
                <w:noProof/>
                <w:color w:val="1F4E79" w:themeColor="accent5" w:themeShade="80"/>
              </w:rPr>
              <w:drawing>
                <wp:inline distT="0" distB="0" distL="0" distR="0" wp14:anchorId="2919F8DD" wp14:editId="646CECC2">
                  <wp:extent cx="3642321" cy="2297708"/>
                  <wp:effectExtent l="0" t="0" r="15875" b="7620"/>
                  <wp:docPr id="4" name="Chart 4">
                    <a:extLst xmlns:a="http://schemas.openxmlformats.org/drawingml/2006/main">
                      <a:ext uri="{FF2B5EF4-FFF2-40B4-BE49-F238E27FC236}">
                        <a16:creationId xmlns:a16="http://schemas.microsoft.com/office/drawing/2014/main" id="{252AFDC2-4F77-4EBE-A8EB-1E0EC09A6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253" w:type="dxa"/>
            <w:vMerge/>
          </w:tcPr>
          <w:p w14:paraId="113BF768" w14:textId="77777777" w:rsidR="00046857" w:rsidRPr="00046857" w:rsidRDefault="00046857" w:rsidP="00046857">
            <w:pPr>
              <w:rPr>
                <w:rFonts w:ascii="Arial" w:eastAsiaTheme="minorHAnsi" w:hAnsi="Arial" w:cs="Arial"/>
                <w:color w:val="1F4E79" w:themeColor="accent5" w:themeShade="80"/>
              </w:rPr>
            </w:pPr>
          </w:p>
        </w:tc>
      </w:tr>
      <w:tr w:rsidR="00046857" w:rsidRPr="00046857" w14:paraId="68C45E82" w14:textId="77777777" w:rsidTr="00823C4A">
        <w:trPr>
          <w:trHeight w:val="2661"/>
        </w:trPr>
        <w:tc>
          <w:tcPr>
            <w:tcW w:w="6237" w:type="dxa"/>
          </w:tcPr>
          <w:p w14:paraId="4029EC8D" w14:textId="77777777" w:rsidR="00046857" w:rsidRPr="00046857" w:rsidRDefault="00046857" w:rsidP="00046857">
            <w:pPr>
              <w:rPr>
                <w:rFonts w:asciiTheme="minorBidi" w:eastAsiaTheme="minorHAnsi" w:hAnsiTheme="minorBidi"/>
                <w:color w:val="1F4E79" w:themeColor="accent5" w:themeShade="80"/>
              </w:rPr>
            </w:pPr>
            <w:r w:rsidRPr="00046857">
              <w:rPr>
                <w:rFonts w:asciiTheme="minorBidi" w:eastAsiaTheme="minorHAnsi" w:hAnsiTheme="minorBidi"/>
                <w:noProof/>
                <w:color w:val="1F4E79" w:themeColor="accent5" w:themeShade="80"/>
              </w:rPr>
              <w:drawing>
                <wp:inline distT="0" distB="0" distL="0" distR="0" wp14:anchorId="41C3AA57" wp14:editId="0A6A999C">
                  <wp:extent cx="3648076" cy="2281238"/>
                  <wp:effectExtent l="0" t="0" r="9525" b="5080"/>
                  <wp:docPr id="8" name="Chart 8">
                    <a:extLst xmlns:a="http://schemas.openxmlformats.org/drawingml/2006/main">
                      <a:ext uri="{FF2B5EF4-FFF2-40B4-BE49-F238E27FC236}">
                        <a16:creationId xmlns:a16="http://schemas.microsoft.com/office/drawing/2014/main" id="{7ABE6505-0F61-4220-A12E-33BA6CD03E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253" w:type="dxa"/>
            <w:shd w:val="clear" w:color="auto" w:fill="auto"/>
          </w:tcPr>
          <w:p w14:paraId="2364B018" w14:textId="77777777" w:rsidR="00046857" w:rsidRPr="00046857" w:rsidRDefault="00046857" w:rsidP="00046857">
            <w:pPr>
              <w:rPr>
                <w:rFonts w:ascii="Arial" w:eastAsiaTheme="minorHAnsi" w:hAnsi="Arial" w:cs="Arial"/>
                <w:color w:val="1F4E79"/>
              </w:rPr>
            </w:pPr>
            <w:r w:rsidRPr="00046857">
              <w:rPr>
                <w:rFonts w:ascii="Arial" w:eastAsia="Times New Roman" w:hAnsi="Arial" w:cs="Arial"/>
                <w:color w:val="1F4E79"/>
              </w:rPr>
              <w:t xml:space="preserve">The service continues to work hard to improve and capture information on customer satisfaction. Although satisfaction levels remain high, we recognise more needs to be done to improve customer satisfaction with the services we provide, to include on more transactional activity such as estates transactions and on repairs and maintenance activity. </w:t>
            </w:r>
          </w:p>
        </w:tc>
      </w:tr>
    </w:tbl>
    <w:p w14:paraId="506AA09B" w14:textId="77777777" w:rsidR="00046857" w:rsidRPr="00046857" w:rsidRDefault="00046857" w:rsidP="00046857">
      <w:pPr>
        <w:spacing w:before="0" w:after="0"/>
        <w:rPr>
          <w:rFonts w:asciiTheme="minorBidi" w:eastAsiaTheme="minorHAnsi" w:hAnsiTheme="minorBidi" w:cstheme="minorBidi"/>
          <w:color w:val="1F4E79" w:themeColor="accent5" w:themeShade="80"/>
          <w:szCs w:val="24"/>
          <w:lang w:eastAsia="en-US"/>
        </w:rPr>
      </w:pPr>
      <w:r w:rsidRPr="00046857">
        <w:rPr>
          <w:rFonts w:asciiTheme="minorBidi" w:eastAsiaTheme="minorHAnsi" w:hAnsiTheme="minorBidi" w:cstheme="minorBidi"/>
          <w:color w:val="1F4E79" w:themeColor="accent5" w:themeShade="80"/>
          <w:szCs w:val="24"/>
          <w:lang w:eastAsia="en-US"/>
        </w:rPr>
        <w:br w:type="page"/>
      </w:r>
    </w:p>
    <w:p w14:paraId="25A02C0F" w14:textId="77777777" w:rsidR="00046857" w:rsidRPr="00046857" w:rsidRDefault="00046857" w:rsidP="00046857">
      <w:pPr>
        <w:rPr>
          <w:rFonts w:ascii="Arial" w:eastAsiaTheme="minorHAnsi" w:hAnsi="Arial" w:cs="Arial"/>
          <w:color w:val="1F4E79" w:themeColor="accent5" w:themeShade="80"/>
          <w:sz w:val="56"/>
          <w:szCs w:val="56"/>
          <w:lang w:eastAsia="en-US"/>
        </w:rPr>
      </w:pPr>
      <w:bookmarkStart w:id="8" w:name="_Hlk14170694"/>
      <w:bookmarkStart w:id="9" w:name="_Hlk14170914"/>
      <w:r w:rsidRPr="00046857">
        <w:rPr>
          <w:rFonts w:ascii="Arial" w:eastAsiaTheme="minorHAnsi" w:hAnsi="Arial" w:cs="Arial"/>
          <w:color w:val="1F4E79" w:themeColor="accent5" w:themeShade="80"/>
          <w:sz w:val="56"/>
          <w:szCs w:val="56"/>
          <w:lang w:eastAsia="en-US"/>
        </w:rPr>
        <w:lastRenderedPageBreak/>
        <w:t>People</w:t>
      </w:r>
    </w:p>
    <w:tbl>
      <w:tblPr>
        <w:tblStyle w:val="TableGrid1"/>
        <w:tblW w:w="10490" w:type="dxa"/>
        <w:tblInd w:w="-5"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6379"/>
        <w:gridCol w:w="4111"/>
      </w:tblGrid>
      <w:tr w:rsidR="00046857" w:rsidRPr="00046857" w14:paraId="1A2C1A72" w14:textId="77777777" w:rsidTr="00823C4A">
        <w:tc>
          <w:tcPr>
            <w:tcW w:w="6379" w:type="dxa"/>
            <w:shd w:val="clear" w:color="auto" w:fill="1F4E79" w:themeFill="accent5" w:themeFillShade="80"/>
            <w:vAlign w:val="center"/>
          </w:tcPr>
          <w:bookmarkEnd w:id="8"/>
          <w:p w14:paraId="0CC6F572" w14:textId="77777777" w:rsidR="00046857" w:rsidRPr="00046857" w:rsidRDefault="00046857" w:rsidP="00046857">
            <w:pPr>
              <w:jc w:val="center"/>
              <w:rPr>
                <w:rFonts w:ascii="Arial" w:eastAsiaTheme="minorHAnsi" w:hAnsi="Arial" w:cs="Arial"/>
                <w:b/>
                <w:bCs/>
                <w:color w:val="FFFFFF" w:themeColor="background1"/>
              </w:rPr>
            </w:pPr>
            <w:r w:rsidRPr="00046857">
              <w:rPr>
                <w:rFonts w:ascii="Arial" w:eastAsiaTheme="minorHAnsi" w:hAnsi="Arial" w:cs="Arial"/>
                <w:b/>
                <w:bCs/>
                <w:color w:val="FFFFFF" w:themeColor="background1"/>
              </w:rPr>
              <w:t>Performance</w:t>
            </w:r>
          </w:p>
        </w:tc>
        <w:tc>
          <w:tcPr>
            <w:tcW w:w="4111" w:type="dxa"/>
            <w:shd w:val="clear" w:color="auto" w:fill="1F4E79" w:themeFill="accent5" w:themeFillShade="80"/>
            <w:vAlign w:val="center"/>
          </w:tcPr>
          <w:p w14:paraId="47C2E085" w14:textId="77777777" w:rsidR="00046857" w:rsidRPr="00046857" w:rsidRDefault="00046857" w:rsidP="00046857">
            <w:pPr>
              <w:jc w:val="center"/>
              <w:rPr>
                <w:rFonts w:ascii="Arial" w:eastAsiaTheme="minorHAnsi" w:hAnsi="Arial" w:cs="Arial"/>
                <w:b/>
                <w:bCs/>
                <w:color w:val="FFFFFF" w:themeColor="background1"/>
              </w:rPr>
            </w:pPr>
            <w:r w:rsidRPr="00046857">
              <w:rPr>
                <w:rFonts w:ascii="Arial" w:eastAsiaTheme="minorHAnsi" w:hAnsi="Arial" w:cs="Arial"/>
                <w:b/>
                <w:bCs/>
                <w:color w:val="FFFFFF" w:themeColor="background1"/>
              </w:rPr>
              <w:t>Progress</w:t>
            </w:r>
          </w:p>
        </w:tc>
      </w:tr>
      <w:tr w:rsidR="00046857" w:rsidRPr="00046857" w14:paraId="75D3EF46" w14:textId="77777777" w:rsidTr="00823C4A">
        <w:tc>
          <w:tcPr>
            <w:tcW w:w="6379" w:type="dxa"/>
          </w:tcPr>
          <w:p w14:paraId="28FF4FDF" w14:textId="77777777" w:rsidR="00046857" w:rsidRPr="00046857" w:rsidRDefault="00046857" w:rsidP="00046857">
            <w:pPr>
              <w:rPr>
                <w:rFonts w:asciiTheme="minorBidi" w:eastAsiaTheme="minorHAnsi" w:hAnsiTheme="minorBidi"/>
                <w:color w:val="1F4E79" w:themeColor="accent5" w:themeShade="80"/>
              </w:rPr>
            </w:pPr>
            <w:r w:rsidRPr="00046857">
              <w:rPr>
                <w:rFonts w:asciiTheme="minorBidi" w:eastAsiaTheme="minorHAnsi" w:hAnsiTheme="minorBidi"/>
                <w:noProof/>
                <w:color w:val="1F4E79" w:themeColor="accent5" w:themeShade="80"/>
              </w:rPr>
              <w:drawing>
                <wp:inline distT="0" distB="0" distL="0" distR="0" wp14:anchorId="3693AC85" wp14:editId="5A4E42A8">
                  <wp:extent cx="3652838" cy="2286000"/>
                  <wp:effectExtent l="0" t="0" r="5080" b="0"/>
                  <wp:docPr id="10" name="Chart 10">
                    <a:extLst xmlns:a="http://schemas.openxmlformats.org/drawingml/2006/main">
                      <a:ext uri="{FF2B5EF4-FFF2-40B4-BE49-F238E27FC236}">
                        <a16:creationId xmlns:a16="http://schemas.microsoft.com/office/drawing/2014/main" id="{C7629075-3435-447C-8C21-FC0B7A31C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111" w:type="dxa"/>
            <w:vMerge w:val="restart"/>
            <w:shd w:val="clear" w:color="auto" w:fill="auto"/>
          </w:tcPr>
          <w:p w14:paraId="65A7EA49" w14:textId="77777777" w:rsidR="00046857" w:rsidRPr="00046857" w:rsidRDefault="00046857" w:rsidP="00046857">
            <w:pPr>
              <w:rPr>
                <w:rFonts w:ascii="Arial" w:eastAsiaTheme="minorHAnsi" w:hAnsi="Arial" w:cs="Arial"/>
                <w:color w:val="1F4E79"/>
              </w:rPr>
            </w:pPr>
            <w:r w:rsidRPr="00046857">
              <w:rPr>
                <w:rFonts w:ascii="Arial" w:eastAsiaTheme="minorHAnsi" w:hAnsi="Arial" w:cs="Arial"/>
                <w:color w:val="1F4E79"/>
              </w:rPr>
              <w:t xml:space="preserve">Attendance levels within Property Services remain high and we continue to improve our figures for Working Days Lost, with a rate significantly lower </w:t>
            </w:r>
            <w:proofErr w:type="spellStart"/>
            <w:r w:rsidRPr="00046857">
              <w:rPr>
                <w:rFonts w:ascii="Arial" w:eastAsiaTheme="minorHAnsi" w:hAnsi="Arial" w:cs="Arial"/>
                <w:color w:val="1F4E79"/>
              </w:rPr>
              <w:t>that</w:t>
            </w:r>
            <w:proofErr w:type="spellEnd"/>
            <w:r w:rsidRPr="00046857">
              <w:rPr>
                <w:rFonts w:ascii="Arial" w:eastAsiaTheme="minorHAnsi" w:hAnsi="Arial" w:cs="Arial"/>
                <w:color w:val="1F4E79"/>
              </w:rPr>
              <w:t xml:space="preserve"> the average across Fife Council.</w:t>
            </w:r>
          </w:p>
        </w:tc>
      </w:tr>
      <w:tr w:rsidR="00046857" w:rsidRPr="00046857" w14:paraId="5BB617E3" w14:textId="77777777" w:rsidTr="00823C4A">
        <w:tc>
          <w:tcPr>
            <w:tcW w:w="6379" w:type="dxa"/>
          </w:tcPr>
          <w:p w14:paraId="5E8F3AD4" w14:textId="77777777" w:rsidR="00046857" w:rsidRPr="00046857" w:rsidRDefault="00046857" w:rsidP="00046857">
            <w:pPr>
              <w:rPr>
                <w:rFonts w:asciiTheme="minorBidi" w:eastAsiaTheme="minorHAnsi" w:hAnsiTheme="minorBidi"/>
                <w:color w:val="1F4E79" w:themeColor="accent5" w:themeShade="80"/>
              </w:rPr>
            </w:pPr>
            <w:r w:rsidRPr="00046857">
              <w:rPr>
                <w:rFonts w:asciiTheme="minorBidi" w:eastAsiaTheme="minorHAnsi" w:hAnsiTheme="minorBidi"/>
                <w:noProof/>
                <w:color w:val="1F4E79" w:themeColor="accent5" w:themeShade="80"/>
              </w:rPr>
              <w:drawing>
                <wp:inline distT="0" distB="0" distL="0" distR="0" wp14:anchorId="076006CB" wp14:editId="09F15278">
                  <wp:extent cx="3657600" cy="2281238"/>
                  <wp:effectExtent l="0" t="0" r="0" b="5080"/>
                  <wp:docPr id="20" name="Chart 20">
                    <a:extLst xmlns:a="http://schemas.openxmlformats.org/drawingml/2006/main">
                      <a:ext uri="{FF2B5EF4-FFF2-40B4-BE49-F238E27FC236}">
                        <a16:creationId xmlns:a16="http://schemas.microsoft.com/office/drawing/2014/main" id="{C0208E46-1E88-41B4-8863-9EC2813A52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111" w:type="dxa"/>
            <w:vMerge/>
            <w:shd w:val="clear" w:color="auto" w:fill="auto"/>
          </w:tcPr>
          <w:p w14:paraId="37D0AE28" w14:textId="77777777" w:rsidR="00046857" w:rsidRPr="00046857" w:rsidRDefault="00046857" w:rsidP="00046857">
            <w:pPr>
              <w:rPr>
                <w:rFonts w:asciiTheme="minorBidi" w:eastAsiaTheme="minorHAnsi" w:hAnsiTheme="minorBidi"/>
                <w:color w:val="1F4E79" w:themeColor="accent5" w:themeShade="80"/>
              </w:rPr>
            </w:pPr>
          </w:p>
        </w:tc>
      </w:tr>
      <w:tr w:rsidR="00046857" w:rsidRPr="00046857" w14:paraId="4B1E8535" w14:textId="77777777" w:rsidTr="00823C4A">
        <w:tc>
          <w:tcPr>
            <w:tcW w:w="6379" w:type="dxa"/>
          </w:tcPr>
          <w:p w14:paraId="73BF33C2" w14:textId="77777777" w:rsidR="00046857" w:rsidRPr="00046857" w:rsidRDefault="00046857" w:rsidP="00046857">
            <w:pPr>
              <w:rPr>
                <w:rFonts w:asciiTheme="minorBidi" w:eastAsiaTheme="minorHAnsi" w:hAnsiTheme="minorBidi"/>
                <w:color w:val="1F4E79" w:themeColor="accent5" w:themeShade="80"/>
              </w:rPr>
            </w:pPr>
            <w:r w:rsidRPr="00046857">
              <w:rPr>
                <w:rFonts w:asciiTheme="minorBidi" w:eastAsiaTheme="minorHAnsi" w:hAnsiTheme="minorBidi"/>
                <w:noProof/>
                <w:color w:val="1F4E79" w:themeColor="accent5" w:themeShade="80"/>
              </w:rPr>
              <w:drawing>
                <wp:inline distT="0" distB="0" distL="0" distR="0" wp14:anchorId="09F58C54" wp14:editId="2C1537FA">
                  <wp:extent cx="3657600" cy="2271713"/>
                  <wp:effectExtent l="0" t="0" r="0" b="14605"/>
                  <wp:docPr id="9" name="Chart 9">
                    <a:extLst xmlns:a="http://schemas.openxmlformats.org/drawingml/2006/main">
                      <a:ext uri="{FF2B5EF4-FFF2-40B4-BE49-F238E27FC236}">
                        <a16:creationId xmlns:a16="http://schemas.microsoft.com/office/drawing/2014/main" id="{C1A60D0A-C1C8-4A7B-92D2-9685145875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111" w:type="dxa"/>
            <w:vMerge/>
            <w:shd w:val="clear" w:color="auto" w:fill="auto"/>
          </w:tcPr>
          <w:p w14:paraId="09318095" w14:textId="77777777" w:rsidR="00046857" w:rsidRPr="00046857" w:rsidRDefault="00046857" w:rsidP="00046857">
            <w:pPr>
              <w:rPr>
                <w:rFonts w:asciiTheme="minorBidi" w:eastAsiaTheme="minorHAnsi" w:hAnsiTheme="minorBidi"/>
                <w:color w:val="1F4E79" w:themeColor="accent5" w:themeShade="80"/>
              </w:rPr>
            </w:pPr>
          </w:p>
        </w:tc>
      </w:tr>
    </w:tbl>
    <w:p w14:paraId="6CE91B1E" w14:textId="77777777" w:rsidR="00046857" w:rsidRPr="00046857" w:rsidRDefault="00046857" w:rsidP="00046857">
      <w:pPr>
        <w:spacing w:before="0" w:after="0"/>
        <w:rPr>
          <w:rFonts w:asciiTheme="minorBidi" w:eastAsiaTheme="minorHAnsi" w:hAnsiTheme="minorBidi" w:cstheme="minorBidi"/>
          <w:color w:val="1F4E79" w:themeColor="accent5" w:themeShade="80"/>
          <w:szCs w:val="24"/>
          <w:lang w:eastAsia="en-US"/>
        </w:rPr>
      </w:pPr>
      <w:r w:rsidRPr="00046857">
        <w:rPr>
          <w:rFonts w:asciiTheme="minorBidi" w:eastAsiaTheme="minorHAnsi" w:hAnsiTheme="minorBidi" w:cstheme="minorBidi"/>
          <w:color w:val="1F4E79" w:themeColor="accent5" w:themeShade="80"/>
          <w:szCs w:val="24"/>
          <w:lang w:eastAsia="en-US"/>
        </w:rPr>
        <w:br w:type="page"/>
      </w:r>
    </w:p>
    <w:p w14:paraId="45C23812" w14:textId="77777777" w:rsidR="00046857" w:rsidRPr="00046857" w:rsidRDefault="00046857" w:rsidP="00046857">
      <w:pPr>
        <w:rPr>
          <w:rFonts w:ascii="Arial" w:eastAsiaTheme="minorHAnsi" w:hAnsi="Arial" w:cs="Arial"/>
          <w:color w:val="1F4E79" w:themeColor="accent5" w:themeShade="80"/>
          <w:sz w:val="56"/>
          <w:szCs w:val="56"/>
          <w:lang w:eastAsia="en-US"/>
        </w:rPr>
      </w:pPr>
      <w:r w:rsidRPr="00046857">
        <w:rPr>
          <w:rFonts w:ascii="Arial" w:eastAsiaTheme="minorHAnsi" w:hAnsi="Arial" w:cs="Arial"/>
          <w:color w:val="1F4E79" w:themeColor="accent5" w:themeShade="80"/>
          <w:sz w:val="56"/>
          <w:szCs w:val="56"/>
          <w:lang w:eastAsia="en-US"/>
        </w:rPr>
        <w:lastRenderedPageBreak/>
        <w:t>People - cont.</w:t>
      </w:r>
    </w:p>
    <w:tbl>
      <w:tblPr>
        <w:tblStyle w:val="TableGrid1"/>
        <w:tblW w:w="10490" w:type="dxa"/>
        <w:tblInd w:w="-5"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6379"/>
        <w:gridCol w:w="4111"/>
      </w:tblGrid>
      <w:tr w:rsidR="00046857" w:rsidRPr="00046857" w14:paraId="3C0D6063" w14:textId="77777777" w:rsidTr="00823C4A">
        <w:tc>
          <w:tcPr>
            <w:tcW w:w="6379" w:type="dxa"/>
            <w:shd w:val="clear" w:color="auto" w:fill="1F4E79" w:themeFill="accent5" w:themeFillShade="80"/>
            <w:vAlign w:val="center"/>
          </w:tcPr>
          <w:p w14:paraId="46EDF337" w14:textId="77777777" w:rsidR="00046857" w:rsidRPr="00046857" w:rsidRDefault="00046857" w:rsidP="00046857">
            <w:pPr>
              <w:jc w:val="center"/>
              <w:rPr>
                <w:rFonts w:ascii="Arial" w:eastAsiaTheme="minorHAnsi" w:hAnsi="Arial" w:cs="Arial"/>
                <w:b/>
                <w:bCs/>
                <w:color w:val="FFFFFF" w:themeColor="background1"/>
              </w:rPr>
            </w:pPr>
            <w:r w:rsidRPr="00046857">
              <w:rPr>
                <w:rFonts w:ascii="Arial" w:eastAsiaTheme="minorHAnsi" w:hAnsi="Arial" w:cs="Arial"/>
                <w:b/>
                <w:bCs/>
                <w:color w:val="FFFFFF" w:themeColor="background1"/>
              </w:rPr>
              <w:t>Performance</w:t>
            </w:r>
          </w:p>
        </w:tc>
        <w:tc>
          <w:tcPr>
            <w:tcW w:w="4111" w:type="dxa"/>
            <w:shd w:val="clear" w:color="auto" w:fill="1F4E79" w:themeFill="accent5" w:themeFillShade="80"/>
            <w:vAlign w:val="center"/>
          </w:tcPr>
          <w:p w14:paraId="3198554E" w14:textId="77777777" w:rsidR="00046857" w:rsidRPr="00046857" w:rsidRDefault="00046857" w:rsidP="00046857">
            <w:pPr>
              <w:jc w:val="center"/>
              <w:rPr>
                <w:rFonts w:ascii="Arial" w:eastAsiaTheme="minorHAnsi" w:hAnsi="Arial" w:cs="Arial"/>
                <w:b/>
                <w:bCs/>
                <w:color w:val="FFFFFF" w:themeColor="background1"/>
              </w:rPr>
            </w:pPr>
            <w:r w:rsidRPr="00046857">
              <w:rPr>
                <w:rFonts w:ascii="Arial" w:eastAsiaTheme="minorHAnsi" w:hAnsi="Arial" w:cs="Arial"/>
                <w:b/>
                <w:bCs/>
                <w:color w:val="FFFFFF" w:themeColor="background1"/>
              </w:rPr>
              <w:t>Progress</w:t>
            </w:r>
          </w:p>
        </w:tc>
      </w:tr>
      <w:tr w:rsidR="00046857" w:rsidRPr="00046857" w14:paraId="15555E49" w14:textId="77777777" w:rsidTr="00823C4A">
        <w:tc>
          <w:tcPr>
            <w:tcW w:w="6379" w:type="dxa"/>
          </w:tcPr>
          <w:p w14:paraId="683781A4" w14:textId="77777777" w:rsidR="00046857" w:rsidRPr="00046857" w:rsidRDefault="00046857" w:rsidP="00046857">
            <w:pPr>
              <w:rPr>
                <w:rFonts w:asciiTheme="minorBidi" w:eastAsiaTheme="minorHAnsi" w:hAnsiTheme="minorBidi"/>
                <w:color w:val="1F4E79" w:themeColor="accent5" w:themeShade="80"/>
              </w:rPr>
            </w:pPr>
            <w:r w:rsidRPr="00046857">
              <w:rPr>
                <w:rFonts w:asciiTheme="minorBidi" w:eastAsiaTheme="minorHAnsi" w:hAnsiTheme="minorBidi"/>
                <w:noProof/>
                <w:color w:val="1F4E79" w:themeColor="accent5" w:themeShade="80"/>
              </w:rPr>
              <w:drawing>
                <wp:inline distT="0" distB="0" distL="0" distR="0" wp14:anchorId="451133E8" wp14:editId="40012D10">
                  <wp:extent cx="3648076" cy="2271713"/>
                  <wp:effectExtent l="0" t="0" r="9525" b="14605"/>
                  <wp:docPr id="5" name="Chart 5">
                    <a:extLst xmlns:a="http://schemas.openxmlformats.org/drawingml/2006/main">
                      <a:ext uri="{FF2B5EF4-FFF2-40B4-BE49-F238E27FC236}">
                        <a16:creationId xmlns:a16="http://schemas.microsoft.com/office/drawing/2014/main" id="{7A582931-9DA0-410B-A63F-941F9C8847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111" w:type="dxa"/>
            <w:tcBorders>
              <w:bottom w:val="single" w:sz="4" w:space="0" w:color="1F4E79"/>
            </w:tcBorders>
          </w:tcPr>
          <w:p w14:paraId="34755BF4" w14:textId="77777777" w:rsidR="00046857" w:rsidRPr="00046857" w:rsidRDefault="00046857" w:rsidP="00046857">
            <w:pPr>
              <w:rPr>
                <w:rFonts w:ascii="Arial" w:eastAsiaTheme="minorHAnsi" w:hAnsi="Arial" w:cs="Arial"/>
                <w:color w:val="1F4E79" w:themeColor="accent5" w:themeShade="80"/>
              </w:rPr>
            </w:pPr>
            <w:r w:rsidRPr="00046857">
              <w:rPr>
                <w:rFonts w:ascii="Arial" w:eastAsiaTheme="minorHAnsi" w:hAnsi="Arial" w:cs="Arial"/>
                <w:color w:val="1F4E79" w:themeColor="accent5" w:themeShade="80"/>
              </w:rPr>
              <w:t xml:space="preserve">We continue to invest in our workforce and there was an increase in staff training days in the year to end March 2019. </w:t>
            </w:r>
          </w:p>
        </w:tc>
      </w:tr>
      <w:tr w:rsidR="00046857" w:rsidRPr="00046857" w14:paraId="064CE0D7" w14:textId="77777777" w:rsidTr="00823C4A">
        <w:tc>
          <w:tcPr>
            <w:tcW w:w="6379" w:type="dxa"/>
          </w:tcPr>
          <w:p w14:paraId="070EC44E" w14:textId="77777777" w:rsidR="00046857" w:rsidRPr="00046857" w:rsidRDefault="00046857" w:rsidP="00046857">
            <w:pPr>
              <w:rPr>
                <w:rFonts w:asciiTheme="minorBidi" w:eastAsiaTheme="minorHAnsi" w:hAnsiTheme="minorBidi"/>
                <w:noProof/>
                <w:color w:val="1F4E79" w:themeColor="accent5" w:themeShade="80"/>
              </w:rPr>
            </w:pPr>
            <w:r w:rsidRPr="00046857">
              <w:rPr>
                <w:rFonts w:asciiTheme="minorBidi" w:eastAsiaTheme="minorHAnsi" w:hAnsiTheme="minorBidi"/>
                <w:noProof/>
                <w:color w:val="1F4E79" w:themeColor="accent5" w:themeShade="80"/>
              </w:rPr>
              <w:drawing>
                <wp:inline distT="0" distB="0" distL="0" distR="0" wp14:anchorId="082A9A3B" wp14:editId="656B6D9F">
                  <wp:extent cx="3648076" cy="2295526"/>
                  <wp:effectExtent l="0" t="0" r="9525" b="9525"/>
                  <wp:docPr id="22" name="Chart 22">
                    <a:extLst xmlns:a="http://schemas.openxmlformats.org/drawingml/2006/main">
                      <a:ext uri="{FF2B5EF4-FFF2-40B4-BE49-F238E27FC236}">
                        <a16:creationId xmlns:a16="http://schemas.microsoft.com/office/drawing/2014/main" id="{35481F5B-293B-4B6D-8185-C0DF20E031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111" w:type="dxa"/>
            <w:shd w:val="clear" w:color="auto" w:fill="auto"/>
          </w:tcPr>
          <w:p w14:paraId="5C8D9723" w14:textId="77777777" w:rsidR="00046857" w:rsidRPr="00046857" w:rsidRDefault="00046857" w:rsidP="00046857">
            <w:pPr>
              <w:rPr>
                <w:rFonts w:ascii="Arial" w:eastAsiaTheme="minorHAnsi" w:hAnsi="Arial" w:cs="Arial"/>
                <w:color w:val="1F4E79"/>
              </w:rPr>
            </w:pPr>
            <w:r w:rsidRPr="00046857">
              <w:rPr>
                <w:rFonts w:ascii="Arial" w:eastAsiaTheme="minorHAnsi" w:hAnsi="Arial" w:cs="Arial"/>
                <w:color w:val="1F4E79"/>
              </w:rPr>
              <w:t xml:space="preserve">Property Services are active participants in the corporate trainee programme and are keen to bring younger people into the workforce.  </w:t>
            </w:r>
          </w:p>
          <w:p w14:paraId="3EEBF966" w14:textId="77777777" w:rsidR="00046857" w:rsidRPr="00046857" w:rsidRDefault="00046857" w:rsidP="00046857">
            <w:pPr>
              <w:rPr>
                <w:rFonts w:ascii="Arial" w:eastAsiaTheme="minorHAnsi" w:hAnsi="Arial" w:cs="Arial"/>
                <w:color w:val="1F4E79"/>
              </w:rPr>
            </w:pPr>
            <w:r w:rsidRPr="00046857">
              <w:rPr>
                <w:rFonts w:ascii="Arial" w:eastAsiaTheme="minorHAnsi" w:hAnsi="Arial" w:cs="Arial"/>
                <w:color w:val="1F4E79"/>
              </w:rPr>
              <w:t>However, there have been limited opportunities for permanent recruitment over the last few years, coupled with workforce reductions to meet a reduced budget envelope.</w:t>
            </w:r>
          </w:p>
          <w:p w14:paraId="7DCB962B" w14:textId="77777777" w:rsidR="00046857" w:rsidRPr="00046857" w:rsidRDefault="00046857" w:rsidP="00046857">
            <w:pPr>
              <w:rPr>
                <w:rFonts w:ascii="Arial" w:eastAsiaTheme="minorHAnsi" w:hAnsi="Arial" w:cs="Arial"/>
              </w:rPr>
            </w:pPr>
            <w:proofErr w:type="gramStart"/>
            <w:r w:rsidRPr="00046857">
              <w:rPr>
                <w:rFonts w:ascii="Arial" w:eastAsiaTheme="minorHAnsi" w:hAnsi="Arial" w:cs="Arial"/>
                <w:color w:val="1F4E79"/>
              </w:rPr>
              <w:t>As a consequence</w:t>
            </w:r>
            <w:proofErr w:type="gramEnd"/>
            <w:r w:rsidRPr="00046857">
              <w:rPr>
                <w:rFonts w:ascii="Arial" w:eastAsiaTheme="minorHAnsi" w:hAnsi="Arial" w:cs="Arial"/>
                <w:color w:val="1F4E79"/>
              </w:rPr>
              <w:t xml:space="preserve">, there is a risk of potential loss of knowledge and experience and succession planning measures combined with improved use of technology have been put into place to help mitigate against key risks.    </w:t>
            </w:r>
          </w:p>
        </w:tc>
      </w:tr>
    </w:tbl>
    <w:p w14:paraId="4E5A5D44" w14:textId="77777777" w:rsidR="00046857" w:rsidRPr="00046857" w:rsidRDefault="00046857" w:rsidP="00046857">
      <w:pPr>
        <w:spacing w:before="0" w:after="0"/>
        <w:rPr>
          <w:rFonts w:asciiTheme="minorBidi" w:eastAsiaTheme="minorHAnsi" w:hAnsiTheme="minorBidi" w:cstheme="minorBidi"/>
          <w:color w:val="1F4E79" w:themeColor="accent5" w:themeShade="80"/>
          <w:sz w:val="56"/>
          <w:szCs w:val="56"/>
          <w:lang w:eastAsia="en-US"/>
        </w:rPr>
      </w:pPr>
      <w:bookmarkStart w:id="10" w:name="_Hlk14182278"/>
      <w:bookmarkEnd w:id="9"/>
      <w:r w:rsidRPr="00046857">
        <w:rPr>
          <w:rFonts w:asciiTheme="minorBidi" w:eastAsiaTheme="minorHAnsi" w:hAnsiTheme="minorBidi" w:cstheme="minorBidi"/>
          <w:color w:val="1F4E79" w:themeColor="accent5" w:themeShade="80"/>
          <w:sz w:val="56"/>
          <w:szCs w:val="56"/>
          <w:lang w:eastAsia="en-US"/>
        </w:rPr>
        <w:br w:type="page"/>
      </w:r>
    </w:p>
    <w:p w14:paraId="7BB8C647" w14:textId="77777777" w:rsidR="00046857" w:rsidRPr="00046857" w:rsidRDefault="00046857" w:rsidP="00046857">
      <w:pPr>
        <w:rPr>
          <w:rFonts w:ascii="Arial" w:eastAsiaTheme="minorHAnsi" w:hAnsi="Arial" w:cs="Arial"/>
          <w:color w:val="1F4E79" w:themeColor="accent5" w:themeShade="80"/>
          <w:sz w:val="56"/>
          <w:szCs w:val="56"/>
          <w:lang w:eastAsia="en-US"/>
        </w:rPr>
      </w:pPr>
      <w:r w:rsidRPr="00046857">
        <w:rPr>
          <w:rFonts w:ascii="Arial" w:eastAsiaTheme="minorHAnsi" w:hAnsi="Arial" w:cs="Arial"/>
          <w:color w:val="1F4E79" w:themeColor="accent5" w:themeShade="80"/>
          <w:sz w:val="56"/>
          <w:szCs w:val="56"/>
          <w:lang w:eastAsia="en-US"/>
        </w:rPr>
        <w:lastRenderedPageBreak/>
        <w:t>Responsiveness</w:t>
      </w:r>
    </w:p>
    <w:tbl>
      <w:tblPr>
        <w:tblStyle w:val="TableGrid1"/>
        <w:tblW w:w="10490" w:type="dxa"/>
        <w:tblInd w:w="-5"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6379"/>
        <w:gridCol w:w="4111"/>
      </w:tblGrid>
      <w:tr w:rsidR="00046857" w:rsidRPr="00046857" w14:paraId="3DDE615F" w14:textId="77777777" w:rsidTr="00823C4A">
        <w:tc>
          <w:tcPr>
            <w:tcW w:w="6379" w:type="dxa"/>
            <w:shd w:val="clear" w:color="auto" w:fill="1F4E79" w:themeFill="accent5" w:themeFillShade="80"/>
            <w:vAlign w:val="center"/>
          </w:tcPr>
          <w:p w14:paraId="7A9B840E" w14:textId="77777777" w:rsidR="00046857" w:rsidRPr="00046857" w:rsidRDefault="00046857" w:rsidP="00046857">
            <w:pPr>
              <w:jc w:val="center"/>
              <w:rPr>
                <w:rFonts w:ascii="Arial" w:eastAsiaTheme="minorHAnsi" w:hAnsi="Arial" w:cs="Arial"/>
                <w:b/>
                <w:bCs/>
                <w:color w:val="FFFFFF" w:themeColor="background1"/>
              </w:rPr>
            </w:pPr>
            <w:bookmarkStart w:id="11" w:name="_Hlk14171017"/>
            <w:bookmarkEnd w:id="10"/>
            <w:r w:rsidRPr="00046857">
              <w:rPr>
                <w:rFonts w:ascii="Arial" w:eastAsiaTheme="minorHAnsi" w:hAnsi="Arial" w:cs="Arial"/>
                <w:b/>
                <w:bCs/>
                <w:color w:val="FFFFFF" w:themeColor="background1"/>
              </w:rPr>
              <w:t>Performance</w:t>
            </w:r>
          </w:p>
        </w:tc>
        <w:tc>
          <w:tcPr>
            <w:tcW w:w="4111" w:type="dxa"/>
            <w:shd w:val="clear" w:color="auto" w:fill="1F4E79" w:themeFill="accent5" w:themeFillShade="80"/>
            <w:vAlign w:val="center"/>
          </w:tcPr>
          <w:p w14:paraId="3B260D70" w14:textId="77777777" w:rsidR="00046857" w:rsidRPr="00046857" w:rsidRDefault="00046857" w:rsidP="00046857">
            <w:pPr>
              <w:jc w:val="center"/>
              <w:rPr>
                <w:rFonts w:ascii="Arial" w:eastAsiaTheme="minorHAnsi" w:hAnsi="Arial" w:cs="Arial"/>
                <w:b/>
                <w:bCs/>
                <w:color w:val="FFFFFF" w:themeColor="background1"/>
              </w:rPr>
            </w:pPr>
            <w:r w:rsidRPr="00046857">
              <w:rPr>
                <w:rFonts w:ascii="Arial" w:eastAsiaTheme="minorHAnsi" w:hAnsi="Arial" w:cs="Arial"/>
                <w:b/>
                <w:bCs/>
                <w:color w:val="FFFFFF" w:themeColor="background1"/>
              </w:rPr>
              <w:t>Progress</w:t>
            </w:r>
          </w:p>
        </w:tc>
      </w:tr>
      <w:tr w:rsidR="00046857" w:rsidRPr="00046857" w14:paraId="7B5837AF" w14:textId="77777777" w:rsidTr="00823C4A">
        <w:tc>
          <w:tcPr>
            <w:tcW w:w="6379" w:type="dxa"/>
          </w:tcPr>
          <w:p w14:paraId="174A51A1" w14:textId="77777777" w:rsidR="00046857" w:rsidRPr="00046857" w:rsidRDefault="00046857" w:rsidP="00046857">
            <w:pPr>
              <w:rPr>
                <w:rFonts w:asciiTheme="minorBidi" w:eastAsiaTheme="minorHAnsi" w:hAnsiTheme="minorBidi"/>
                <w:color w:val="1F4E79" w:themeColor="accent5" w:themeShade="80"/>
              </w:rPr>
            </w:pPr>
            <w:r w:rsidRPr="00046857">
              <w:rPr>
                <w:rFonts w:asciiTheme="minorBidi" w:eastAsiaTheme="minorHAnsi" w:hAnsiTheme="minorBidi"/>
                <w:noProof/>
                <w:color w:val="1F4E79" w:themeColor="accent5" w:themeShade="80"/>
              </w:rPr>
              <w:drawing>
                <wp:inline distT="0" distB="0" distL="0" distR="0" wp14:anchorId="655962B2" wp14:editId="312C431F">
                  <wp:extent cx="3657601" cy="2290763"/>
                  <wp:effectExtent l="0" t="0" r="0" b="14605"/>
                  <wp:docPr id="6" name="Chart 6">
                    <a:extLst xmlns:a="http://schemas.openxmlformats.org/drawingml/2006/main">
                      <a:ext uri="{FF2B5EF4-FFF2-40B4-BE49-F238E27FC236}">
                        <a16:creationId xmlns:a16="http://schemas.microsoft.com/office/drawing/2014/main" id="{4B843058-0407-454F-8F9B-CA2AA992EA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111" w:type="dxa"/>
            <w:vMerge w:val="restart"/>
            <w:shd w:val="clear" w:color="auto" w:fill="auto"/>
          </w:tcPr>
          <w:p w14:paraId="192A5858" w14:textId="77777777" w:rsidR="00046857" w:rsidRPr="00046857" w:rsidRDefault="00046857" w:rsidP="00046857">
            <w:pPr>
              <w:rPr>
                <w:rFonts w:ascii="Arial" w:eastAsiaTheme="minorHAnsi" w:hAnsi="Arial" w:cs="Arial"/>
                <w:color w:val="1F4E79"/>
              </w:rPr>
            </w:pPr>
            <w:r w:rsidRPr="00046857">
              <w:rPr>
                <w:rFonts w:ascii="Arial" w:eastAsiaTheme="minorHAnsi" w:hAnsi="Arial" w:cs="Arial"/>
                <w:color w:val="1F4E79"/>
              </w:rPr>
              <w:t>The method for calculating these 2 indicators was changed in 17/18 to more accurately reflect the lifecycle of a project and is now measured from procurement stage to final completion of the project. No comparative data exists before 2017/18.</w:t>
            </w:r>
          </w:p>
          <w:p w14:paraId="088BED0E" w14:textId="77777777" w:rsidR="00046857" w:rsidRPr="00046857" w:rsidRDefault="00046857" w:rsidP="00046857">
            <w:pPr>
              <w:rPr>
                <w:rFonts w:ascii="Arial" w:eastAsiaTheme="minorHAnsi" w:hAnsi="Arial" w:cs="Arial"/>
                <w:color w:val="1F4E79"/>
              </w:rPr>
            </w:pPr>
            <w:r w:rsidRPr="00046857">
              <w:rPr>
                <w:rFonts w:ascii="Arial" w:eastAsiaTheme="minorHAnsi" w:hAnsi="Arial" w:cs="Arial"/>
                <w:color w:val="1F4E79"/>
              </w:rPr>
              <w:t xml:space="preserve">The reduction in ‘Percentage of Projects completed on time’ is due to </w:t>
            </w:r>
            <w:proofErr w:type="gramStart"/>
            <w:r w:rsidRPr="00046857">
              <w:rPr>
                <w:rFonts w:ascii="Arial" w:eastAsiaTheme="minorHAnsi" w:hAnsi="Arial" w:cs="Arial"/>
                <w:color w:val="1F4E79"/>
              </w:rPr>
              <w:t>a number of</w:t>
            </w:r>
            <w:proofErr w:type="gramEnd"/>
            <w:r w:rsidRPr="00046857">
              <w:rPr>
                <w:rFonts w:ascii="Arial" w:eastAsiaTheme="minorHAnsi" w:hAnsi="Arial" w:cs="Arial"/>
                <w:color w:val="1F4E79"/>
              </w:rPr>
              <w:t xml:space="preserve"> works slipping from quarter 4 of 2017/18 into quarter 1 of 2018/19, plus client rephasing capital budget into 2019/20.</w:t>
            </w:r>
          </w:p>
          <w:p w14:paraId="7B11F7B1" w14:textId="77777777" w:rsidR="00046857" w:rsidRPr="00046857" w:rsidRDefault="00046857" w:rsidP="00046857">
            <w:pPr>
              <w:rPr>
                <w:rFonts w:ascii="Arial" w:eastAsiaTheme="minorHAnsi" w:hAnsi="Arial" w:cs="Arial"/>
                <w:color w:val="1F4E79"/>
              </w:rPr>
            </w:pPr>
            <w:r w:rsidRPr="00046857">
              <w:rPr>
                <w:rFonts w:ascii="Arial" w:eastAsiaTheme="minorHAnsi" w:hAnsi="Arial" w:cs="Arial"/>
                <w:color w:val="1F4E79"/>
              </w:rPr>
              <w:t xml:space="preserve">Our investment in more robust project management arrangements is reflected in the percentage of projects completed on budget.  </w:t>
            </w:r>
          </w:p>
        </w:tc>
      </w:tr>
      <w:tr w:rsidR="00046857" w:rsidRPr="00046857" w14:paraId="0B5C206F" w14:textId="77777777" w:rsidTr="00823C4A">
        <w:tc>
          <w:tcPr>
            <w:tcW w:w="6379" w:type="dxa"/>
          </w:tcPr>
          <w:p w14:paraId="025D347B" w14:textId="77777777" w:rsidR="00046857" w:rsidRPr="00046857" w:rsidRDefault="00046857" w:rsidP="00046857">
            <w:pPr>
              <w:rPr>
                <w:rFonts w:asciiTheme="minorBidi" w:eastAsiaTheme="minorHAnsi" w:hAnsiTheme="minorBidi"/>
                <w:color w:val="1F4E79" w:themeColor="accent5" w:themeShade="80"/>
              </w:rPr>
            </w:pPr>
            <w:r w:rsidRPr="00046857">
              <w:rPr>
                <w:rFonts w:asciiTheme="minorBidi" w:eastAsiaTheme="minorHAnsi" w:hAnsiTheme="minorBidi"/>
                <w:noProof/>
                <w:color w:val="1F4E79" w:themeColor="accent5" w:themeShade="80"/>
              </w:rPr>
              <w:drawing>
                <wp:inline distT="0" distB="0" distL="0" distR="0" wp14:anchorId="0A17CACA" wp14:editId="4DCB68A5">
                  <wp:extent cx="3652839" cy="2286000"/>
                  <wp:effectExtent l="0" t="0" r="5080" b="0"/>
                  <wp:docPr id="12" name="Chart 12">
                    <a:extLst xmlns:a="http://schemas.openxmlformats.org/drawingml/2006/main">
                      <a:ext uri="{FF2B5EF4-FFF2-40B4-BE49-F238E27FC236}">
                        <a16:creationId xmlns:a16="http://schemas.microsoft.com/office/drawing/2014/main" id="{167CB5ED-4F71-411C-A783-873515E812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111" w:type="dxa"/>
            <w:vMerge/>
            <w:shd w:val="clear" w:color="auto" w:fill="FFC000"/>
          </w:tcPr>
          <w:p w14:paraId="4CB3088E" w14:textId="77777777" w:rsidR="00046857" w:rsidRPr="00046857" w:rsidRDefault="00046857" w:rsidP="00046857">
            <w:pPr>
              <w:rPr>
                <w:rFonts w:ascii="Arial" w:eastAsiaTheme="minorHAnsi" w:hAnsi="Arial" w:cs="Arial"/>
                <w:color w:val="548235"/>
              </w:rPr>
            </w:pPr>
          </w:p>
        </w:tc>
      </w:tr>
      <w:tr w:rsidR="00046857" w:rsidRPr="00046857" w14:paraId="0A22BD6A" w14:textId="77777777" w:rsidTr="00823C4A">
        <w:tc>
          <w:tcPr>
            <w:tcW w:w="6379" w:type="dxa"/>
          </w:tcPr>
          <w:p w14:paraId="6854FB91" w14:textId="77777777" w:rsidR="00046857" w:rsidRPr="00046857" w:rsidRDefault="00046857" w:rsidP="00046857">
            <w:pPr>
              <w:rPr>
                <w:rFonts w:asciiTheme="minorBidi" w:eastAsiaTheme="minorHAnsi" w:hAnsiTheme="minorBidi"/>
                <w:color w:val="1F4E79"/>
              </w:rPr>
            </w:pPr>
            <w:r w:rsidRPr="00046857">
              <w:rPr>
                <w:rFonts w:asciiTheme="minorBidi" w:eastAsiaTheme="minorHAnsi" w:hAnsiTheme="minorBidi"/>
                <w:noProof/>
                <w:color w:val="1F4E79"/>
              </w:rPr>
              <w:drawing>
                <wp:inline distT="0" distB="0" distL="0" distR="0" wp14:anchorId="0F7A63CD" wp14:editId="65536B7D">
                  <wp:extent cx="3667125" cy="2262188"/>
                  <wp:effectExtent l="0" t="0" r="9525" b="5080"/>
                  <wp:docPr id="13" name="Chart 13">
                    <a:extLst xmlns:a="http://schemas.openxmlformats.org/drawingml/2006/main">
                      <a:ext uri="{FF2B5EF4-FFF2-40B4-BE49-F238E27FC236}">
                        <a16:creationId xmlns:a16="http://schemas.microsoft.com/office/drawing/2014/main" id="{49F12410-8A1A-48E7-9A51-AC481AE4BD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111" w:type="dxa"/>
            <w:shd w:val="clear" w:color="auto" w:fill="auto"/>
          </w:tcPr>
          <w:p w14:paraId="1F43E130" w14:textId="77777777" w:rsidR="00046857" w:rsidRPr="00046857" w:rsidRDefault="00046857" w:rsidP="00046857">
            <w:pPr>
              <w:rPr>
                <w:rFonts w:ascii="Arial" w:eastAsiaTheme="minorHAnsi" w:hAnsi="Arial" w:cs="Arial"/>
                <w:color w:val="1F4E79"/>
              </w:rPr>
            </w:pPr>
            <w:r w:rsidRPr="00046857">
              <w:rPr>
                <w:rFonts w:ascii="Arial" w:eastAsiaTheme="minorHAnsi" w:hAnsi="Arial" w:cs="Arial"/>
                <w:color w:val="1F4E79"/>
              </w:rPr>
              <w:t xml:space="preserve">Due to continuation of Office and Depot rationalisation programme, Property Services has successfully managed to reduce the gross internal area of the Council’s operational estate over the past 3 years in line with its 3% target.  2018/19 saw the disposal of </w:t>
            </w:r>
            <w:proofErr w:type="spellStart"/>
            <w:r w:rsidRPr="00046857">
              <w:rPr>
                <w:rFonts w:ascii="Arial" w:eastAsiaTheme="minorHAnsi" w:hAnsi="Arial" w:cs="Arial"/>
                <w:color w:val="1F4E79"/>
              </w:rPr>
              <w:t>Prestonhall</w:t>
            </w:r>
            <w:proofErr w:type="spellEnd"/>
            <w:r w:rsidRPr="00046857">
              <w:rPr>
                <w:rFonts w:ascii="Arial" w:eastAsiaTheme="minorHAnsi" w:hAnsi="Arial" w:cs="Arial"/>
                <w:color w:val="1F4E79"/>
              </w:rPr>
              <w:t xml:space="preserve"> depot.</w:t>
            </w:r>
          </w:p>
        </w:tc>
      </w:tr>
      <w:bookmarkEnd w:id="11"/>
    </w:tbl>
    <w:p w14:paraId="71C95037" w14:textId="77777777" w:rsidR="00046857" w:rsidRPr="00046857" w:rsidRDefault="00046857" w:rsidP="00046857">
      <w:pPr>
        <w:rPr>
          <w:rFonts w:asciiTheme="minorBidi" w:eastAsiaTheme="minorHAnsi" w:hAnsiTheme="minorBidi" w:cstheme="minorBidi"/>
          <w:color w:val="1F4E79"/>
          <w:szCs w:val="24"/>
          <w:lang w:eastAsia="en-US"/>
        </w:rPr>
      </w:pPr>
      <w:r w:rsidRPr="00046857">
        <w:rPr>
          <w:rFonts w:asciiTheme="minorBidi" w:eastAsiaTheme="minorHAnsi" w:hAnsiTheme="minorBidi" w:cstheme="minorBidi"/>
          <w:color w:val="1F4E79"/>
          <w:szCs w:val="24"/>
          <w:lang w:eastAsia="en-US"/>
        </w:rPr>
        <w:br w:type="page"/>
      </w:r>
    </w:p>
    <w:p w14:paraId="53173D79" w14:textId="77777777" w:rsidR="00046857" w:rsidRPr="00046857" w:rsidRDefault="00046857" w:rsidP="00046857">
      <w:pPr>
        <w:rPr>
          <w:rFonts w:ascii="Arial" w:eastAsiaTheme="minorHAnsi" w:hAnsi="Arial" w:cs="Arial"/>
          <w:color w:val="1F4E79" w:themeColor="accent5" w:themeShade="80"/>
          <w:szCs w:val="24"/>
          <w:lang w:eastAsia="en-US"/>
        </w:rPr>
      </w:pPr>
      <w:r w:rsidRPr="00046857">
        <w:rPr>
          <w:rFonts w:ascii="Arial" w:eastAsiaTheme="minorHAnsi" w:hAnsi="Arial" w:cs="Arial"/>
          <w:color w:val="1F4E79" w:themeColor="accent5" w:themeShade="80"/>
          <w:sz w:val="56"/>
          <w:szCs w:val="56"/>
          <w:lang w:eastAsia="en-US"/>
        </w:rPr>
        <w:lastRenderedPageBreak/>
        <w:t>Responsiveness – cont.</w:t>
      </w:r>
    </w:p>
    <w:tbl>
      <w:tblPr>
        <w:tblStyle w:val="TableGrid1"/>
        <w:tblW w:w="10485"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6232"/>
        <w:gridCol w:w="4253"/>
      </w:tblGrid>
      <w:tr w:rsidR="00046857" w:rsidRPr="00046857" w14:paraId="6FF99D4C" w14:textId="77777777" w:rsidTr="00823C4A">
        <w:tc>
          <w:tcPr>
            <w:tcW w:w="6232" w:type="dxa"/>
            <w:shd w:val="clear" w:color="auto" w:fill="1F4E79" w:themeFill="accent5" w:themeFillShade="80"/>
            <w:vAlign w:val="center"/>
          </w:tcPr>
          <w:p w14:paraId="3D9E2F96" w14:textId="77777777" w:rsidR="00046857" w:rsidRPr="00046857" w:rsidRDefault="00046857" w:rsidP="00046857">
            <w:pPr>
              <w:jc w:val="center"/>
              <w:rPr>
                <w:rFonts w:ascii="Arial" w:eastAsiaTheme="minorHAnsi" w:hAnsi="Arial" w:cs="Arial"/>
                <w:b/>
                <w:bCs/>
                <w:color w:val="FFFFFF" w:themeColor="background1"/>
              </w:rPr>
            </w:pPr>
            <w:r w:rsidRPr="00046857">
              <w:rPr>
                <w:rFonts w:ascii="Arial" w:eastAsiaTheme="minorHAnsi" w:hAnsi="Arial" w:cs="Arial"/>
                <w:b/>
                <w:bCs/>
                <w:color w:val="FFFFFF" w:themeColor="background1"/>
              </w:rPr>
              <w:t>Performance</w:t>
            </w:r>
          </w:p>
        </w:tc>
        <w:tc>
          <w:tcPr>
            <w:tcW w:w="4253" w:type="dxa"/>
            <w:shd w:val="clear" w:color="auto" w:fill="1F4E79" w:themeFill="accent5" w:themeFillShade="80"/>
            <w:vAlign w:val="center"/>
          </w:tcPr>
          <w:p w14:paraId="78946528" w14:textId="77777777" w:rsidR="00046857" w:rsidRPr="00046857" w:rsidRDefault="00046857" w:rsidP="00046857">
            <w:pPr>
              <w:jc w:val="center"/>
              <w:rPr>
                <w:rFonts w:ascii="Arial" w:eastAsiaTheme="minorHAnsi" w:hAnsi="Arial" w:cs="Arial"/>
                <w:b/>
                <w:bCs/>
                <w:color w:val="FFFFFF" w:themeColor="background1"/>
              </w:rPr>
            </w:pPr>
            <w:r w:rsidRPr="00046857">
              <w:rPr>
                <w:rFonts w:ascii="Arial" w:eastAsiaTheme="minorHAnsi" w:hAnsi="Arial" w:cs="Arial"/>
                <w:b/>
                <w:bCs/>
                <w:color w:val="FFFFFF" w:themeColor="background1"/>
              </w:rPr>
              <w:t>Progress</w:t>
            </w:r>
          </w:p>
        </w:tc>
      </w:tr>
      <w:tr w:rsidR="00046857" w:rsidRPr="00046857" w14:paraId="0240C228" w14:textId="77777777" w:rsidTr="00823C4A">
        <w:trPr>
          <w:trHeight w:val="207"/>
        </w:trPr>
        <w:tc>
          <w:tcPr>
            <w:tcW w:w="6232" w:type="dxa"/>
          </w:tcPr>
          <w:p w14:paraId="561470DB" w14:textId="77777777" w:rsidR="00046857" w:rsidRPr="00046857" w:rsidRDefault="00046857" w:rsidP="00046857">
            <w:pPr>
              <w:rPr>
                <w:rFonts w:asciiTheme="minorBidi" w:eastAsiaTheme="minorHAnsi" w:hAnsiTheme="minorBidi"/>
                <w:color w:val="1F4E79" w:themeColor="accent5" w:themeShade="80"/>
              </w:rPr>
            </w:pPr>
            <w:r w:rsidRPr="00046857">
              <w:rPr>
                <w:rFonts w:asciiTheme="minorBidi" w:eastAsiaTheme="minorHAnsi" w:hAnsiTheme="minorBidi"/>
                <w:noProof/>
                <w:color w:val="1F4E79" w:themeColor="accent5" w:themeShade="80"/>
              </w:rPr>
              <w:drawing>
                <wp:inline distT="0" distB="0" distL="0" distR="0" wp14:anchorId="4C4F8735" wp14:editId="2202CC34">
                  <wp:extent cx="3648075" cy="2281238"/>
                  <wp:effectExtent l="0" t="0" r="9525" b="5080"/>
                  <wp:docPr id="14" name="Chart 14">
                    <a:extLst xmlns:a="http://schemas.openxmlformats.org/drawingml/2006/main">
                      <a:ext uri="{FF2B5EF4-FFF2-40B4-BE49-F238E27FC236}">
                        <a16:creationId xmlns:a16="http://schemas.microsoft.com/office/drawing/2014/main" id="{DD97A83A-C753-4418-AFCD-78AD3376D4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253" w:type="dxa"/>
            <w:shd w:val="clear" w:color="auto" w:fill="auto"/>
          </w:tcPr>
          <w:p w14:paraId="693A7253" w14:textId="77777777" w:rsidR="00046857" w:rsidRPr="00046857" w:rsidRDefault="00046857" w:rsidP="00046857">
            <w:pPr>
              <w:rPr>
                <w:rFonts w:ascii="Arial" w:eastAsiaTheme="minorHAnsi" w:hAnsi="Arial" w:cs="Arial"/>
                <w:color w:val="1F4E79"/>
              </w:rPr>
            </w:pPr>
            <w:r w:rsidRPr="00046857">
              <w:rPr>
                <w:rFonts w:ascii="Arial" w:eastAsia="Times New Roman" w:hAnsi="Arial" w:cs="Arial"/>
                <w:color w:val="1F4E79"/>
              </w:rPr>
              <w:t xml:space="preserve">Improved energy efficiency and carbon management remains a key area of focus for the service through making best use of existing energy systems (boilers, air conditioning etc) as well as replacing inefficient plant via the Planned Maintenance Programme. This progress continues through the Building Value programme where the focus has been on the maximise the effective use of the BEMS (Building Energy Management Systems) to optimise operating times and further reduce costs and our carbon footprint. </w:t>
            </w:r>
          </w:p>
        </w:tc>
      </w:tr>
      <w:tr w:rsidR="00046857" w:rsidRPr="00046857" w14:paraId="3683901F" w14:textId="77777777" w:rsidTr="00823C4A">
        <w:trPr>
          <w:trHeight w:val="207"/>
        </w:trPr>
        <w:tc>
          <w:tcPr>
            <w:tcW w:w="6232" w:type="dxa"/>
          </w:tcPr>
          <w:p w14:paraId="09653082" w14:textId="77777777" w:rsidR="00046857" w:rsidRPr="00046857" w:rsidRDefault="00046857" w:rsidP="00046857">
            <w:pPr>
              <w:rPr>
                <w:rFonts w:asciiTheme="minorBidi" w:eastAsiaTheme="minorHAnsi" w:hAnsiTheme="minorBidi"/>
                <w:color w:val="1F4E79" w:themeColor="accent5" w:themeShade="80"/>
              </w:rPr>
            </w:pPr>
            <w:r w:rsidRPr="00046857">
              <w:rPr>
                <w:rFonts w:asciiTheme="minorBidi" w:eastAsiaTheme="minorHAnsi" w:hAnsiTheme="minorBidi"/>
                <w:noProof/>
                <w:color w:val="1F4E79" w:themeColor="accent5" w:themeShade="80"/>
              </w:rPr>
              <w:drawing>
                <wp:inline distT="0" distB="0" distL="0" distR="0" wp14:anchorId="6060B976" wp14:editId="79B7C426">
                  <wp:extent cx="3652838" cy="2295525"/>
                  <wp:effectExtent l="0" t="0" r="5080" b="9525"/>
                  <wp:docPr id="23" name="Chart 23">
                    <a:extLst xmlns:a="http://schemas.openxmlformats.org/drawingml/2006/main">
                      <a:ext uri="{FF2B5EF4-FFF2-40B4-BE49-F238E27FC236}">
                        <a16:creationId xmlns:a16="http://schemas.microsoft.com/office/drawing/2014/main" id="{BD2E8D1B-F95D-418F-BE67-BBA806826A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0292A5" w14:textId="77777777" w:rsidR="00046857" w:rsidRPr="00046857" w:rsidRDefault="00046857" w:rsidP="00046857">
            <w:pPr>
              <w:rPr>
                <w:rFonts w:asciiTheme="minorBidi" w:eastAsiaTheme="minorHAnsi" w:hAnsiTheme="minorBidi"/>
                <w:color w:val="1F4E79" w:themeColor="accent5" w:themeShade="80"/>
              </w:rPr>
            </w:pPr>
            <w:r w:rsidRPr="00046857">
              <w:rPr>
                <w:rFonts w:asciiTheme="minorBidi" w:eastAsiaTheme="minorHAnsi" w:hAnsiTheme="minorBidi"/>
                <w:noProof/>
                <w:color w:val="1F4E79" w:themeColor="accent5" w:themeShade="80"/>
              </w:rPr>
              <w:drawing>
                <wp:inline distT="0" distB="0" distL="0" distR="0" wp14:anchorId="19ECCF4E" wp14:editId="2CD9B396">
                  <wp:extent cx="3652838" cy="2286000"/>
                  <wp:effectExtent l="0" t="0" r="5080" b="0"/>
                  <wp:docPr id="24" name="Chart 24">
                    <a:extLst xmlns:a="http://schemas.openxmlformats.org/drawingml/2006/main">
                      <a:ext uri="{FF2B5EF4-FFF2-40B4-BE49-F238E27FC236}">
                        <a16:creationId xmlns:a16="http://schemas.microsoft.com/office/drawing/2014/main" id="{D33A4DC6-DAA8-4091-8743-7449ECAB2E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4253" w:type="dxa"/>
            <w:shd w:val="clear" w:color="auto" w:fill="auto"/>
          </w:tcPr>
          <w:p w14:paraId="1FC07CE1" w14:textId="77777777" w:rsidR="00046857" w:rsidRPr="00046857" w:rsidRDefault="00046857" w:rsidP="00046857">
            <w:pPr>
              <w:rPr>
                <w:rFonts w:ascii="Arial" w:eastAsiaTheme="minorHAnsi" w:hAnsi="Arial" w:cs="Arial"/>
                <w:color w:val="1F4E79" w:themeColor="accent5" w:themeShade="80"/>
              </w:rPr>
            </w:pPr>
            <w:r w:rsidRPr="00046857">
              <w:rPr>
                <w:rFonts w:ascii="Arial" w:eastAsiaTheme="minorHAnsi" w:hAnsi="Arial" w:cs="Arial"/>
                <w:color w:val="1F4E79" w:themeColor="accent5" w:themeShade="80"/>
              </w:rPr>
              <w:t xml:space="preserve">In line with the Scottish Average, we continue to improve the suitability and condition of the estate through investment in new buildings and disposal of premises that are no longer fit for purpose. A more radical rationalisation would be required to match top quartile performance and meet the ambition of the Asset Management Plan. </w:t>
            </w:r>
          </w:p>
        </w:tc>
      </w:tr>
    </w:tbl>
    <w:p w14:paraId="703CB3AD" w14:textId="77777777" w:rsidR="00046857" w:rsidRPr="00046857" w:rsidRDefault="00046857" w:rsidP="00046857">
      <w:pPr>
        <w:spacing w:before="0" w:after="0"/>
        <w:rPr>
          <w:rFonts w:asciiTheme="minorBidi" w:eastAsiaTheme="minorHAnsi" w:hAnsiTheme="minorBidi" w:cstheme="minorBidi"/>
          <w:color w:val="1F4E79" w:themeColor="accent5" w:themeShade="80"/>
          <w:szCs w:val="24"/>
          <w:lang w:eastAsia="en-US"/>
        </w:rPr>
      </w:pPr>
      <w:r w:rsidRPr="00046857">
        <w:rPr>
          <w:rFonts w:asciiTheme="minorBidi" w:eastAsiaTheme="minorHAnsi" w:hAnsiTheme="minorBidi" w:cstheme="minorBidi"/>
          <w:color w:val="1F4E79" w:themeColor="accent5" w:themeShade="80"/>
          <w:szCs w:val="24"/>
          <w:lang w:eastAsia="en-US"/>
        </w:rPr>
        <w:br w:type="page"/>
      </w:r>
    </w:p>
    <w:p w14:paraId="63C5D973" w14:textId="77777777" w:rsidR="00046857" w:rsidRPr="00046857" w:rsidRDefault="00046857" w:rsidP="00046857">
      <w:pPr>
        <w:rPr>
          <w:rFonts w:ascii="Arial" w:eastAsiaTheme="minorHAnsi" w:hAnsi="Arial" w:cs="Arial"/>
          <w:color w:val="1F4E79" w:themeColor="accent5" w:themeShade="80"/>
          <w:sz w:val="56"/>
          <w:szCs w:val="56"/>
          <w:lang w:eastAsia="en-US"/>
        </w:rPr>
      </w:pPr>
      <w:r w:rsidRPr="00046857">
        <w:rPr>
          <w:rFonts w:ascii="Arial" w:eastAsiaTheme="minorHAnsi" w:hAnsi="Arial" w:cs="Arial"/>
          <w:color w:val="1F4E79" w:themeColor="accent5" w:themeShade="80"/>
          <w:sz w:val="56"/>
          <w:szCs w:val="56"/>
          <w:lang w:eastAsia="en-US"/>
        </w:rPr>
        <w:lastRenderedPageBreak/>
        <w:t>Cost</w:t>
      </w:r>
    </w:p>
    <w:tbl>
      <w:tblPr>
        <w:tblStyle w:val="TableGrid1"/>
        <w:tblW w:w="10348" w:type="dxa"/>
        <w:tblInd w:w="-5"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6379"/>
        <w:gridCol w:w="3969"/>
      </w:tblGrid>
      <w:tr w:rsidR="00046857" w:rsidRPr="00046857" w14:paraId="1F98EFE0" w14:textId="77777777" w:rsidTr="00046857">
        <w:tc>
          <w:tcPr>
            <w:tcW w:w="6379" w:type="dxa"/>
            <w:shd w:val="clear" w:color="auto" w:fill="1F4E79" w:themeFill="accent5" w:themeFillShade="80"/>
            <w:vAlign w:val="center"/>
          </w:tcPr>
          <w:p w14:paraId="3833F64E" w14:textId="77777777" w:rsidR="00046857" w:rsidRPr="00046857" w:rsidRDefault="00046857" w:rsidP="00046857">
            <w:pPr>
              <w:jc w:val="center"/>
              <w:rPr>
                <w:rFonts w:ascii="Arial" w:eastAsiaTheme="minorHAnsi" w:hAnsi="Arial" w:cs="Arial"/>
                <w:b/>
                <w:bCs/>
                <w:color w:val="FFFFFF" w:themeColor="background1"/>
              </w:rPr>
            </w:pPr>
            <w:r w:rsidRPr="00046857">
              <w:rPr>
                <w:rFonts w:ascii="Arial" w:eastAsiaTheme="minorHAnsi" w:hAnsi="Arial" w:cs="Arial"/>
                <w:b/>
                <w:bCs/>
                <w:color w:val="FFFFFF" w:themeColor="background1"/>
              </w:rPr>
              <w:t>Performance</w:t>
            </w:r>
          </w:p>
        </w:tc>
        <w:tc>
          <w:tcPr>
            <w:tcW w:w="3969" w:type="dxa"/>
            <w:shd w:val="clear" w:color="auto" w:fill="1F4E79" w:themeFill="accent5" w:themeFillShade="80"/>
            <w:vAlign w:val="center"/>
          </w:tcPr>
          <w:p w14:paraId="3C7CECE5" w14:textId="77777777" w:rsidR="00046857" w:rsidRPr="00046857" w:rsidRDefault="00046857" w:rsidP="00046857">
            <w:pPr>
              <w:jc w:val="center"/>
              <w:rPr>
                <w:rFonts w:ascii="Arial" w:eastAsiaTheme="minorHAnsi" w:hAnsi="Arial" w:cs="Arial"/>
                <w:b/>
                <w:bCs/>
                <w:color w:val="FFFFFF" w:themeColor="background1"/>
              </w:rPr>
            </w:pPr>
            <w:r w:rsidRPr="00046857">
              <w:rPr>
                <w:rFonts w:ascii="Arial" w:eastAsiaTheme="minorHAnsi" w:hAnsi="Arial" w:cs="Arial"/>
                <w:b/>
                <w:bCs/>
                <w:color w:val="FFFFFF" w:themeColor="background1"/>
              </w:rPr>
              <w:t>Progress</w:t>
            </w:r>
          </w:p>
        </w:tc>
      </w:tr>
      <w:tr w:rsidR="00046857" w:rsidRPr="00046857" w14:paraId="396CF6AF" w14:textId="77777777" w:rsidTr="00046857">
        <w:tc>
          <w:tcPr>
            <w:tcW w:w="6379" w:type="dxa"/>
          </w:tcPr>
          <w:p w14:paraId="49372051" w14:textId="77777777" w:rsidR="00046857" w:rsidRPr="00046857" w:rsidRDefault="00046857" w:rsidP="00046857">
            <w:pPr>
              <w:rPr>
                <w:rFonts w:asciiTheme="minorBidi" w:eastAsiaTheme="minorHAnsi" w:hAnsiTheme="minorBidi"/>
                <w:color w:val="1F4E79" w:themeColor="accent5" w:themeShade="80"/>
              </w:rPr>
            </w:pPr>
            <w:bookmarkStart w:id="12" w:name="_GoBack" w:colFirst="1" w:colLast="1"/>
            <w:r w:rsidRPr="00046857">
              <w:rPr>
                <w:rFonts w:asciiTheme="minorBidi" w:eastAsiaTheme="minorHAnsi" w:hAnsiTheme="minorBidi"/>
                <w:noProof/>
                <w:color w:val="1F4E79" w:themeColor="accent5" w:themeShade="80"/>
              </w:rPr>
              <w:drawing>
                <wp:inline distT="0" distB="0" distL="0" distR="0" wp14:anchorId="36CB4993" wp14:editId="2FD25C34">
                  <wp:extent cx="3648075" cy="2271713"/>
                  <wp:effectExtent l="0" t="0" r="9525" b="14605"/>
                  <wp:docPr id="15" name="Chart 15">
                    <a:extLst xmlns:a="http://schemas.openxmlformats.org/drawingml/2006/main">
                      <a:ext uri="{FF2B5EF4-FFF2-40B4-BE49-F238E27FC236}">
                        <a16:creationId xmlns:a16="http://schemas.microsoft.com/office/drawing/2014/main" id="{E54C3024-4738-4FDE-B53E-7FAFEAE742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3969" w:type="dxa"/>
          </w:tcPr>
          <w:p w14:paraId="62DFA940" w14:textId="77777777" w:rsidR="00046857" w:rsidRPr="00046857" w:rsidRDefault="00046857" w:rsidP="00046857">
            <w:pPr>
              <w:rPr>
                <w:rFonts w:ascii="Arial" w:eastAsiaTheme="minorHAnsi" w:hAnsi="Arial" w:cs="Arial"/>
                <w:color w:val="1F4E79" w:themeColor="accent5" w:themeShade="80"/>
              </w:rPr>
            </w:pPr>
            <w:r w:rsidRPr="00046857">
              <w:rPr>
                <w:rFonts w:ascii="Arial" w:eastAsiaTheme="minorHAnsi" w:hAnsi="Arial" w:cs="Arial"/>
                <w:color w:val="1F4E79" w:themeColor="accent5" w:themeShade="80"/>
              </w:rPr>
              <w:t>£3.4M was realised in capital receipts for 2018/19, this was made up from a total 53 transactions.</w:t>
            </w:r>
          </w:p>
        </w:tc>
      </w:tr>
      <w:tr w:rsidR="00046857" w:rsidRPr="00046857" w14:paraId="2030AA41" w14:textId="77777777" w:rsidTr="00046857">
        <w:tc>
          <w:tcPr>
            <w:tcW w:w="6379" w:type="dxa"/>
          </w:tcPr>
          <w:p w14:paraId="244069C6" w14:textId="77777777" w:rsidR="00046857" w:rsidRPr="00046857" w:rsidRDefault="00046857" w:rsidP="00046857">
            <w:pPr>
              <w:rPr>
                <w:rFonts w:asciiTheme="minorBidi" w:eastAsiaTheme="minorHAnsi" w:hAnsiTheme="minorBidi"/>
                <w:color w:val="1F4E79" w:themeColor="accent5" w:themeShade="80"/>
              </w:rPr>
            </w:pPr>
            <w:bookmarkStart w:id="13" w:name="_Hlk20742948"/>
            <w:r w:rsidRPr="00046857">
              <w:rPr>
                <w:rFonts w:asciiTheme="minorBidi" w:eastAsiaTheme="minorHAnsi" w:hAnsiTheme="minorBidi"/>
                <w:noProof/>
                <w:color w:val="1F4E79" w:themeColor="accent5" w:themeShade="80"/>
              </w:rPr>
              <w:drawing>
                <wp:inline distT="0" distB="0" distL="0" distR="0" wp14:anchorId="3427FB87" wp14:editId="7CE92C34">
                  <wp:extent cx="3648075" cy="2286000"/>
                  <wp:effectExtent l="0" t="0" r="9525" b="0"/>
                  <wp:docPr id="7" name="Chart 7">
                    <a:extLst xmlns:a="http://schemas.openxmlformats.org/drawingml/2006/main">
                      <a:ext uri="{FF2B5EF4-FFF2-40B4-BE49-F238E27FC236}">
                        <a16:creationId xmlns:a16="http://schemas.microsoft.com/office/drawing/2014/main" id="{87A89C17-A62B-4DE4-824F-73EBC0B319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3969" w:type="dxa"/>
            <w:shd w:val="clear" w:color="auto" w:fill="auto"/>
          </w:tcPr>
          <w:p w14:paraId="56268E5F" w14:textId="77777777" w:rsidR="00046857" w:rsidRPr="00046857" w:rsidRDefault="00046857" w:rsidP="00046857">
            <w:pPr>
              <w:rPr>
                <w:rFonts w:ascii="Arial" w:eastAsiaTheme="minorHAnsi" w:hAnsi="Arial" w:cs="Arial"/>
                <w:color w:val="1F4E79"/>
              </w:rPr>
            </w:pPr>
            <w:r w:rsidRPr="00046857">
              <w:rPr>
                <w:rFonts w:ascii="Arial" w:eastAsia="Times New Roman" w:hAnsi="Arial" w:cs="Arial"/>
                <w:color w:val="1F4E79"/>
              </w:rPr>
              <w:t xml:space="preserve">The reduced maintenance spend reflects the warm summer of 2018 and relatively dry winter on 2018/19 and </w:t>
            </w:r>
            <w:proofErr w:type="gramStart"/>
            <w:r w:rsidRPr="00046857">
              <w:rPr>
                <w:rFonts w:ascii="Arial" w:eastAsia="Times New Roman" w:hAnsi="Arial" w:cs="Arial"/>
                <w:color w:val="1F4E79"/>
              </w:rPr>
              <w:t>as a consequence</w:t>
            </w:r>
            <w:proofErr w:type="gramEnd"/>
            <w:r w:rsidRPr="00046857">
              <w:rPr>
                <w:rFonts w:ascii="Arial" w:eastAsia="Times New Roman" w:hAnsi="Arial" w:cs="Arial"/>
                <w:color w:val="1F4E79"/>
              </w:rPr>
              <w:t xml:space="preserve"> a reduced number of roof leaks, burst pipes, failure of heating systems etc. </w:t>
            </w:r>
          </w:p>
        </w:tc>
      </w:tr>
      <w:bookmarkEnd w:id="13"/>
      <w:bookmarkEnd w:id="12"/>
    </w:tbl>
    <w:p w14:paraId="06004DFE" w14:textId="77777777" w:rsidR="00046857" w:rsidRPr="00046857" w:rsidRDefault="00046857" w:rsidP="00046857">
      <w:pPr>
        <w:rPr>
          <w:rFonts w:asciiTheme="minorBidi" w:eastAsiaTheme="minorHAnsi" w:hAnsiTheme="minorBidi" w:cstheme="minorBidi"/>
          <w:color w:val="1F4E79" w:themeColor="accent5" w:themeShade="80"/>
          <w:szCs w:val="24"/>
          <w:lang w:eastAsia="en-US"/>
        </w:rPr>
      </w:pPr>
    </w:p>
    <w:p w14:paraId="5237F7AF" w14:textId="77777777" w:rsidR="00046857" w:rsidRPr="00B54AF4" w:rsidRDefault="00046857" w:rsidP="008430A3">
      <w:pPr>
        <w:rPr>
          <w:rFonts w:ascii="Arial" w:hAnsi="Arial" w:cs="Arial"/>
        </w:rPr>
      </w:pPr>
    </w:p>
    <w:sectPr w:rsidR="00046857" w:rsidRPr="00B54AF4" w:rsidSect="00313576">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2A7E1" w14:textId="77777777" w:rsidR="000D7747" w:rsidRDefault="000D7747">
      <w:r>
        <w:separator/>
      </w:r>
    </w:p>
  </w:endnote>
  <w:endnote w:type="continuationSeparator" w:id="0">
    <w:p w14:paraId="17C9490B" w14:textId="77777777" w:rsidR="000D7747" w:rsidRDefault="000D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tone Sans">
    <w:altName w:val="Stone Sans"/>
    <w:panose1 w:val="00000000000000000000"/>
    <w:charset w:val="00"/>
    <w:family w:val="swiss"/>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FC42D" w14:textId="77777777" w:rsidR="00AA582B" w:rsidRDefault="00AA5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03B1B" w14:textId="77777777" w:rsidR="00AA582B" w:rsidRDefault="00AA5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578B" w14:textId="77777777" w:rsidR="00AA582B" w:rsidRDefault="00AA5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2A726" w14:textId="77777777" w:rsidR="000D7747" w:rsidRDefault="000D7747">
      <w:r>
        <w:separator/>
      </w:r>
    </w:p>
  </w:footnote>
  <w:footnote w:type="continuationSeparator" w:id="0">
    <w:p w14:paraId="52025D75" w14:textId="77777777" w:rsidR="000D7747" w:rsidRDefault="000D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7C9A" w14:textId="77777777" w:rsidR="00AA582B" w:rsidRDefault="00AA5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E74D" w14:textId="77777777" w:rsidR="00AA582B" w:rsidRDefault="00AA5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D6ED3" w14:textId="77777777" w:rsidR="00AA582B" w:rsidRDefault="00AA5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766BBB"/>
    <w:multiLevelType w:val="hybridMultilevel"/>
    <w:tmpl w:val="20722B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95A24"/>
    <w:multiLevelType w:val="hybridMultilevel"/>
    <w:tmpl w:val="B250545C"/>
    <w:lvl w:ilvl="0" w:tplc="08090001">
      <w:start w:val="1"/>
      <w:numFmt w:val="bullet"/>
      <w:lvlText w:val=""/>
      <w:lvlJc w:val="left"/>
      <w:pPr>
        <w:ind w:left="1080" w:hanging="360"/>
      </w:pPr>
      <w:rPr>
        <w:rFonts w:ascii="Symbol" w:hAnsi="Symbol" w:hint="default"/>
      </w:rPr>
    </w:lvl>
    <w:lvl w:ilvl="1" w:tplc="0B120188">
      <w:numFmt w:val="bullet"/>
      <w:lvlText w:val="·"/>
      <w:lvlJc w:val="left"/>
      <w:pPr>
        <w:ind w:left="1875" w:hanging="435"/>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F27769"/>
    <w:multiLevelType w:val="multilevel"/>
    <w:tmpl w:val="FE1E739C"/>
    <w:lvl w:ilvl="0">
      <w:start w:val="1"/>
      <w:numFmt w:val="decimal"/>
      <w:pStyle w:val="NumberedList4"/>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E533627"/>
    <w:multiLevelType w:val="hybridMultilevel"/>
    <w:tmpl w:val="3056DC58"/>
    <w:lvl w:ilvl="0" w:tplc="1CDA2E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FF3D88"/>
    <w:multiLevelType w:val="multilevel"/>
    <w:tmpl w:val="A75E61C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5" w15:restartNumberingAfterBreak="0">
    <w:nsid w:val="19063464"/>
    <w:multiLevelType w:val="hybridMultilevel"/>
    <w:tmpl w:val="69765C44"/>
    <w:lvl w:ilvl="0" w:tplc="21DAEEF4">
      <w:start w:val="1"/>
      <w:numFmt w:val="lowerRoman"/>
      <w:lvlText w:val="%1."/>
      <w:lvlJc w:val="left"/>
      <w:pPr>
        <w:ind w:left="1440" w:hanging="360"/>
      </w:pPr>
      <w:rPr>
        <w:rFonts w:ascii="Arial" w:eastAsia="Times New Roman" w:hAnsi="Arial" w:cs="Arial"/>
      </w:rPr>
    </w:lvl>
    <w:lvl w:ilvl="1" w:tplc="0B120188">
      <w:numFmt w:val="bullet"/>
      <w:lvlText w:val="·"/>
      <w:lvlJc w:val="left"/>
      <w:pPr>
        <w:ind w:left="2235" w:hanging="435"/>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FB527F"/>
    <w:multiLevelType w:val="multilevel"/>
    <w:tmpl w:val="21A64B68"/>
    <w:lvl w:ilvl="0">
      <w:start w:val="1"/>
      <w:numFmt w:val="decimal"/>
      <w:pStyle w:val="Para2"/>
      <w:lvlText w:val="%1."/>
      <w:lvlJc w:val="left"/>
      <w:pPr>
        <w:ind w:left="1080" w:hanging="360"/>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5491394"/>
    <w:multiLevelType w:val="multilevel"/>
    <w:tmpl w:val="CAE2BB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681F7E"/>
    <w:multiLevelType w:val="hybridMultilevel"/>
    <w:tmpl w:val="AB00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B31D8"/>
    <w:multiLevelType w:val="hybridMultilevel"/>
    <w:tmpl w:val="E88A8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828A8"/>
    <w:multiLevelType w:val="multilevel"/>
    <w:tmpl w:val="EDE2B5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007504"/>
    <w:multiLevelType w:val="multilevel"/>
    <w:tmpl w:val="E91A10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510283"/>
    <w:multiLevelType w:val="hybridMultilevel"/>
    <w:tmpl w:val="CDA00E6C"/>
    <w:lvl w:ilvl="0" w:tplc="2C60B148">
      <w:numFmt w:val="bullet"/>
      <w:lvlText w:val=""/>
      <w:lvlJc w:val="left"/>
      <w:pPr>
        <w:ind w:left="1080" w:hanging="360"/>
      </w:pPr>
      <w:rPr>
        <w:rFonts w:ascii="SymbolMT" w:eastAsia="SymbolMT" w:hAnsi="Arial" w:cs="SymbolMT" w:hint="eastAsi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0D42FB"/>
    <w:multiLevelType w:val="multilevel"/>
    <w:tmpl w:val="9F64273C"/>
    <w:lvl w:ilvl="0">
      <w:start w:val="1"/>
      <w:numFmt w:val="decimal"/>
      <w:lvlText w:val="%1"/>
      <w:lvlJc w:val="left"/>
      <w:pPr>
        <w:ind w:left="780" w:hanging="780"/>
      </w:pPr>
      <w:rPr>
        <w:rFonts w:hint="default"/>
        <w:color w:val="000000"/>
        <w:sz w:val="24"/>
      </w:rPr>
    </w:lvl>
    <w:lvl w:ilvl="1">
      <w:start w:val="1"/>
      <w:numFmt w:val="decimal"/>
      <w:lvlText w:val="%1.%2"/>
      <w:lvlJc w:val="left"/>
      <w:pPr>
        <w:ind w:left="780" w:hanging="780"/>
      </w:pPr>
      <w:rPr>
        <w:rFonts w:hint="default"/>
        <w:color w:val="000000"/>
        <w:sz w:val="24"/>
      </w:rPr>
    </w:lvl>
    <w:lvl w:ilvl="2">
      <w:start w:val="1"/>
      <w:numFmt w:val="decimal"/>
      <w:lvlText w:val="%1.%2.%3"/>
      <w:lvlJc w:val="left"/>
      <w:pPr>
        <w:ind w:left="780" w:hanging="780"/>
      </w:pPr>
      <w:rPr>
        <w:rFonts w:hint="default"/>
        <w:color w:val="000000"/>
        <w:sz w:val="24"/>
      </w:rPr>
    </w:lvl>
    <w:lvl w:ilvl="3">
      <w:start w:val="1"/>
      <w:numFmt w:val="decimal"/>
      <w:lvlText w:val="%1.%2.%3.%4"/>
      <w:lvlJc w:val="left"/>
      <w:pPr>
        <w:ind w:left="780" w:hanging="7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4" w15:restartNumberingAfterBreak="0">
    <w:nsid w:val="3DEC3F89"/>
    <w:multiLevelType w:val="multilevel"/>
    <w:tmpl w:val="718EB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B6518C"/>
    <w:multiLevelType w:val="hybridMultilevel"/>
    <w:tmpl w:val="452C0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0538F9"/>
    <w:multiLevelType w:val="hybridMultilevel"/>
    <w:tmpl w:val="D626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E4E6D"/>
    <w:multiLevelType w:val="hybridMultilevel"/>
    <w:tmpl w:val="B7F48BD6"/>
    <w:lvl w:ilvl="0" w:tplc="048815E8">
      <w:start w:val="1"/>
      <w:numFmt w:val="decimal"/>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317CB3"/>
    <w:multiLevelType w:val="hybridMultilevel"/>
    <w:tmpl w:val="D85CFD48"/>
    <w:lvl w:ilvl="0" w:tplc="08090001">
      <w:start w:val="1"/>
      <w:numFmt w:val="bullet"/>
      <w:lvlText w:val=""/>
      <w:lvlJc w:val="left"/>
      <w:pPr>
        <w:ind w:left="11226" w:hanging="360"/>
      </w:pPr>
      <w:rPr>
        <w:rFonts w:ascii="Symbol" w:hAnsi="Symbol" w:hint="default"/>
      </w:rPr>
    </w:lvl>
    <w:lvl w:ilvl="1" w:tplc="08090003">
      <w:start w:val="1"/>
      <w:numFmt w:val="bullet"/>
      <w:lvlText w:val="o"/>
      <w:lvlJc w:val="left"/>
      <w:pPr>
        <w:ind w:left="11946" w:hanging="360"/>
      </w:pPr>
      <w:rPr>
        <w:rFonts w:ascii="Courier New" w:hAnsi="Courier New" w:cs="Courier New" w:hint="default"/>
      </w:rPr>
    </w:lvl>
    <w:lvl w:ilvl="2" w:tplc="08090005" w:tentative="1">
      <w:start w:val="1"/>
      <w:numFmt w:val="bullet"/>
      <w:lvlText w:val=""/>
      <w:lvlJc w:val="left"/>
      <w:pPr>
        <w:ind w:left="12666" w:hanging="360"/>
      </w:pPr>
      <w:rPr>
        <w:rFonts w:ascii="Wingdings" w:hAnsi="Wingdings" w:hint="default"/>
      </w:rPr>
    </w:lvl>
    <w:lvl w:ilvl="3" w:tplc="08090001" w:tentative="1">
      <w:start w:val="1"/>
      <w:numFmt w:val="bullet"/>
      <w:lvlText w:val=""/>
      <w:lvlJc w:val="left"/>
      <w:pPr>
        <w:ind w:left="13386" w:hanging="360"/>
      </w:pPr>
      <w:rPr>
        <w:rFonts w:ascii="Symbol" w:hAnsi="Symbol" w:hint="default"/>
      </w:rPr>
    </w:lvl>
    <w:lvl w:ilvl="4" w:tplc="08090003" w:tentative="1">
      <w:start w:val="1"/>
      <w:numFmt w:val="bullet"/>
      <w:lvlText w:val="o"/>
      <w:lvlJc w:val="left"/>
      <w:pPr>
        <w:ind w:left="14106" w:hanging="360"/>
      </w:pPr>
      <w:rPr>
        <w:rFonts w:ascii="Courier New" w:hAnsi="Courier New" w:cs="Courier New" w:hint="default"/>
      </w:rPr>
    </w:lvl>
    <w:lvl w:ilvl="5" w:tplc="08090005" w:tentative="1">
      <w:start w:val="1"/>
      <w:numFmt w:val="bullet"/>
      <w:lvlText w:val=""/>
      <w:lvlJc w:val="left"/>
      <w:pPr>
        <w:ind w:left="14826" w:hanging="360"/>
      </w:pPr>
      <w:rPr>
        <w:rFonts w:ascii="Wingdings" w:hAnsi="Wingdings" w:hint="default"/>
      </w:rPr>
    </w:lvl>
    <w:lvl w:ilvl="6" w:tplc="08090001" w:tentative="1">
      <w:start w:val="1"/>
      <w:numFmt w:val="bullet"/>
      <w:lvlText w:val=""/>
      <w:lvlJc w:val="left"/>
      <w:pPr>
        <w:ind w:left="15546" w:hanging="360"/>
      </w:pPr>
      <w:rPr>
        <w:rFonts w:ascii="Symbol" w:hAnsi="Symbol" w:hint="default"/>
      </w:rPr>
    </w:lvl>
    <w:lvl w:ilvl="7" w:tplc="08090003" w:tentative="1">
      <w:start w:val="1"/>
      <w:numFmt w:val="bullet"/>
      <w:lvlText w:val="o"/>
      <w:lvlJc w:val="left"/>
      <w:pPr>
        <w:ind w:left="16266" w:hanging="360"/>
      </w:pPr>
      <w:rPr>
        <w:rFonts w:ascii="Courier New" w:hAnsi="Courier New" w:cs="Courier New" w:hint="default"/>
      </w:rPr>
    </w:lvl>
    <w:lvl w:ilvl="8" w:tplc="08090005" w:tentative="1">
      <w:start w:val="1"/>
      <w:numFmt w:val="bullet"/>
      <w:lvlText w:val=""/>
      <w:lvlJc w:val="left"/>
      <w:pPr>
        <w:ind w:left="16986" w:hanging="360"/>
      </w:pPr>
      <w:rPr>
        <w:rFonts w:ascii="Wingdings" w:hAnsi="Wingdings" w:hint="default"/>
      </w:rPr>
    </w:lvl>
  </w:abstractNum>
  <w:abstractNum w:abstractNumId="19" w15:restartNumberingAfterBreak="0">
    <w:nsid w:val="50D372BD"/>
    <w:multiLevelType w:val="multilevel"/>
    <w:tmpl w:val="EB42F3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0562A6"/>
    <w:multiLevelType w:val="hybridMultilevel"/>
    <w:tmpl w:val="B78AB74C"/>
    <w:lvl w:ilvl="0" w:tplc="CF34BC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672AF6"/>
    <w:multiLevelType w:val="hybridMultilevel"/>
    <w:tmpl w:val="9258DB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5C05054F"/>
    <w:multiLevelType w:val="hybridMultilevel"/>
    <w:tmpl w:val="BCAA4D0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C4E7758"/>
    <w:multiLevelType w:val="hybridMultilevel"/>
    <w:tmpl w:val="76A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B51B8"/>
    <w:multiLevelType w:val="hybridMultilevel"/>
    <w:tmpl w:val="E61EB844"/>
    <w:lvl w:ilvl="0" w:tplc="0700F2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00603CE"/>
    <w:multiLevelType w:val="hybridMultilevel"/>
    <w:tmpl w:val="84BCC9FE"/>
    <w:lvl w:ilvl="0" w:tplc="8A4E5D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4C809A7"/>
    <w:multiLevelType w:val="multilevel"/>
    <w:tmpl w:val="104EC67E"/>
    <w:lvl w:ilvl="0">
      <w:start w:val="3"/>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4DC2AC9"/>
    <w:multiLevelType w:val="multilevel"/>
    <w:tmpl w:val="C53C18CC"/>
    <w:lvl w:ilvl="0">
      <w:start w:val="2"/>
      <w:numFmt w:val="decimal"/>
      <w:lvlText w:val="%1.0"/>
      <w:lvlJc w:val="left"/>
      <w:pPr>
        <w:ind w:left="495" w:hanging="495"/>
      </w:pPr>
      <w:rPr>
        <w:rFonts w:cs="Times New Roman" w:hint="default"/>
        <w:b/>
        <w:sz w:val="36"/>
      </w:rPr>
    </w:lvl>
    <w:lvl w:ilvl="1">
      <w:start w:val="1"/>
      <w:numFmt w:val="decimal"/>
      <w:lvlText w:val="%1.%2"/>
      <w:lvlJc w:val="left"/>
      <w:pPr>
        <w:ind w:left="1215" w:hanging="495"/>
      </w:pPr>
      <w:rPr>
        <w:rFonts w:cs="Times New Roman" w:hint="default"/>
        <w:b/>
        <w:sz w:val="36"/>
      </w:rPr>
    </w:lvl>
    <w:lvl w:ilvl="2">
      <w:start w:val="1"/>
      <w:numFmt w:val="decimal"/>
      <w:lvlText w:val="%1.%2.%3"/>
      <w:lvlJc w:val="left"/>
      <w:pPr>
        <w:ind w:left="2160" w:hanging="720"/>
      </w:pPr>
      <w:rPr>
        <w:rFonts w:cs="Times New Roman" w:hint="default"/>
        <w:b/>
        <w:sz w:val="36"/>
      </w:rPr>
    </w:lvl>
    <w:lvl w:ilvl="3">
      <w:start w:val="1"/>
      <w:numFmt w:val="decimal"/>
      <w:lvlText w:val="%1.%2.%3.%4"/>
      <w:lvlJc w:val="left"/>
      <w:pPr>
        <w:ind w:left="3240" w:hanging="1080"/>
      </w:pPr>
      <w:rPr>
        <w:rFonts w:cs="Times New Roman" w:hint="default"/>
        <w:b/>
        <w:sz w:val="36"/>
      </w:rPr>
    </w:lvl>
    <w:lvl w:ilvl="4">
      <w:start w:val="1"/>
      <w:numFmt w:val="decimal"/>
      <w:lvlText w:val="%1.%2.%3.%4.%5"/>
      <w:lvlJc w:val="left"/>
      <w:pPr>
        <w:ind w:left="3960" w:hanging="1080"/>
      </w:pPr>
      <w:rPr>
        <w:rFonts w:cs="Times New Roman" w:hint="default"/>
        <w:b/>
        <w:sz w:val="36"/>
      </w:rPr>
    </w:lvl>
    <w:lvl w:ilvl="5">
      <w:start w:val="1"/>
      <w:numFmt w:val="decimal"/>
      <w:lvlText w:val="%1.%2.%3.%4.%5.%6"/>
      <w:lvlJc w:val="left"/>
      <w:pPr>
        <w:ind w:left="5040" w:hanging="1440"/>
      </w:pPr>
      <w:rPr>
        <w:rFonts w:cs="Times New Roman" w:hint="default"/>
        <w:b/>
        <w:sz w:val="36"/>
      </w:rPr>
    </w:lvl>
    <w:lvl w:ilvl="6">
      <w:start w:val="1"/>
      <w:numFmt w:val="decimal"/>
      <w:lvlText w:val="%1.%2.%3.%4.%5.%6.%7"/>
      <w:lvlJc w:val="left"/>
      <w:pPr>
        <w:ind w:left="5760" w:hanging="1440"/>
      </w:pPr>
      <w:rPr>
        <w:rFonts w:cs="Times New Roman" w:hint="default"/>
        <w:b/>
        <w:sz w:val="36"/>
      </w:rPr>
    </w:lvl>
    <w:lvl w:ilvl="7">
      <w:start w:val="1"/>
      <w:numFmt w:val="decimal"/>
      <w:lvlText w:val="%1.%2.%3.%4.%5.%6.%7.%8"/>
      <w:lvlJc w:val="left"/>
      <w:pPr>
        <w:ind w:left="6840" w:hanging="1800"/>
      </w:pPr>
      <w:rPr>
        <w:rFonts w:cs="Times New Roman" w:hint="default"/>
        <w:b/>
        <w:sz w:val="36"/>
      </w:rPr>
    </w:lvl>
    <w:lvl w:ilvl="8">
      <w:start w:val="1"/>
      <w:numFmt w:val="decimal"/>
      <w:lvlText w:val="%1.%2.%3.%4.%5.%6.%7.%8.%9"/>
      <w:lvlJc w:val="left"/>
      <w:pPr>
        <w:ind w:left="7560" w:hanging="1800"/>
      </w:pPr>
      <w:rPr>
        <w:rFonts w:cs="Times New Roman" w:hint="default"/>
        <w:b/>
        <w:sz w:val="36"/>
      </w:rPr>
    </w:lvl>
  </w:abstractNum>
  <w:abstractNum w:abstractNumId="28" w15:restartNumberingAfterBreak="0">
    <w:nsid w:val="6C2E5FDE"/>
    <w:multiLevelType w:val="hybridMultilevel"/>
    <w:tmpl w:val="F7564D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4A7F7B"/>
    <w:multiLevelType w:val="hybridMultilevel"/>
    <w:tmpl w:val="A2401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EA3769"/>
    <w:multiLevelType w:val="hybridMultilevel"/>
    <w:tmpl w:val="6F0CBB76"/>
    <w:lvl w:ilvl="0" w:tplc="4BEAE1C2">
      <w:start w:val="1"/>
      <w:numFmt w:val="lowerLetter"/>
      <w:lvlText w:val="%1)"/>
      <w:lvlJc w:val="left"/>
      <w:pPr>
        <w:ind w:left="1080" w:hanging="360"/>
      </w:pPr>
      <w:rPr>
        <w:rFonts w:ascii="Helvetica" w:eastAsia="Times" w:hAnsi="Helvetic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9352F79"/>
    <w:multiLevelType w:val="multilevel"/>
    <w:tmpl w:val="FF807026"/>
    <w:lvl w:ilvl="0">
      <w:start w:val="1"/>
      <w:numFmt w:val="decimal"/>
      <w:lvlText w:val="%1"/>
      <w:lvlJc w:val="left"/>
      <w:pPr>
        <w:ind w:left="495" w:hanging="495"/>
      </w:pPr>
      <w:rPr>
        <w:rFonts w:hint="default"/>
        <w:b w:val="0"/>
        <w:color w:val="000000"/>
        <w:sz w:val="24"/>
      </w:rPr>
    </w:lvl>
    <w:lvl w:ilvl="1">
      <w:start w:val="1"/>
      <w:numFmt w:val="decimal"/>
      <w:lvlText w:val="%1.%2"/>
      <w:lvlJc w:val="left"/>
      <w:pPr>
        <w:ind w:left="495" w:hanging="495"/>
      </w:pPr>
      <w:rPr>
        <w:rFonts w:hint="default"/>
        <w:b w:val="0"/>
        <w:color w:val="000000"/>
        <w:sz w:val="24"/>
      </w:rPr>
    </w:lvl>
    <w:lvl w:ilvl="2">
      <w:start w:val="1"/>
      <w:numFmt w:val="decimal"/>
      <w:lvlText w:val="%1.%2.%3"/>
      <w:lvlJc w:val="left"/>
      <w:pPr>
        <w:ind w:left="720" w:hanging="720"/>
      </w:pPr>
      <w:rPr>
        <w:rFonts w:hint="default"/>
        <w:b w:val="0"/>
        <w:color w:val="000000"/>
        <w:sz w:val="24"/>
      </w:rPr>
    </w:lvl>
    <w:lvl w:ilvl="3">
      <w:start w:val="1"/>
      <w:numFmt w:val="decimal"/>
      <w:lvlText w:val="%1.%2.%3.%4"/>
      <w:lvlJc w:val="left"/>
      <w:pPr>
        <w:ind w:left="720" w:hanging="720"/>
      </w:pPr>
      <w:rPr>
        <w:rFonts w:hint="default"/>
        <w:b w:val="0"/>
        <w:color w:val="000000"/>
        <w:sz w:val="24"/>
      </w:rPr>
    </w:lvl>
    <w:lvl w:ilvl="4">
      <w:start w:val="1"/>
      <w:numFmt w:val="decimal"/>
      <w:lvlText w:val="%1.%2.%3.%4.%5"/>
      <w:lvlJc w:val="left"/>
      <w:pPr>
        <w:ind w:left="1080" w:hanging="1080"/>
      </w:pPr>
      <w:rPr>
        <w:rFonts w:hint="default"/>
        <w:b w:val="0"/>
        <w:color w:val="000000"/>
        <w:sz w:val="24"/>
      </w:rPr>
    </w:lvl>
    <w:lvl w:ilvl="5">
      <w:start w:val="1"/>
      <w:numFmt w:val="decimal"/>
      <w:lvlText w:val="%1.%2.%3.%4.%5.%6"/>
      <w:lvlJc w:val="left"/>
      <w:pPr>
        <w:ind w:left="1440" w:hanging="1440"/>
      </w:pPr>
      <w:rPr>
        <w:rFonts w:hint="default"/>
        <w:b w:val="0"/>
        <w:color w:val="000000"/>
        <w:sz w:val="24"/>
      </w:rPr>
    </w:lvl>
    <w:lvl w:ilvl="6">
      <w:start w:val="1"/>
      <w:numFmt w:val="decimal"/>
      <w:lvlText w:val="%1.%2.%3.%4.%5.%6.%7"/>
      <w:lvlJc w:val="left"/>
      <w:pPr>
        <w:ind w:left="1440" w:hanging="1440"/>
      </w:pPr>
      <w:rPr>
        <w:rFonts w:hint="default"/>
        <w:b w:val="0"/>
        <w:color w:val="000000"/>
        <w:sz w:val="24"/>
      </w:rPr>
    </w:lvl>
    <w:lvl w:ilvl="7">
      <w:start w:val="1"/>
      <w:numFmt w:val="decimal"/>
      <w:lvlText w:val="%1.%2.%3.%4.%5.%6.%7.%8"/>
      <w:lvlJc w:val="left"/>
      <w:pPr>
        <w:ind w:left="1800" w:hanging="1800"/>
      </w:pPr>
      <w:rPr>
        <w:rFonts w:hint="default"/>
        <w:b w:val="0"/>
        <w:color w:val="000000"/>
        <w:sz w:val="24"/>
      </w:rPr>
    </w:lvl>
    <w:lvl w:ilvl="8">
      <w:start w:val="1"/>
      <w:numFmt w:val="decimal"/>
      <w:lvlText w:val="%1.%2.%3.%4.%5.%6.%7.%8.%9"/>
      <w:lvlJc w:val="left"/>
      <w:pPr>
        <w:ind w:left="1800" w:hanging="1800"/>
      </w:pPr>
      <w:rPr>
        <w:rFonts w:hint="default"/>
        <w:b w:val="0"/>
        <w:color w:val="000000"/>
        <w:sz w:val="24"/>
      </w:rPr>
    </w:lvl>
  </w:abstractNum>
  <w:num w:numId="1">
    <w:abstractNumId w:val="2"/>
  </w:num>
  <w:num w:numId="2">
    <w:abstractNumId w:val="14"/>
  </w:num>
  <w:num w:numId="3">
    <w:abstractNumId w:val="18"/>
  </w:num>
  <w:num w:numId="4">
    <w:abstractNumId w:val="26"/>
  </w:num>
  <w:num w:numId="5">
    <w:abstractNumId w:val="10"/>
  </w:num>
  <w:num w:numId="6">
    <w:abstractNumId w:val="21"/>
  </w:num>
  <w:num w:numId="7">
    <w:abstractNumId w:val="7"/>
  </w:num>
  <w:num w:numId="8">
    <w:abstractNumId w:val="29"/>
  </w:num>
  <w:num w:numId="9">
    <w:abstractNumId w:val="12"/>
  </w:num>
  <w:num w:numId="10">
    <w:abstractNumId w:val="4"/>
  </w:num>
  <w:num w:numId="11">
    <w:abstractNumId w:val="30"/>
  </w:num>
  <w:num w:numId="12">
    <w:abstractNumId w:val="31"/>
  </w:num>
  <w:num w:numId="13">
    <w:abstractNumId w:val="13"/>
  </w:num>
  <w:num w:numId="14">
    <w:abstractNumId w:val="19"/>
  </w:num>
  <w:num w:numId="15">
    <w:abstractNumId w:val="3"/>
  </w:num>
  <w:num w:numId="16">
    <w:abstractNumId w:val="9"/>
  </w:num>
  <w:num w:numId="17">
    <w:abstractNumId w:val="25"/>
  </w:num>
  <w:num w:numId="18">
    <w:abstractNumId w:val="16"/>
  </w:num>
  <w:num w:numId="19">
    <w:abstractNumId w:val="22"/>
  </w:num>
  <w:num w:numId="20">
    <w:abstractNumId w:val="6"/>
  </w:num>
  <w:num w:numId="21">
    <w:abstractNumId w:val="17"/>
  </w:num>
  <w:num w:numId="22">
    <w:abstractNumId w:val="28"/>
  </w:num>
  <w:num w:numId="23">
    <w:abstractNumId w:val="27"/>
  </w:num>
  <w:num w:numId="24">
    <w:abstractNumId w:val="11"/>
  </w:num>
  <w:num w:numId="25">
    <w:abstractNumId w:val="5"/>
  </w:num>
  <w:num w:numId="26">
    <w:abstractNumId w:val="24"/>
  </w:num>
  <w:num w:numId="27">
    <w:abstractNumId w:val="20"/>
  </w:num>
  <w:num w:numId="28">
    <w:abstractNumId w:val="15"/>
  </w:num>
  <w:num w:numId="29">
    <w:abstractNumId w:val="1"/>
  </w:num>
  <w:num w:numId="30">
    <w:abstractNumId w:val="0"/>
  </w:num>
  <w:num w:numId="31">
    <w:abstractNumId w:val="23"/>
  </w:num>
  <w:num w:numId="3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08"/>
    <w:rsid w:val="00000860"/>
    <w:rsid w:val="00001073"/>
    <w:rsid w:val="00001665"/>
    <w:rsid w:val="00002138"/>
    <w:rsid w:val="00002C42"/>
    <w:rsid w:val="000062A8"/>
    <w:rsid w:val="00006D87"/>
    <w:rsid w:val="00007631"/>
    <w:rsid w:val="00007A1A"/>
    <w:rsid w:val="00007B49"/>
    <w:rsid w:val="000108C6"/>
    <w:rsid w:val="0001191A"/>
    <w:rsid w:val="00011968"/>
    <w:rsid w:val="00011E02"/>
    <w:rsid w:val="000125B1"/>
    <w:rsid w:val="000133CB"/>
    <w:rsid w:val="000146B9"/>
    <w:rsid w:val="00022694"/>
    <w:rsid w:val="000228F5"/>
    <w:rsid w:val="00023336"/>
    <w:rsid w:val="0002371B"/>
    <w:rsid w:val="00025434"/>
    <w:rsid w:val="00025E8A"/>
    <w:rsid w:val="0002638E"/>
    <w:rsid w:val="00027CA5"/>
    <w:rsid w:val="0003033A"/>
    <w:rsid w:val="00030B94"/>
    <w:rsid w:val="0003194B"/>
    <w:rsid w:val="00031EF8"/>
    <w:rsid w:val="000335CB"/>
    <w:rsid w:val="000336BD"/>
    <w:rsid w:val="00037753"/>
    <w:rsid w:val="00037AB9"/>
    <w:rsid w:val="00037ACF"/>
    <w:rsid w:val="00040A65"/>
    <w:rsid w:val="000425E9"/>
    <w:rsid w:val="00042ACD"/>
    <w:rsid w:val="00043E1E"/>
    <w:rsid w:val="0004481E"/>
    <w:rsid w:val="0004510A"/>
    <w:rsid w:val="000452C1"/>
    <w:rsid w:val="00045739"/>
    <w:rsid w:val="00046857"/>
    <w:rsid w:val="000474A7"/>
    <w:rsid w:val="00047819"/>
    <w:rsid w:val="0005119B"/>
    <w:rsid w:val="000532D5"/>
    <w:rsid w:val="0005334E"/>
    <w:rsid w:val="0005592F"/>
    <w:rsid w:val="00056702"/>
    <w:rsid w:val="00056B39"/>
    <w:rsid w:val="000571BF"/>
    <w:rsid w:val="0006019F"/>
    <w:rsid w:val="00060D58"/>
    <w:rsid w:val="00061466"/>
    <w:rsid w:val="0006335A"/>
    <w:rsid w:val="00063E54"/>
    <w:rsid w:val="00064325"/>
    <w:rsid w:val="00065055"/>
    <w:rsid w:val="00065CAC"/>
    <w:rsid w:val="00066995"/>
    <w:rsid w:val="0006736D"/>
    <w:rsid w:val="000701F5"/>
    <w:rsid w:val="000702B6"/>
    <w:rsid w:val="000704D5"/>
    <w:rsid w:val="00071207"/>
    <w:rsid w:val="00071D0F"/>
    <w:rsid w:val="0007263E"/>
    <w:rsid w:val="00072BF4"/>
    <w:rsid w:val="0007352D"/>
    <w:rsid w:val="00074624"/>
    <w:rsid w:val="00074861"/>
    <w:rsid w:val="0007599E"/>
    <w:rsid w:val="00076001"/>
    <w:rsid w:val="000761A9"/>
    <w:rsid w:val="00077492"/>
    <w:rsid w:val="0007793C"/>
    <w:rsid w:val="00080110"/>
    <w:rsid w:val="000813F1"/>
    <w:rsid w:val="0008174F"/>
    <w:rsid w:val="00083D78"/>
    <w:rsid w:val="0008508C"/>
    <w:rsid w:val="000855C9"/>
    <w:rsid w:val="000858A1"/>
    <w:rsid w:val="000860FA"/>
    <w:rsid w:val="000865F8"/>
    <w:rsid w:val="00086A2F"/>
    <w:rsid w:val="00086BCB"/>
    <w:rsid w:val="0008715E"/>
    <w:rsid w:val="00091DDC"/>
    <w:rsid w:val="0009223E"/>
    <w:rsid w:val="000932CB"/>
    <w:rsid w:val="0009444F"/>
    <w:rsid w:val="0009667B"/>
    <w:rsid w:val="00097366"/>
    <w:rsid w:val="00097399"/>
    <w:rsid w:val="000A0CCA"/>
    <w:rsid w:val="000A1C30"/>
    <w:rsid w:val="000A1ECC"/>
    <w:rsid w:val="000A2223"/>
    <w:rsid w:val="000A3A94"/>
    <w:rsid w:val="000A3F11"/>
    <w:rsid w:val="000A4267"/>
    <w:rsid w:val="000A42C7"/>
    <w:rsid w:val="000A5524"/>
    <w:rsid w:val="000A5AD9"/>
    <w:rsid w:val="000A67CC"/>
    <w:rsid w:val="000A69B3"/>
    <w:rsid w:val="000A7836"/>
    <w:rsid w:val="000A7C6F"/>
    <w:rsid w:val="000B15CC"/>
    <w:rsid w:val="000B1A8F"/>
    <w:rsid w:val="000B4B49"/>
    <w:rsid w:val="000B7240"/>
    <w:rsid w:val="000C054D"/>
    <w:rsid w:val="000C1D35"/>
    <w:rsid w:val="000C2D0D"/>
    <w:rsid w:val="000C366E"/>
    <w:rsid w:val="000C3D21"/>
    <w:rsid w:val="000C4709"/>
    <w:rsid w:val="000C5184"/>
    <w:rsid w:val="000C59EB"/>
    <w:rsid w:val="000C5B7F"/>
    <w:rsid w:val="000D0F44"/>
    <w:rsid w:val="000D171B"/>
    <w:rsid w:val="000D24BF"/>
    <w:rsid w:val="000D3E37"/>
    <w:rsid w:val="000D4C48"/>
    <w:rsid w:val="000D4DA2"/>
    <w:rsid w:val="000D647C"/>
    <w:rsid w:val="000D709B"/>
    <w:rsid w:val="000D7747"/>
    <w:rsid w:val="000E0C3E"/>
    <w:rsid w:val="000E1230"/>
    <w:rsid w:val="000E359F"/>
    <w:rsid w:val="000E3EE7"/>
    <w:rsid w:val="000E456C"/>
    <w:rsid w:val="000E4ABF"/>
    <w:rsid w:val="000E5301"/>
    <w:rsid w:val="000E5C88"/>
    <w:rsid w:val="000E702A"/>
    <w:rsid w:val="000F2663"/>
    <w:rsid w:val="000F38BA"/>
    <w:rsid w:val="000F549B"/>
    <w:rsid w:val="000F5650"/>
    <w:rsid w:val="000F6095"/>
    <w:rsid w:val="000F642C"/>
    <w:rsid w:val="000F6F96"/>
    <w:rsid w:val="00100A0E"/>
    <w:rsid w:val="00100F79"/>
    <w:rsid w:val="0010109A"/>
    <w:rsid w:val="0010149D"/>
    <w:rsid w:val="00101527"/>
    <w:rsid w:val="00101BD1"/>
    <w:rsid w:val="00104147"/>
    <w:rsid w:val="0010441D"/>
    <w:rsid w:val="00106779"/>
    <w:rsid w:val="001069B9"/>
    <w:rsid w:val="0010784A"/>
    <w:rsid w:val="00110403"/>
    <w:rsid w:val="00110AB4"/>
    <w:rsid w:val="00112DCD"/>
    <w:rsid w:val="00112FB6"/>
    <w:rsid w:val="00114D6A"/>
    <w:rsid w:val="00115569"/>
    <w:rsid w:val="00116E69"/>
    <w:rsid w:val="0011718D"/>
    <w:rsid w:val="00120371"/>
    <w:rsid w:val="00121E2D"/>
    <w:rsid w:val="00122223"/>
    <w:rsid w:val="00122DAE"/>
    <w:rsid w:val="0012428D"/>
    <w:rsid w:val="00132179"/>
    <w:rsid w:val="0013385C"/>
    <w:rsid w:val="00133F49"/>
    <w:rsid w:val="0013464E"/>
    <w:rsid w:val="0013542D"/>
    <w:rsid w:val="001402CF"/>
    <w:rsid w:val="001418F2"/>
    <w:rsid w:val="001432BB"/>
    <w:rsid w:val="00144EC6"/>
    <w:rsid w:val="00145EFD"/>
    <w:rsid w:val="00146EB2"/>
    <w:rsid w:val="00147469"/>
    <w:rsid w:val="00147C38"/>
    <w:rsid w:val="00147D6F"/>
    <w:rsid w:val="001509A7"/>
    <w:rsid w:val="00150C2E"/>
    <w:rsid w:val="00152CA6"/>
    <w:rsid w:val="00153338"/>
    <w:rsid w:val="00153486"/>
    <w:rsid w:val="00154F3F"/>
    <w:rsid w:val="00156A9B"/>
    <w:rsid w:val="001617C6"/>
    <w:rsid w:val="00161949"/>
    <w:rsid w:val="00165031"/>
    <w:rsid w:val="0016540C"/>
    <w:rsid w:val="001674F6"/>
    <w:rsid w:val="00170A4F"/>
    <w:rsid w:val="00171B3A"/>
    <w:rsid w:val="00171DE3"/>
    <w:rsid w:val="00173E9E"/>
    <w:rsid w:val="0017408A"/>
    <w:rsid w:val="00177B2C"/>
    <w:rsid w:val="00180738"/>
    <w:rsid w:val="0018096F"/>
    <w:rsid w:val="00180A34"/>
    <w:rsid w:val="00180D71"/>
    <w:rsid w:val="00181456"/>
    <w:rsid w:val="00181EC0"/>
    <w:rsid w:val="0018391E"/>
    <w:rsid w:val="00184322"/>
    <w:rsid w:val="00185309"/>
    <w:rsid w:val="00186A0F"/>
    <w:rsid w:val="00190F79"/>
    <w:rsid w:val="001927FC"/>
    <w:rsid w:val="001930DE"/>
    <w:rsid w:val="00193B24"/>
    <w:rsid w:val="00193D67"/>
    <w:rsid w:val="00195F25"/>
    <w:rsid w:val="00196208"/>
    <w:rsid w:val="001A0A5E"/>
    <w:rsid w:val="001A2321"/>
    <w:rsid w:val="001A2D0D"/>
    <w:rsid w:val="001A3F08"/>
    <w:rsid w:val="001A443F"/>
    <w:rsid w:val="001A5857"/>
    <w:rsid w:val="001A5E0C"/>
    <w:rsid w:val="001A5FE1"/>
    <w:rsid w:val="001A7F45"/>
    <w:rsid w:val="001B00CD"/>
    <w:rsid w:val="001B0AD3"/>
    <w:rsid w:val="001B0AE9"/>
    <w:rsid w:val="001B0BB1"/>
    <w:rsid w:val="001B0DAD"/>
    <w:rsid w:val="001B1746"/>
    <w:rsid w:val="001B34D0"/>
    <w:rsid w:val="001B38D6"/>
    <w:rsid w:val="001B6A09"/>
    <w:rsid w:val="001C0DC5"/>
    <w:rsid w:val="001C356D"/>
    <w:rsid w:val="001C3F16"/>
    <w:rsid w:val="001C4715"/>
    <w:rsid w:val="001C541F"/>
    <w:rsid w:val="001C6190"/>
    <w:rsid w:val="001C7DA1"/>
    <w:rsid w:val="001D0F2A"/>
    <w:rsid w:val="001D13BA"/>
    <w:rsid w:val="001D23EC"/>
    <w:rsid w:val="001D261C"/>
    <w:rsid w:val="001D315D"/>
    <w:rsid w:val="001D420A"/>
    <w:rsid w:val="001D479B"/>
    <w:rsid w:val="001D5820"/>
    <w:rsid w:val="001D5F25"/>
    <w:rsid w:val="001D758F"/>
    <w:rsid w:val="001E0D6D"/>
    <w:rsid w:val="001E2E6D"/>
    <w:rsid w:val="001E6FC4"/>
    <w:rsid w:val="001F0106"/>
    <w:rsid w:val="001F23B0"/>
    <w:rsid w:val="001F477A"/>
    <w:rsid w:val="001F4F99"/>
    <w:rsid w:val="001F4F9E"/>
    <w:rsid w:val="001F5DD2"/>
    <w:rsid w:val="001F77B9"/>
    <w:rsid w:val="001F7B37"/>
    <w:rsid w:val="002018E8"/>
    <w:rsid w:val="00201C37"/>
    <w:rsid w:val="00202B2A"/>
    <w:rsid w:val="00202D8E"/>
    <w:rsid w:val="00204065"/>
    <w:rsid w:val="0020458F"/>
    <w:rsid w:val="00207984"/>
    <w:rsid w:val="002103A5"/>
    <w:rsid w:val="00210EB6"/>
    <w:rsid w:val="00211146"/>
    <w:rsid w:val="002125C9"/>
    <w:rsid w:val="00212A68"/>
    <w:rsid w:val="00214265"/>
    <w:rsid w:val="002149BB"/>
    <w:rsid w:val="0021557D"/>
    <w:rsid w:val="002157C1"/>
    <w:rsid w:val="00216397"/>
    <w:rsid w:val="002175BB"/>
    <w:rsid w:val="00220A84"/>
    <w:rsid w:val="00220DF1"/>
    <w:rsid w:val="002219D5"/>
    <w:rsid w:val="00221BBB"/>
    <w:rsid w:val="002234CA"/>
    <w:rsid w:val="00223BD4"/>
    <w:rsid w:val="00227586"/>
    <w:rsid w:val="002275BB"/>
    <w:rsid w:val="00231E55"/>
    <w:rsid w:val="002321AC"/>
    <w:rsid w:val="00232B9C"/>
    <w:rsid w:val="002339B4"/>
    <w:rsid w:val="0023459D"/>
    <w:rsid w:val="00235C8E"/>
    <w:rsid w:val="00236501"/>
    <w:rsid w:val="00237326"/>
    <w:rsid w:val="00241A4C"/>
    <w:rsid w:val="00241EEC"/>
    <w:rsid w:val="002423E2"/>
    <w:rsid w:val="00242972"/>
    <w:rsid w:val="00242978"/>
    <w:rsid w:val="00242C09"/>
    <w:rsid w:val="0024331E"/>
    <w:rsid w:val="002434C4"/>
    <w:rsid w:val="00245254"/>
    <w:rsid w:val="00246790"/>
    <w:rsid w:val="00246DFD"/>
    <w:rsid w:val="00247571"/>
    <w:rsid w:val="00247BA8"/>
    <w:rsid w:val="0025098F"/>
    <w:rsid w:val="002511E8"/>
    <w:rsid w:val="002512E1"/>
    <w:rsid w:val="00251E08"/>
    <w:rsid w:val="00252019"/>
    <w:rsid w:val="00253BE3"/>
    <w:rsid w:val="00254CEA"/>
    <w:rsid w:val="002577F4"/>
    <w:rsid w:val="00260375"/>
    <w:rsid w:val="00261DB3"/>
    <w:rsid w:val="00262BFD"/>
    <w:rsid w:val="00265298"/>
    <w:rsid w:val="00265668"/>
    <w:rsid w:val="00265E08"/>
    <w:rsid w:val="00266333"/>
    <w:rsid w:val="00267015"/>
    <w:rsid w:val="00267405"/>
    <w:rsid w:val="002675F2"/>
    <w:rsid w:val="00270401"/>
    <w:rsid w:val="00272DC8"/>
    <w:rsid w:val="00273520"/>
    <w:rsid w:val="00274DEE"/>
    <w:rsid w:val="00277E1E"/>
    <w:rsid w:val="002810D1"/>
    <w:rsid w:val="0028164F"/>
    <w:rsid w:val="00282032"/>
    <w:rsid w:val="00284BBC"/>
    <w:rsid w:val="0029157C"/>
    <w:rsid w:val="00293A02"/>
    <w:rsid w:val="0029452C"/>
    <w:rsid w:val="00294B88"/>
    <w:rsid w:val="0029702E"/>
    <w:rsid w:val="00297560"/>
    <w:rsid w:val="00297BBD"/>
    <w:rsid w:val="00297D74"/>
    <w:rsid w:val="002A02E9"/>
    <w:rsid w:val="002A201A"/>
    <w:rsid w:val="002A264C"/>
    <w:rsid w:val="002A4412"/>
    <w:rsid w:val="002B0C29"/>
    <w:rsid w:val="002B2107"/>
    <w:rsid w:val="002B2DDF"/>
    <w:rsid w:val="002B3387"/>
    <w:rsid w:val="002B353D"/>
    <w:rsid w:val="002B3C1A"/>
    <w:rsid w:val="002B6935"/>
    <w:rsid w:val="002B73D9"/>
    <w:rsid w:val="002B7FA0"/>
    <w:rsid w:val="002C2826"/>
    <w:rsid w:val="002C386E"/>
    <w:rsid w:val="002C4672"/>
    <w:rsid w:val="002C4C07"/>
    <w:rsid w:val="002C57E0"/>
    <w:rsid w:val="002C5813"/>
    <w:rsid w:val="002C5F4A"/>
    <w:rsid w:val="002C6537"/>
    <w:rsid w:val="002C7621"/>
    <w:rsid w:val="002D0F80"/>
    <w:rsid w:val="002D19C3"/>
    <w:rsid w:val="002D365A"/>
    <w:rsid w:val="002D6A47"/>
    <w:rsid w:val="002D73AB"/>
    <w:rsid w:val="002E16D9"/>
    <w:rsid w:val="002E16E3"/>
    <w:rsid w:val="002E1A15"/>
    <w:rsid w:val="002E1BAB"/>
    <w:rsid w:val="002E275B"/>
    <w:rsid w:val="002E27F7"/>
    <w:rsid w:val="002E28E3"/>
    <w:rsid w:val="002E301F"/>
    <w:rsid w:val="002E328D"/>
    <w:rsid w:val="002E3748"/>
    <w:rsid w:val="002E37B8"/>
    <w:rsid w:val="002E438B"/>
    <w:rsid w:val="002E56D6"/>
    <w:rsid w:val="002E6C34"/>
    <w:rsid w:val="002F0164"/>
    <w:rsid w:val="002F137E"/>
    <w:rsid w:val="002F1B31"/>
    <w:rsid w:val="002F23E7"/>
    <w:rsid w:val="002F3464"/>
    <w:rsid w:val="002F5BFE"/>
    <w:rsid w:val="0030238C"/>
    <w:rsid w:val="00302BE6"/>
    <w:rsid w:val="00303AE4"/>
    <w:rsid w:val="00304567"/>
    <w:rsid w:val="00305039"/>
    <w:rsid w:val="00305832"/>
    <w:rsid w:val="003067F0"/>
    <w:rsid w:val="00306B6D"/>
    <w:rsid w:val="003114C4"/>
    <w:rsid w:val="003117EE"/>
    <w:rsid w:val="00313576"/>
    <w:rsid w:val="00313CBB"/>
    <w:rsid w:val="003155B0"/>
    <w:rsid w:val="00315A3F"/>
    <w:rsid w:val="003162E2"/>
    <w:rsid w:val="00316BB0"/>
    <w:rsid w:val="0031708F"/>
    <w:rsid w:val="003174EC"/>
    <w:rsid w:val="00317850"/>
    <w:rsid w:val="00320F69"/>
    <w:rsid w:val="00323AD2"/>
    <w:rsid w:val="00323F00"/>
    <w:rsid w:val="00324158"/>
    <w:rsid w:val="00324F9C"/>
    <w:rsid w:val="00326B8A"/>
    <w:rsid w:val="003273EE"/>
    <w:rsid w:val="003314ED"/>
    <w:rsid w:val="003317B0"/>
    <w:rsid w:val="00331B39"/>
    <w:rsid w:val="0033257B"/>
    <w:rsid w:val="00332C60"/>
    <w:rsid w:val="00335D1F"/>
    <w:rsid w:val="00335DEA"/>
    <w:rsid w:val="00337EC9"/>
    <w:rsid w:val="00340EC0"/>
    <w:rsid w:val="00341FF6"/>
    <w:rsid w:val="0034434D"/>
    <w:rsid w:val="00344EB0"/>
    <w:rsid w:val="0034691C"/>
    <w:rsid w:val="00347FA9"/>
    <w:rsid w:val="003504D1"/>
    <w:rsid w:val="0035098E"/>
    <w:rsid w:val="00351F8D"/>
    <w:rsid w:val="003520A6"/>
    <w:rsid w:val="00352997"/>
    <w:rsid w:val="00352B85"/>
    <w:rsid w:val="00354932"/>
    <w:rsid w:val="0035575E"/>
    <w:rsid w:val="00355B5B"/>
    <w:rsid w:val="003561EA"/>
    <w:rsid w:val="00357DC1"/>
    <w:rsid w:val="003601F1"/>
    <w:rsid w:val="003604B7"/>
    <w:rsid w:val="00360A46"/>
    <w:rsid w:val="00360F35"/>
    <w:rsid w:val="0036108A"/>
    <w:rsid w:val="00362FAD"/>
    <w:rsid w:val="003630B4"/>
    <w:rsid w:val="003633D5"/>
    <w:rsid w:val="003652AC"/>
    <w:rsid w:val="00365C85"/>
    <w:rsid w:val="00367333"/>
    <w:rsid w:val="003676F6"/>
    <w:rsid w:val="00367B81"/>
    <w:rsid w:val="00370D91"/>
    <w:rsid w:val="00371018"/>
    <w:rsid w:val="00372994"/>
    <w:rsid w:val="00373741"/>
    <w:rsid w:val="00373B8E"/>
    <w:rsid w:val="00374D1E"/>
    <w:rsid w:val="003750F2"/>
    <w:rsid w:val="00377D22"/>
    <w:rsid w:val="003802C3"/>
    <w:rsid w:val="00381078"/>
    <w:rsid w:val="003832B4"/>
    <w:rsid w:val="00383A89"/>
    <w:rsid w:val="00384000"/>
    <w:rsid w:val="003853B3"/>
    <w:rsid w:val="00385522"/>
    <w:rsid w:val="00385FA4"/>
    <w:rsid w:val="0038700D"/>
    <w:rsid w:val="00390932"/>
    <w:rsid w:val="003911EC"/>
    <w:rsid w:val="00392EB0"/>
    <w:rsid w:val="00394534"/>
    <w:rsid w:val="003952B3"/>
    <w:rsid w:val="0039762D"/>
    <w:rsid w:val="00397D45"/>
    <w:rsid w:val="00397F11"/>
    <w:rsid w:val="003A18EE"/>
    <w:rsid w:val="003A2259"/>
    <w:rsid w:val="003A2503"/>
    <w:rsid w:val="003A4B9C"/>
    <w:rsid w:val="003A56ED"/>
    <w:rsid w:val="003A70A8"/>
    <w:rsid w:val="003A73DF"/>
    <w:rsid w:val="003A789E"/>
    <w:rsid w:val="003A7EFA"/>
    <w:rsid w:val="003B1ADA"/>
    <w:rsid w:val="003B2B9A"/>
    <w:rsid w:val="003B35D6"/>
    <w:rsid w:val="003B470D"/>
    <w:rsid w:val="003B5230"/>
    <w:rsid w:val="003B525E"/>
    <w:rsid w:val="003B5480"/>
    <w:rsid w:val="003B5CD6"/>
    <w:rsid w:val="003B6F31"/>
    <w:rsid w:val="003B785B"/>
    <w:rsid w:val="003C0615"/>
    <w:rsid w:val="003C134F"/>
    <w:rsid w:val="003C289B"/>
    <w:rsid w:val="003C2C4D"/>
    <w:rsid w:val="003C6043"/>
    <w:rsid w:val="003D1402"/>
    <w:rsid w:val="003D2962"/>
    <w:rsid w:val="003D2FCB"/>
    <w:rsid w:val="003D34B3"/>
    <w:rsid w:val="003D54AD"/>
    <w:rsid w:val="003D579C"/>
    <w:rsid w:val="003D6752"/>
    <w:rsid w:val="003E4FEF"/>
    <w:rsid w:val="003E6058"/>
    <w:rsid w:val="003E631E"/>
    <w:rsid w:val="003E7D99"/>
    <w:rsid w:val="003E7F32"/>
    <w:rsid w:val="003F04E4"/>
    <w:rsid w:val="003F10F7"/>
    <w:rsid w:val="003F22B5"/>
    <w:rsid w:val="003F263E"/>
    <w:rsid w:val="003F30B3"/>
    <w:rsid w:val="003F390F"/>
    <w:rsid w:val="003F3999"/>
    <w:rsid w:val="003F6265"/>
    <w:rsid w:val="004007C9"/>
    <w:rsid w:val="00401374"/>
    <w:rsid w:val="00402077"/>
    <w:rsid w:val="004049D8"/>
    <w:rsid w:val="00405C9D"/>
    <w:rsid w:val="00405FB5"/>
    <w:rsid w:val="004064E6"/>
    <w:rsid w:val="004066BC"/>
    <w:rsid w:val="004066E4"/>
    <w:rsid w:val="0040677A"/>
    <w:rsid w:val="00407791"/>
    <w:rsid w:val="0041057F"/>
    <w:rsid w:val="00411584"/>
    <w:rsid w:val="00412771"/>
    <w:rsid w:val="004135B9"/>
    <w:rsid w:val="00413C1A"/>
    <w:rsid w:val="00413F0C"/>
    <w:rsid w:val="00414448"/>
    <w:rsid w:val="004149D2"/>
    <w:rsid w:val="00417F6D"/>
    <w:rsid w:val="00420272"/>
    <w:rsid w:val="004217D3"/>
    <w:rsid w:val="00421B07"/>
    <w:rsid w:val="004232F2"/>
    <w:rsid w:val="00423464"/>
    <w:rsid w:val="00424BDA"/>
    <w:rsid w:val="0042536A"/>
    <w:rsid w:val="00426C88"/>
    <w:rsid w:val="00426DB7"/>
    <w:rsid w:val="00430558"/>
    <w:rsid w:val="00430F51"/>
    <w:rsid w:val="004312AC"/>
    <w:rsid w:val="004317CA"/>
    <w:rsid w:val="0043281D"/>
    <w:rsid w:val="004328AB"/>
    <w:rsid w:val="00433008"/>
    <w:rsid w:val="00433389"/>
    <w:rsid w:val="00435B66"/>
    <w:rsid w:val="00440F62"/>
    <w:rsid w:val="004426F3"/>
    <w:rsid w:val="00444821"/>
    <w:rsid w:val="00445FAB"/>
    <w:rsid w:val="00446F66"/>
    <w:rsid w:val="004477B7"/>
    <w:rsid w:val="00447ED6"/>
    <w:rsid w:val="00447F26"/>
    <w:rsid w:val="0045143B"/>
    <w:rsid w:val="00451D0E"/>
    <w:rsid w:val="00454890"/>
    <w:rsid w:val="00454AC8"/>
    <w:rsid w:val="00456264"/>
    <w:rsid w:val="004563F1"/>
    <w:rsid w:val="0046075D"/>
    <w:rsid w:val="004619DA"/>
    <w:rsid w:val="00465164"/>
    <w:rsid w:val="00465241"/>
    <w:rsid w:val="00465F51"/>
    <w:rsid w:val="00467B2E"/>
    <w:rsid w:val="00470AEA"/>
    <w:rsid w:val="00471F38"/>
    <w:rsid w:val="00472FF6"/>
    <w:rsid w:val="0047455C"/>
    <w:rsid w:val="0047482E"/>
    <w:rsid w:val="00474D44"/>
    <w:rsid w:val="00477AD3"/>
    <w:rsid w:val="00480B42"/>
    <w:rsid w:val="0048112F"/>
    <w:rsid w:val="0048123F"/>
    <w:rsid w:val="00482253"/>
    <w:rsid w:val="004827B1"/>
    <w:rsid w:val="00484836"/>
    <w:rsid w:val="0048683E"/>
    <w:rsid w:val="00486DE9"/>
    <w:rsid w:val="00486F0B"/>
    <w:rsid w:val="00487BD3"/>
    <w:rsid w:val="004908CE"/>
    <w:rsid w:val="00490EFF"/>
    <w:rsid w:val="004912F2"/>
    <w:rsid w:val="00492DE4"/>
    <w:rsid w:val="00494E1F"/>
    <w:rsid w:val="00494FCA"/>
    <w:rsid w:val="00495A4A"/>
    <w:rsid w:val="004961BA"/>
    <w:rsid w:val="004A21C3"/>
    <w:rsid w:val="004A28F8"/>
    <w:rsid w:val="004A38A6"/>
    <w:rsid w:val="004A5E06"/>
    <w:rsid w:val="004A7985"/>
    <w:rsid w:val="004B126C"/>
    <w:rsid w:val="004B1477"/>
    <w:rsid w:val="004B3D80"/>
    <w:rsid w:val="004B4537"/>
    <w:rsid w:val="004B73A7"/>
    <w:rsid w:val="004C1691"/>
    <w:rsid w:val="004C2221"/>
    <w:rsid w:val="004C23C8"/>
    <w:rsid w:val="004C31E9"/>
    <w:rsid w:val="004C3AD6"/>
    <w:rsid w:val="004C3D9D"/>
    <w:rsid w:val="004C51C1"/>
    <w:rsid w:val="004C714C"/>
    <w:rsid w:val="004C74BD"/>
    <w:rsid w:val="004D0081"/>
    <w:rsid w:val="004D1234"/>
    <w:rsid w:val="004D1C37"/>
    <w:rsid w:val="004D24EC"/>
    <w:rsid w:val="004D3017"/>
    <w:rsid w:val="004D430B"/>
    <w:rsid w:val="004D7718"/>
    <w:rsid w:val="004E05C8"/>
    <w:rsid w:val="004E1418"/>
    <w:rsid w:val="004E1B07"/>
    <w:rsid w:val="004E1E55"/>
    <w:rsid w:val="004E23B3"/>
    <w:rsid w:val="004E4106"/>
    <w:rsid w:val="004E49E4"/>
    <w:rsid w:val="004E4F18"/>
    <w:rsid w:val="004E5E72"/>
    <w:rsid w:val="004E5E84"/>
    <w:rsid w:val="004E7325"/>
    <w:rsid w:val="004F0890"/>
    <w:rsid w:val="004F3DE2"/>
    <w:rsid w:val="004F47DD"/>
    <w:rsid w:val="004F48C9"/>
    <w:rsid w:val="004F5849"/>
    <w:rsid w:val="004F5D18"/>
    <w:rsid w:val="004F5DFD"/>
    <w:rsid w:val="004F6ABC"/>
    <w:rsid w:val="00500A72"/>
    <w:rsid w:val="00500B0A"/>
    <w:rsid w:val="00502E22"/>
    <w:rsid w:val="005044A3"/>
    <w:rsid w:val="00504F9B"/>
    <w:rsid w:val="0050507B"/>
    <w:rsid w:val="00505A45"/>
    <w:rsid w:val="00507583"/>
    <w:rsid w:val="00511FB5"/>
    <w:rsid w:val="005149BA"/>
    <w:rsid w:val="00514A2B"/>
    <w:rsid w:val="00514BE8"/>
    <w:rsid w:val="00514BFD"/>
    <w:rsid w:val="00515ED1"/>
    <w:rsid w:val="00516143"/>
    <w:rsid w:val="0051617A"/>
    <w:rsid w:val="00516B18"/>
    <w:rsid w:val="005178B1"/>
    <w:rsid w:val="005206AD"/>
    <w:rsid w:val="00520993"/>
    <w:rsid w:val="00520B6D"/>
    <w:rsid w:val="005221FD"/>
    <w:rsid w:val="005229F8"/>
    <w:rsid w:val="005238F0"/>
    <w:rsid w:val="00525387"/>
    <w:rsid w:val="00526EE8"/>
    <w:rsid w:val="005306F5"/>
    <w:rsid w:val="0053183D"/>
    <w:rsid w:val="00531868"/>
    <w:rsid w:val="00531E60"/>
    <w:rsid w:val="00532045"/>
    <w:rsid w:val="005333A6"/>
    <w:rsid w:val="00533D8F"/>
    <w:rsid w:val="005346C1"/>
    <w:rsid w:val="00534DED"/>
    <w:rsid w:val="005367A3"/>
    <w:rsid w:val="00536DFA"/>
    <w:rsid w:val="00536E6E"/>
    <w:rsid w:val="00537078"/>
    <w:rsid w:val="005408A7"/>
    <w:rsid w:val="0054145C"/>
    <w:rsid w:val="0054229C"/>
    <w:rsid w:val="00542641"/>
    <w:rsid w:val="0054358E"/>
    <w:rsid w:val="00544553"/>
    <w:rsid w:val="005447E1"/>
    <w:rsid w:val="00547122"/>
    <w:rsid w:val="0054726B"/>
    <w:rsid w:val="005473D4"/>
    <w:rsid w:val="00547880"/>
    <w:rsid w:val="00550F9D"/>
    <w:rsid w:val="005510A6"/>
    <w:rsid w:val="00553002"/>
    <w:rsid w:val="00553079"/>
    <w:rsid w:val="00553E86"/>
    <w:rsid w:val="00553FE0"/>
    <w:rsid w:val="00554F78"/>
    <w:rsid w:val="0055518B"/>
    <w:rsid w:val="0055772C"/>
    <w:rsid w:val="00561BD6"/>
    <w:rsid w:val="00561FBB"/>
    <w:rsid w:val="0056254E"/>
    <w:rsid w:val="005639E6"/>
    <w:rsid w:val="00564162"/>
    <w:rsid w:val="005645BA"/>
    <w:rsid w:val="005651B7"/>
    <w:rsid w:val="00565319"/>
    <w:rsid w:val="005678E3"/>
    <w:rsid w:val="00567D42"/>
    <w:rsid w:val="00572158"/>
    <w:rsid w:val="0057236F"/>
    <w:rsid w:val="00572D58"/>
    <w:rsid w:val="005732ED"/>
    <w:rsid w:val="00574531"/>
    <w:rsid w:val="00575052"/>
    <w:rsid w:val="00576157"/>
    <w:rsid w:val="005763DF"/>
    <w:rsid w:val="00576DC1"/>
    <w:rsid w:val="00577287"/>
    <w:rsid w:val="00580247"/>
    <w:rsid w:val="00580295"/>
    <w:rsid w:val="00581884"/>
    <w:rsid w:val="00582712"/>
    <w:rsid w:val="005832F3"/>
    <w:rsid w:val="00583459"/>
    <w:rsid w:val="0058498F"/>
    <w:rsid w:val="0058542D"/>
    <w:rsid w:val="005858F2"/>
    <w:rsid w:val="00586707"/>
    <w:rsid w:val="00586DF7"/>
    <w:rsid w:val="00587D95"/>
    <w:rsid w:val="00590540"/>
    <w:rsid w:val="00590A46"/>
    <w:rsid w:val="005914BC"/>
    <w:rsid w:val="00591F93"/>
    <w:rsid w:val="0059328D"/>
    <w:rsid w:val="00594B4A"/>
    <w:rsid w:val="00596060"/>
    <w:rsid w:val="005A0377"/>
    <w:rsid w:val="005A3666"/>
    <w:rsid w:val="005A476D"/>
    <w:rsid w:val="005A4960"/>
    <w:rsid w:val="005A7251"/>
    <w:rsid w:val="005A72E2"/>
    <w:rsid w:val="005A7CAF"/>
    <w:rsid w:val="005A7DBB"/>
    <w:rsid w:val="005B0536"/>
    <w:rsid w:val="005B0639"/>
    <w:rsid w:val="005B06ED"/>
    <w:rsid w:val="005B0F38"/>
    <w:rsid w:val="005B1E6A"/>
    <w:rsid w:val="005B26C2"/>
    <w:rsid w:val="005B3D23"/>
    <w:rsid w:val="005B45D1"/>
    <w:rsid w:val="005B6296"/>
    <w:rsid w:val="005B65A1"/>
    <w:rsid w:val="005B7980"/>
    <w:rsid w:val="005C1B80"/>
    <w:rsid w:val="005C35AE"/>
    <w:rsid w:val="005C49FB"/>
    <w:rsid w:val="005C6416"/>
    <w:rsid w:val="005C6761"/>
    <w:rsid w:val="005C6EB6"/>
    <w:rsid w:val="005D00B5"/>
    <w:rsid w:val="005D2DD4"/>
    <w:rsid w:val="005D42AB"/>
    <w:rsid w:val="005D4D9F"/>
    <w:rsid w:val="005D50D7"/>
    <w:rsid w:val="005D5167"/>
    <w:rsid w:val="005D632B"/>
    <w:rsid w:val="005D68DA"/>
    <w:rsid w:val="005D6C29"/>
    <w:rsid w:val="005D6C3D"/>
    <w:rsid w:val="005D6FDE"/>
    <w:rsid w:val="005D71DB"/>
    <w:rsid w:val="005D7329"/>
    <w:rsid w:val="005E06A6"/>
    <w:rsid w:val="005E113C"/>
    <w:rsid w:val="005E13A1"/>
    <w:rsid w:val="005E144A"/>
    <w:rsid w:val="005E22A2"/>
    <w:rsid w:val="005E2869"/>
    <w:rsid w:val="005E3491"/>
    <w:rsid w:val="005E3E02"/>
    <w:rsid w:val="005E5F06"/>
    <w:rsid w:val="005E7321"/>
    <w:rsid w:val="005E7CDB"/>
    <w:rsid w:val="005F03B8"/>
    <w:rsid w:val="005F0D01"/>
    <w:rsid w:val="005F1428"/>
    <w:rsid w:val="005F2DB3"/>
    <w:rsid w:val="005F3EDB"/>
    <w:rsid w:val="005F497A"/>
    <w:rsid w:val="005F49FE"/>
    <w:rsid w:val="005F4D83"/>
    <w:rsid w:val="005F5F9E"/>
    <w:rsid w:val="00601E88"/>
    <w:rsid w:val="00603139"/>
    <w:rsid w:val="00604201"/>
    <w:rsid w:val="00605791"/>
    <w:rsid w:val="0060772D"/>
    <w:rsid w:val="006077C3"/>
    <w:rsid w:val="006125DA"/>
    <w:rsid w:val="0061264E"/>
    <w:rsid w:val="00613431"/>
    <w:rsid w:val="00613929"/>
    <w:rsid w:val="00613BA1"/>
    <w:rsid w:val="00613D47"/>
    <w:rsid w:val="00613F2E"/>
    <w:rsid w:val="0061464E"/>
    <w:rsid w:val="00614D1A"/>
    <w:rsid w:val="0061680F"/>
    <w:rsid w:val="00616D1F"/>
    <w:rsid w:val="0061707D"/>
    <w:rsid w:val="006172D6"/>
    <w:rsid w:val="00617381"/>
    <w:rsid w:val="00621245"/>
    <w:rsid w:val="00621335"/>
    <w:rsid w:val="00623511"/>
    <w:rsid w:val="0062482E"/>
    <w:rsid w:val="00625D9F"/>
    <w:rsid w:val="0062612D"/>
    <w:rsid w:val="006268C3"/>
    <w:rsid w:val="00626908"/>
    <w:rsid w:val="00626FF7"/>
    <w:rsid w:val="00627068"/>
    <w:rsid w:val="006272F3"/>
    <w:rsid w:val="00627E74"/>
    <w:rsid w:val="006339BF"/>
    <w:rsid w:val="00634671"/>
    <w:rsid w:val="00634BF6"/>
    <w:rsid w:val="006358CD"/>
    <w:rsid w:val="00635D9A"/>
    <w:rsid w:val="00636530"/>
    <w:rsid w:val="006374B9"/>
    <w:rsid w:val="00637C3F"/>
    <w:rsid w:val="00640C92"/>
    <w:rsid w:val="00642121"/>
    <w:rsid w:val="00643873"/>
    <w:rsid w:val="00644049"/>
    <w:rsid w:val="00644A3B"/>
    <w:rsid w:val="00644B3E"/>
    <w:rsid w:val="0064622B"/>
    <w:rsid w:val="0064704D"/>
    <w:rsid w:val="00647555"/>
    <w:rsid w:val="00647D31"/>
    <w:rsid w:val="0065076C"/>
    <w:rsid w:val="00650BB8"/>
    <w:rsid w:val="006534A3"/>
    <w:rsid w:val="00653AF3"/>
    <w:rsid w:val="006550CE"/>
    <w:rsid w:val="006566A6"/>
    <w:rsid w:val="0065673C"/>
    <w:rsid w:val="00656B98"/>
    <w:rsid w:val="0065789E"/>
    <w:rsid w:val="00660FF7"/>
    <w:rsid w:val="006625C8"/>
    <w:rsid w:val="00662BB4"/>
    <w:rsid w:val="00663165"/>
    <w:rsid w:val="00663C06"/>
    <w:rsid w:val="00663D41"/>
    <w:rsid w:val="006644B2"/>
    <w:rsid w:val="006648D4"/>
    <w:rsid w:val="00664C36"/>
    <w:rsid w:val="006650A5"/>
    <w:rsid w:val="006657B2"/>
    <w:rsid w:val="006721CC"/>
    <w:rsid w:val="006731A7"/>
    <w:rsid w:val="00673283"/>
    <w:rsid w:val="006733A1"/>
    <w:rsid w:val="006735E6"/>
    <w:rsid w:val="00674547"/>
    <w:rsid w:val="00674625"/>
    <w:rsid w:val="0067514B"/>
    <w:rsid w:val="00677C8D"/>
    <w:rsid w:val="00680927"/>
    <w:rsid w:val="00681B6D"/>
    <w:rsid w:val="00682B3C"/>
    <w:rsid w:val="006837C5"/>
    <w:rsid w:val="006852D2"/>
    <w:rsid w:val="00686120"/>
    <w:rsid w:val="006863DB"/>
    <w:rsid w:val="006867E6"/>
    <w:rsid w:val="00687088"/>
    <w:rsid w:val="00687B26"/>
    <w:rsid w:val="00687D3A"/>
    <w:rsid w:val="00690847"/>
    <w:rsid w:val="00690BD0"/>
    <w:rsid w:val="006914C8"/>
    <w:rsid w:val="00691973"/>
    <w:rsid w:val="006921B6"/>
    <w:rsid w:val="006955FD"/>
    <w:rsid w:val="00695674"/>
    <w:rsid w:val="006A1566"/>
    <w:rsid w:val="006A17FA"/>
    <w:rsid w:val="006A1ADD"/>
    <w:rsid w:val="006A3001"/>
    <w:rsid w:val="006A30DF"/>
    <w:rsid w:val="006A6505"/>
    <w:rsid w:val="006A65F8"/>
    <w:rsid w:val="006A69D4"/>
    <w:rsid w:val="006B0162"/>
    <w:rsid w:val="006B0EB5"/>
    <w:rsid w:val="006B1739"/>
    <w:rsid w:val="006B1B85"/>
    <w:rsid w:val="006B2171"/>
    <w:rsid w:val="006B444C"/>
    <w:rsid w:val="006B5EC5"/>
    <w:rsid w:val="006B734D"/>
    <w:rsid w:val="006B7E99"/>
    <w:rsid w:val="006C02C0"/>
    <w:rsid w:val="006C2AB7"/>
    <w:rsid w:val="006C2E4E"/>
    <w:rsid w:val="006C3FE4"/>
    <w:rsid w:val="006C4026"/>
    <w:rsid w:val="006C61CD"/>
    <w:rsid w:val="006C65D5"/>
    <w:rsid w:val="006C681C"/>
    <w:rsid w:val="006C7641"/>
    <w:rsid w:val="006D0246"/>
    <w:rsid w:val="006D41BF"/>
    <w:rsid w:val="006D6332"/>
    <w:rsid w:val="006D64DF"/>
    <w:rsid w:val="006D6D00"/>
    <w:rsid w:val="006D7827"/>
    <w:rsid w:val="006D7FE9"/>
    <w:rsid w:val="006E0E56"/>
    <w:rsid w:val="006E11DC"/>
    <w:rsid w:val="006E254F"/>
    <w:rsid w:val="006E25CC"/>
    <w:rsid w:val="006E2AE2"/>
    <w:rsid w:val="006E2BB0"/>
    <w:rsid w:val="006E316E"/>
    <w:rsid w:val="006E40BA"/>
    <w:rsid w:val="006E4238"/>
    <w:rsid w:val="006E51F2"/>
    <w:rsid w:val="006E66D5"/>
    <w:rsid w:val="006F615D"/>
    <w:rsid w:val="006F66C5"/>
    <w:rsid w:val="006F6C69"/>
    <w:rsid w:val="006F7DED"/>
    <w:rsid w:val="00700FCB"/>
    <w:rsid w:val="0070206E"/>
    <w:rsid w:val="007029A9"/>
    <w:rsid w:val="00703F22"/>
    <w:rsid w:val="00704C8D"/>
    <w:rsid w:val="00707118"/>
    <w:rsid w:val="007078EC"/>
    <w:rsid w:val="00710177"/>
    <w:rsid w:val="007106E8"/>
    <w:rsid w:val="00711E78"/>
    <w:rsid w:val="007129DE"/>
    <w:rsid w:val="007131A6"/>
    <w:rsid w:val="0071410D"/>
    <w:rsid w:val="007149D9"/>
    <w:rsid w:val="00714B15"/>
    <w:rsid w:val="00714FCC"/>
    <w:rsid w:val="00715890"/>
    <w:rsid w:val="00715958"/>
    <w:rsid w:val="00717DA4"/>
    <w:rsid w:val="00720313"/>
    <w:rsid w:val="00720562"/>
    <w:rsid w:val="007213A2"/>
    <w:rsid w:val="00721416"/>
    <w:rsid w:val="00721E32"/>
    <w:rsid w:val="00722001"/>
    <w:rsid w:val="007250AF"/>
    <w:rsid w:val="0072551B"/>
    <w:rsid w:val="007257A4"/>
    <w:rsid w:val="00726405"/>
    <w:rsid w:val="0072688E"/>
    <w:rsid w:val="00727142"/>
    <w:rsid w:val="00727726"/>
    <w:rsid w:val="00727AB3"/>
    <w:rsid w:val="00727DEA"/>
    <w:rsid w:val="00730705"/>
    <w:rsid w:val="00730E2A"/>
    <w:rsid w:val="00730F47"/>
    <w:rsid w:val="007328C8"/>
    <w:rsid w:val="00732982"/>
    <w:rsid w:val="00732997"/>
    <w:rsid w:val="00732D7C"/>
    <w:rsid w:val="00732EDE"/>
    <w:rsid w:val="00734340"/>
    <w:rsid w:val="00734D6F"/>
    <w:rsid w:val="007364C8"/>
    <w:rsid w:val="00736EFE"/>
    <w:rsid w:val="00737947"/>
    <w:rsid w:val="007408A5"/>
    <w:rsid w:val="0074153F"/>
    <w:rsid w:val="00741E9E"/>
    <w:rsid w:val="007423AB"/>
    <w:rsid w:val="007439DE"/>
    <w:rsid w:val="0074599F"/>
    <w:rsid w:val="00745CFB"/>
    <w:rsid w:val="0074664E"/>
    <w:rsid w:val="00746C87"/>
    <w:rsid w:val="00747552"/>
    <w:rsid w:val="00750471"/>
    <w:rsid w:val="00751D76"/>
    <w:rsid w:val="00752306"/>
    <w:rsid w:val="007527BD"/>
    <w:rsid w:val="00752D9C"/>
    <w:rsid w:val="00754BA3"/>
    <w:rsid w:val="00755775"/>
    <w:rsid w:val="00755DBE"/>
    <w:rsid w:val="007563BE"/>
    <w:rsid w:val="007607C4"/>
    <w:rsid w:val="00760A89"/>
    <w:rsid w:val="0076299E"/>
    <w:rsid w:val="00763274"/>
    <w:rsid w:val="007636B1"/>
    <w:rsid w:val="00763D98"/>
    <w:rsid w:val="007642B7"/>
    <w:rsid w:val="00766717"/>
    <w:rsid w:val="00766DF1"/>
    <w:rsid w:val="00766F68"/>
    <w:rsid w:val="00766FD5"/>
    <w:rsid w:val="0076730C"/>
    <w:rsid w:val="00771580"/>
    <w:rsid w:val="00773306"/>
    <w:rsid w:val="007743B9"/>
    <w:rsid w:val="0077529A"/>
    <w:rsid w:val="0077665F"/>
    <w:rsid w:val="00777BAA"/>
    <w:rsid w:val="00777D42"/>
    <w:rsid w:val="00780213"/>
    <w:rsid w:val="007803F5"/>
    <w:rsid w:val="00780466"/>
    <w:rsid w:val="007843A3"/>
    <w:rsid w:val="0078789E"/>
    <w:rsid w:val="007912F3"/>
    <w:rsid w:val="0079137F"/>
    <w:rsid w:val="00795F32"/>
    <w:rsid w:val="00796CAC"/>
    <w:rsid w:val="0079753C"/>
    <w:rsid w:val="007A0E6C"/>
    <w:rsid w:val="007A251A"/>
    <w:rsid w:val="007A6CBF"/>
    <w:rsid w:val="007A7573"/>
    <w:rsid w:val="007B287E"/>
    <w:rsid w:val="007B316C"/>
    <w:rsid w:val="007B3EBA"/>
    <w:rsid w:val="007B5191"/>
    <w:rsid w:val="007C0E35"/>
    <w:rsid w:val="007C0EEB"/>
    <w:rsid w:val="007C14C4"/>
    <w:rsid w:val="007C2090"/>
    <w:rsid w:val="007C2631"/>
    <w:rsid w:val="007C3083"/>
    <w:rsid w:val="007C58E5"/>
    <w:rsid w:val="007C5B91"/>
    <w:rsid w:val="007C6ABE"/>
    <w:rsid w:val="007C7197"/>
    <w:rsid w:val="007D1204"/>
    <w:rsid w:val="007D2D78"/>
    <w:rsid w:val="007D39EF"/>
    <w:rsid w:val="007D3EBB"/>
    <w:rsid w:val="007D3FEF"/>
    <w:rsid w:val="007D4E6A"/>
    <w:rsid w:val="007D4E87"/>
    <w:rsid w:val="007D56BF"/>
    <w:rsid w:val="007D56F1"/>
    <w:rsid w:val="007D5CCF"/>
    <w:rsid w:val="007D6367"/>
    <w:rsid w:val="007D7507"/>
    <w:rsid w:val="007D7BA3"/>
    <w:rsid w:val="007E02DA"/>
    <w:rsid w:val="007E0D64"/>
    <w:rsid w:val="007E41BA"/>
    <w:rsid w:val="007E44E4"/>
    <w:rsid w:val="007E4F85"/>
    <w:rsid w:val="007E6506"/>
    <w:rsid w:val="007E680C"/>
    <w:rsid w:val="007F2F85"/>
    <w:rsid w:val="007F34FC"/>
    <w:rsid w:val="007F4CD9"/>
    <w:rsid w:val="007F5AF7"/>
    <w:rsid w:val="007F6119"/>
    <w:rsid w:val="007F6C72"/>
    <w:rsid w:val="007F7AA6"/>
    <w:rsid w:val="008000E5"/>
    <w:rsid w:val="008004EF"/>
    <w:rsid w:val="0080109B"/>
    <w:rsid w:val="00802449"/>
    <w:rsid w:val="0080266B"/>
    <w:rsid w:val="00802C21"/>
    <w:rsid w:val="00802C2C"/>
    <w:rsid w:val="00802E8D"/>
    <w:rsid w:val="00803C50"/>
    <w:rsid w:val="00804965"/>
    <w:rsid w:val="00805578"/>
    <w:rsid w:val="0080676C"/>
    <w:rsid w:val="0080764B"/>
    <w:rsid w:val="0080780B"/>
    <w:rsid w:val="00810BDD"/>
    <w:rsid w:val="008115FF"/>
    <w:rsid w:val="00811DB5"/>
    <w:rsid w:val="00812676"/>
    <w:rsid w:val="00813226"/>
    <w:rsid w:val="00813E53"/>
    <w:rsid w:val="008157DE"/>
    <w:rsid w:val="00816FEB"/>
    <w:rsid w:val="0081700F"/>
    <w:rsid w:val="0081798F"/>
    <w:rsid w:val="00817F85"/>
    <w:rsid w:val="0082210E"/>
    <w:rsid w:val="0082255F"/>
    <w:rsid w:val="00822FCD"/>
    <w:rsid w:val="00823143"/>
    <w:rsid w:val="0082336D"/>
    <w:rsid w:val="00823E0E"/>
    <w:rsid w:val="00823F90"/>
    <w:rsid w:val="008243AC"/>
    <w:rsid w:val="008248B3"/>
    <w:rsid w:val="00824950"/>
    <w:rsid w:val="0082611E"/>
    <w:rsid w:val="0082765D"/>
    <w:rsid w:val="00827E79"/>
    <w:rsid w:val="0083245D"/>
    <w:rsid w:val="00832AF3"/>
    <w:rsid w:val="0083482B"/>
    <w:rsid w:val="00834A48"/>
    <w:rsid w:val="00834F5A"/>
    <w:rsid w:val="00835BAE"/>
    <w:rsid w:val="0083738C"/>
    <w:rsid w:val="008404CB"/>
    <w:rsid w:val="00841311"/>
    <w:rsid w:val="00841B16"/>
    <w:rsid w:val="0084301F"/>
    <w:rsid w:val="008430A3"/>
    <w:rsid w:val="008449D7"/>
    <w:rsid w:val="00845D97"/>
    <w:rsid w:val="00847C9C"/>
    <w:rsid w:val="00850BEF"/>
    <w:rsid w:val="00853BC5"/>
    <w:rsid w:val="00854669"/>
    <w:rsid w:val="008576C9"/>
    <w:rsid w:val="00860F3A"/>
    <w:rsid w:val="00864AB5"/>
    <w:rsid w:val="00866454"/>
    <w:rsid w:val="00866A3A"/>
    <w:rsid w:val="00870693"/>
    <w:rsid w:val="00870DF7"/>
    <w:rsid w:val="0087109B"/>
    <w:rsid w:val="0087134A"/>
    <w:rsid w:val="00871774"/>
    <w:rsid w:val="008751B7"/>
    <w:rsid w:val="008770B8"/>
    <w:rsid w:val="008813F1"/>
    <w:rsid w:val="008816F2"/>
    <w:rsid w:val="008833A7"/>
    <w:rsid w:val="008834A1"/>
    <w:rsid w:val="008836A6"/>
    <w:rsid w:val="008864B2"/>
    <w:rsid w:val="008869B0"/>
    <w:rsid w:val="008870D8"/>
    <w:rsid w:val="008908B7"/>
    <w:rsid w:val="00892684"/>
    <w:rsid w:val="008969E5"/>
    <w:rsid w:val="008977A0"/>
    <w:rsid w:val="008A1344"/>
    <w:rsid w:val="008A1F6E"/>
    <w:rsid w:val="008A300E"/>
    <w:rsid w:val="008A3587"/>
    <w:rsid w:val="008A388F"/>
    <w:rsid w:val="008A39C1"/>
    <w:rsid w:val="008A3CAE"/>
    <w:rsid w:val="008A40A7"/>
    <w:rsid w:val="008A4412"/>
    <w:rsid w:val="008A596D"/>
    <w:rsid w:val="008A5C1C"/>
    <w:rsid w:val="008A7100"/>
    <w:rsid w:val="008A7120"/>
    <w:rsid w:val="008A76AB"/>
    <w:rsid w:val="008A7FE9"/>
    <w:rsid w:val="008B167A"/>
    <w:rsid w:val="008B1F8B"/>
    <w:rsid w:val="008B360C"/>
    <w:rsid w:val="008B37C1"/>
    <w:rsid w:val="008B4061"/>
    <w:rsid w:val="008B4442"/>
    <w:rsid w:val="008B543B"/>
    <w:rsid w:val="008B5485"/>
    <w:rsid w:val="008B7AEF"/>
    <w:rsid w:val="008B7D2E"/>
    <w:rsid w:val="008C0555"/>
    <w:rsid w:val="008C0B3D"/>
    <w:rsid w:val="008C1610"/>
    <w:rsid w:val="008C18BA"/>
    <w:rsid w:val="008C35E1"/>
    <w:rsid w:val="008C464C"/>
    <w:rsid w:val="008C6147"/>
    <w:rsid w:val="008C6F41"/>
    <w:rsid w:val="008D0653"/>
    <w:rsid w:val="008D0ACC"/>
    <w:rsid w:val="008D114E"/>
    <w:rsid w:val="008D20CA"/>
    <w:rsid w:val="008D2B49"/>
    <w:rsid w:val="008D47DE"/>
    <w:rsid w:val="008D6DB4"/>
    <w:rsid w:val="008E00F0"/>
    <w:rsid w:val="008E1B5E"/>
    <w:rsid w:val="008E26AF"/>
    <w:rsid w:val="008E2D16"/>
    <w:rsid w:val="008E3D00"/>
    <w:rsid w:val="008E3FAD"/>
    <w:rsid w:val="008E493F"/>
    <w:rsid w:val="008E4D85"/>
    <w:rsid w:val="008E5854"/>
    <w:rsid w:val="008E74AD"/>
    <w:rsid w:val="008E7562"/>
    <w:rsid w:val="008E7F5D"/>
    <w:rsid w:val="008F03B5"/>
    <w:rsid w:val="008F050D"/>
    <w:rsid w:val="008F1400"/>
    <w:rsid w:val="008F2005"/>
    <w:rsid w:val="008F25C7"/>
    <w:rsid w:val="008F31D4"/>
    <w:rsid w:val="008F4E9C"/>
    <w:rsid w:val="008F5AD0"/>
    <w:rsid w:val="00901F2D"/>
    <w:rsid w:val="00903499"/>
    <w:rsid w:val="00903731"/>
    <w:rsid w:val="00903C25"/>
    <w:rsid w:val="009054CE"/>
    <w:rsid w:val="00906514"/>
    <w:rsid w:val="00910BBF"/>
    <w:rsid w:val="009115BC"/>
    <w:rsid w:val="009121DC"/>
    <w:rsid w:val="009126B3"/>
    <w:rsid w:val="00913B89"/>
    <w:rsid w:val="00913C0A"/>
    <w:rsid w:val="00913EA4"/>
    <w:rsid w:val="009151AA"/>
    <w:rsid w:val="009157D0"/>
    <w:rsid w:val="00916C3C"/>
    <w:rsid w:val="009175AF"/>
    <w:rsid w:val="009206F1"/>
    <w:rsid w:val="0092085C"/>
    <w:rsid w:val="00920CF8"/>
    <w:rsid w:val="00920D16"/>
    <w:rsid w:val="00920E8D"/>
    <w:rsid w:val="009218D5"/>
    <w:rsid w:val="00921D63"/>
    <w:rsid w:val="0092212D"/>
    <w:rsid w:val="0092252C"/>
    <w:rsid w:val="0092283B"/>
    <w:rsid w:val="00922B3A"/>
    <w:rsid w:val="009230D8"/>
    <w:rsid w:val="009234E7"/>
    <w:rsid w:val="00923CFB"/>
    <w:rsid w:val="00923CFE"/>
    <w:rsid w:val="00924138"/>
    <w:rsid w:val="00924A93"/>
    <w:rsid w:val="00925862"/>
    <w:rsid w:val="00926BA1"/>
    <w:rsid w:val="00930428"/>
    <w:rsid w:val="00930EC6"/>
    <w:rsid w:val="009323E5"/>
    <w:rsid w:val="0093242E"/>
    <w:rsid w:val="00932B0D"/>
    <w:rsid w:val="00933181"/>
    <w:rsid w:val="00933B7F"/>
    <w:rsid w:val="009341DD"/>
    <w:rsid w:val="009353B2"/>
    <w:rsid w:val="00935858"/>
    <w:rsid w:val="009414DE"/>
    <w:rsid w:val="00941847"/>
    <w:rsid w:val="00941AA9"/>
    <w:rsid w:val="0094335F"/>
    <w:rsid w:val="00944E7E"/>
    <w:rsid w:val="00945473"/>
    <w:rsid w:val="009460B7"/>
    <w:rsid w:val="00946218"/>
    <w:rsid w:val="009467BD"/>
    <w:rsid w:val="00946EE0"/>
    <w:rsid w:val="00947E33"/>
    <w:rsid w:val="00950F16"/>
    <w:rsid w:val="00952307"/>
    <w:rsid w:val="009529E9"/>
    <w:rsid w:val="009533E5"/>
    <w:rsid w:val="0095612F"/>
    <w:rsid w:val="00956C0B"/>
    <w:rsid w:val="00956EA2"/>
    <w:rsid w:val="0095700E"/>
    <w:rsid w:val="009578CD"/>
    <w:rsid w:val="00960209"/>
    <w:rsid w:val="00960AB0"/>
    <w:rsid w:val="00961902"/>
    <w:rsid w:val="00961C01"/>
    <w:rsid w:val="00962658"/>
    <w:rsid w:val="00963948"/>
    <w:rsid w:val="00963AF4"/>
    <w:rsid w:val="00965638"/>
    <w:rsid w:val="00967528"/>
    <w:rsid w:val="00970EDB"/>
    <w:rsid w:val="00972CC9"/>
    <w:rsid w:val="00972F1D"/>
    <w:rsid w:val="009734EC"/>
    <w:rsid w:val="009772D3"/>
    <w:rsid w:val="009778C0"/>
    <w:rsid w:val="00977B05"/>
    <w:rsid w:val="00980AB1"/>
    <w:rsid w:val="009813F5"/>
    <w:rsid w:val="0098168D"/>
    <w:rsid w:val="0098215E"/>
    <w:rsid w:val="00984083"/>
    <w:rsid w:val="00984B38"/>
    <w:rsid w:val="00985349"/>
    <w:rsid w:val="009853A9"/>
    <w:rsid w:val="00986278"/>
    <w:rsid w:val="00986785"/>
    <w:rsid w:val="00986992"/>
    <w:rsid w:val="00987A9A"/>
    <w:rsid w:val="0099060C"/>
    <w:rsid w:val="00990B32"/>
    <w:rsid w:val="00991602"/>
    <w:rsid w:val="00991D29"/>
    <w:rsid w:val="009922C9"/>
    <w:rsid w:val="0099393C"/>
    <w:rsid w:val="00993B54"/>
    <w:rsid w:val="0099428B"/>
    <w:rsid w:val="0099430E"/>
    <w:rsid w:val="009948C1"/>
    <w:rsid w:val="00995A70"/>
    <w:rsid w:val="00997AC7"/>
    <w:rsid w:val="009A044E"/>
    <w:rsid w:val="009A08CA"/>
    <w:rsid w:val="009A1E90"/>
    <w:rsid w:val="009A28E9"/>
    <w:rsid w:val="009A2E77"/>
    <w:rsid w:val="009A3D21"/>
    <w:rsid w:val="009A5200"/>
    <w:rsid w:val="009A56FC"/>
    <w:rsid w:val="009A5852"/>
    <w:rsid w:val="009A698D"/>
    <w:rsid w:val="009A6AA2"/>
    <w:rsid w:val="009B00D0"/>
    <w:rsid w:val="009B015D"/>
    <w:rsid w:val="009B0248"/>
    <w:rsid w:val="009B0675"/>
    <w:rsid w:val="009B06F3"/>
    <w:rsid w:val="009B07F4"/>
    <w:rsid w:val="009B105C"/>
    <w:rsid w:val="009B1191"/>
    <w:rsid w:val="009B20A4"/>
    <w:rsid w:val="009B34F7"/>
    <w:rsid w:val="009B42ED"/>
    <w:rsid w:val="009B4ECC"/>
    <w:rsid w:val="009B59AA"/>
    <w:rsid w:val="009B7361"/>
    <w:rsid w:val="009B75F2"/>
    <w:rsid w:val="009B7800"/>
    <w:rsid w:val="009C2AA3"/>
    <w:rsid w:val="009C410D"/>
    <w:rsid w:val="009C4684"/>
    <w:rsid w:val="009C4E0C"/>
    <w:rsid w:val="009C64ED"/>
    <w:rsid w:val="009C6600"/>
    <w:rsid w:val="009C6A27"/>
    <w:rsid w:val="009D0413"/>
    <w:rsid w:val="009D082A"/>
    <w:rsid w:val="009D159C"/>
    <w:rsid w:val="009D1711"/>
    <w:rsid w:val="009D1D4A"/>
    <w:rsid w:val="009D53E4"/>
    <w:rsid w:val="009D6009"/>
    <w:rsid w:val="009D6BCB"/>
    <w:rsid w:val="009D7343"/>
    <w:rsid w:val="009D73ED"/>
    <w:rsid w:val="009D786C"/>
    <w:rsid w:val="009E27BB"/>
    <w:rsid w:val="009E4956"/>
    <w:rsid w:val="009E49DF"/>
    <w:rsid w:val="009E4C14"/>
    <w:rsid w:val="009E61FD"/>
    <w:rsid w:val="009E731A"/>
    <w:rsid w:val="009E7AEF"/>
    <w:rsid w:val="009F01D0"/>
    <w:rsid w:val="009F2B99"/>
    <w:rsid w:val="009F2F4A"/>
    <w:rsid w:val="009F4985"/>
    <w:rsid w:val="009F4BE8"/>
    <w:rsid w:val="009F5BD1"/>
    <w:rsid w:val="009F5F60"/>
    <w:rsid w:val="00A00618"/>
    <w:rsid w:val="00A01FC3"/>
    <w:rsid w:val="00A0314D"/>
    <w:rsid w:val="00A03184"/>
    <w:rsid w:val="00A032E8"/>
    <w:rsid w:val="00A035F8"/>
    <w:rsid w:val="00A03BC4"/>
    <w:rsid w:val="00A03F6D"/>
    <w:rsid w:val="00A041C8"/>
    <w:rsid w:val="00A044C8"/>
    <w:rsid w:val="00A04D64"/>
    <w:rsid w:val="00A0583E"/>
    <w:rsid w:val="00A064C0"/>
    <w:rsid w:val="00A075E0"/>
    <w:rsid w:val="00A07BFB"/>
    <w:rsid w:val="00A120FA"/>
    <w:rsid w:val="00A123F4"/>
    <w:rsid w:val="00A1327B"/>
    <w:rsid w:val="00A1393D"/>
    <w:rsid w:val="00A149CF"/>
    <w:rsid w:val="00A14EAE"/>
    <w:rsid w:val="00A155F6"/>
    <w:rsid w:val="00A157F4"/>
    <w:rsid w:val="00A15BBF"/>
    <w:rsid w:val="00A16A2C"/>
    <w:rsid w:val="00A1769B"/>
    <w:rsid w:val="00A1786A"/>
    <w:rsid w:val="00A1789D"/>
    <w:rsid w:val="00A20833"/>
    <w:rsid w:val="00A2122A"/>
    <w:rsid w:val="00A219F0"/>
    <w:rsid w:val="00A21D4E"/>
    <w:rsid w:val="00A220D8"/>
    <w:rsid w:val="00A231A4"/>
    <w:rsid w:val="00A23AE4"/>
    <w:rsid w:val="00A23F59"/>
    <w:rsid w:val="00A241E8"/>
    <w:rsid w:val="00A246BE"/>
    <w:rsid w:val="00A24F68"/>
    <w:rsid w:val="00A24FC3"/>
    <w:rsid w:val="00A27141"/>
    <w:rsid w:val="00A27757"/>
    <w:rsid w:val="00A30604"/>
    <w:rsid w:val="00A314D4"/>
    <w:rsid w:val="00A331A3"/>
    <w:rsid w:val="00A33250"/>
    <w:rsid w:val="00A3498B"/>
    <w:rsid w:val="00A3585E"/>
    <w:rsid w:val="00A366F3"/>
    <w:rsid w:val="00A373E6"/>
    <w:rsid w:val="00A37BE6"/>
    <w:rsid w:val="00A4305C"/>
    <w:rsid w:val="00A4332F"/>
    <w:rsid w:val="00A4403E"/>
    <w:rsid w:val="00A4434E"/>
    <w:rsid w:val="00A448AE"/>
    <w:rsid w:val="00A45F0F"/>
    <w:rsid w:val="00A47087"/>
    <w:rsid w:val="00A477D6"/>
    <w:rsid w:val="00A51D4D"/>
    <w:rsid w:val="00A52AA4"/>
    <w:rsid w:val="00A55A11"/>
    <w:rsid w:val="00A56DC9"/>
    <w:rsid w:val="00A60839"/>
    <w:rsid w:val="00A60864"/>
    <w:rsid w:val="00A6179E"/>
    <w:rsid w:val="00A61EDF"/>
    <w:rsid w:val="00A62CEE"/>
    <w:rsid w:val="00A62EB1"/>
    <w:rsid w:val="00A63702"/>
    <w:rsid w:val="00A64BC9"/>
    <w:rsid w:val="00A67589"/>
    <w:rsid w:val="00A708CF"/>
    <w:rsid w:val="00A709CE"/>
    <w:rsid w:val="00A71F50"/>
    <w:rsid w:val="00A73068"/>
    <w:rsid w:val="00A7445B"/>
    <w:rsid w:val="00A755AD"/>
    <w:rsid w:val="00A75C3C"/>
    <w:rsid w:val="00A75D19"/>
    <w:rsid w:val="00A7603B"/>
    <w:rsid w:val="00A760A3"/>
    <w:rsid w:val="00A77CD6"/>
    <w:rsid w:val="00A81C14"/>
    <w:rsid w:val="00A82624"/>
    <w:rsid w:val="00A8274D"/>
    <w:rsid w:val="00A830F1"/>
    <w:rsid w:val="00A834B3"/>
    <w:rsid w:val="00A83EBD"/>
    <w:rsid w:val="00A84BF3"/>
    <w:rsid w:val="00A86AA5"/>
    <w:rsid w:val="00A90C08"/>
    <w:rsid w:val="00A9179A"/>
    <w:rsid w:val="00A91848"/>
    <w:rsid w:val="00A91D85"/>
    <w:rsid w:val="00A9263A"/>
    <w:rsid w:val="00A92967"/>
    <w:rsid w:val="00A93899"/>
    <w:rsid w:val="00A938BB"/>
    <w:rsid w:val="00A93ECE"/>
    <w:rsid w:val="00A93F38"/>
    <w:rsid w:val="00A9421C"/>
    <w:rsid w:val="00A94909"/>
    <w:rsid w:val="00A96E4F"/>
    <w:rsid w:val="00AA0DCE"/>
    <w:rsid w:val="00AA0E61"/>
    <w:rsid w:val="00AA10C2"/>
    <w:rsid w:val="00AA19B6"/>
    <w:rsid w:val="00AA2FF7"/>
    <w:rsid w:val="00AA51B7"/>
    <w:rsid w:val="00AA582B"/>
    <w:rsid w:val="00AA76C4"/>
    <w:rsid w:val="00AB0D0E"/>
    <w:rsid w:val="00AB109C"/>
    <w:rsid w:val="00AB1122"/>
    <w:rsid w:val="00AB223C"/>
    <w:rsid w:val="00AB2306"/>
    <w:rsid w:val="00AB3A2B"/>
    <w:rsid w:val="00AB3B36"/>
    <w:rsid w:val="00AB445D"/>
    <w:rsid w:val="00AB6CF8"/>
    <w:rsid w:val="00AB7D6D"/>
    <w:rsid w:val="00AC10B3"/>
    <w:rsid w:val="00AC3328"/>
    <w:rsid w:val="00AC3BC7"/>
    <w:rsid w:val="00AC5C02"/>
    <w:rsid w:val="00AC6811"/>
    <w:rsid w:val="00AD06E8"/>
    <w:rsid w:val="00AD0C11"/>
    <w:rsid w:val="00AD0D97"/>
    <w:rsid w:val="00AD259E"/>
    <w:rsid w:val="00AD3331"/>
    <w:rsid w:val="00AD4D7E"/>
    <w:rsid w:val="00AD62CD"/>
    <w:rsid w:val="00AE053E"/>
    <w:rsid w:val="00AE2C2C"/>
    <w:rsid w:val="00AE34B0"/>
    <w:rsid w:val="00AE374D"/>
    <w:rsid w:val="00AE38E5"/>
    <w:rsid w:val="00AE3BAD"/>
    <w:rsid w:val="00AE5189"/>
    <w:rsid w:val="00AE5922"/>
    <w:rsid w:val="00AE6156"/>
    <w:rsid w:val="00AE6974"/>
    <w:rsid w:val="00AE6F0E"/>
    <w:rsid w:val="00AE7259"/>
    <w:rsid w:val="00AE7F62"/>
    <w:rsid w:val="00AF0FBB"/>
    <w:rsid w:val="00AF276E"/>
    <w:rsid w:val="00AF311A"/>
    <w:rsid w:val="00AF448B"/>
    <w:rsid w:val="00AF4831"/>
    <w:rsid w:val="00AF50E8"/>
    <w:rsid w:val="00AF5234"/>
    <w:rsid w:val="00AF573F"/>
    <w:rsid w:val="00AF59E6"/>
    <w:rsid w:val="00AF5CD3"/>
    <w:rsid w:val="00AF63F2"/>
    <w:rsid w:val="00B00332"/>
    <w:rsid w:val="00B0039C"/>
    <w:rsid w:val="00B01737"/>
    <w:rsid w:val="00B0213A"/>
    <w:rsid w:val="00B031E1"/>
    <w:rsid w:val="00B039B7"/>
    <w:rsid w:val="00B03E80"/>
    <w:rsid w:val="00B061B6"/>
    <w:rsid w:val="00B07993"/>
    <w:rsid w:val="00B07F57"/>
    <w:rsid w:val="00B10393"/>
    <w:rsid w:val="00B111AE"/>
    <w:rsid w:val="00B11225"/>
    <w:rsid w:val="00B112CC"/>
    <w:rsid w:val="00B11890"/>
    <w:rsid w:val="00B1189F"/>
    <w:rsid w:val="00B11A9F"/>
    <w:rsid w:val="00B17BC2"/>
    <w:rsid w:val="00B2004B"/>
    <w:rsid w:val="00B20263"/>
    <w:rsid w:val="00B23782"/>
    <w:rsid w:val="00B23A68"/>
    <w:rsid w:val="00B24E90"/>
    <w:rsid w:val="00B2567D"/>
    <w:rsid w:val="00B26F5F"/>
    <w:rsid w:val="00B271C0"/>
    <w:rsid w:val="00B27FB6"/>
    <w:rsid w:val="00B301CF"/>
    <w:rsid w:val="00B30244"/>
    <w:rsid w:val="00B320C2"/>
    <w:rsid w:val="00B3250A"/>
    <w:rsid w:val="00B33942"/>
    <w:rsid w:val="00B36588"/>
    <w:rsid w:val="00B403F0"/>
    <w:rsid w:val="00B40924"/>
    <w:rsid w:val="00B40D2C"/>
    <w:rsid w:val="00B41071"/>
    <w:rsid w:val="00B4134A"/>
    <w:rsid w:val="00B413F2"/>
    <w:rsid w:val="00B4218E"/>
    <w:rsid w:val="00B42352"/>
    <w:rsid w:val="00B45E7D"/>
    <w:rsid w:val="00B46B37"/>
    <w:rsid w:val="00B4769F"/>
    <w:rsid w:val="00B502C9"/>
    <w:rsid w:val="00B5099B"/>
    <w:rsid w:val="00B510E5"/>
    <w:rsid w:val="00B530B1"/>
    <w:rsid w:val="00B540AF"/>
    <w:rsid w:val="00B54AF4"/>
    <w:rsid w:val="00B55A6A"/>
    <w:rsid w:val="00B55CD5"/>
    <w:rsid w:val="00B56ECB"/>
    <w:rsid w:val="00B604B0"/>
    <w:rsid w:val="00B61884"/>
    <w:rsid w:val="00B61BDD"/>
    <w:rsid w:val="00B61DD6"/>
    <w:rsid w:val="00B6329C"/>
    <w:rsid w:val="00B632E7"/>
    <w:rsid w:val="00B64B14"/>
    <w:rsid w:val="00B64FD8"/>
    <w:rsid w:val="00B666B9"/>
    <w:rsid w:val="00B70BAF"/>
    <w:rsid w:val="00B719F6"/>
    <w:rsid w:val="00B72A43"/>
    <w:rsid w:val="00B72A5B"/>
    <w:rsid w:val="00B7475B"/>
    <w:rsid w:val="00B76BE7"/>
    <w:rsid w:val="00B76CDF"/>
    <w:rsid w:val="00B806F8"/>
    <w:rsid w:val="00B80A47"/>
    <w:rsid w:val="00B80F0E"/>
    <w:rsid w:val="00B80F79"/>
    <w:rsid w:val="00B81B1E"/>
    <w:rsid w:val="00B8243F"/>
    <w:rsid w:val="00B8385A"/>
    <w:rsid w:val="00B84A5E"/>
    <w:rsid w:val="00B85ADB"/>
    <w:rsid w:val="00B86886"/>
    <w:rsid w:val="00B86E65"/>
    <w:rsid w:val="00B86F9E"/>
    <w:rsid w:val="00B871AB"/>
    <w:rsid w:val="00B87941"/>
    <w:rsid w:val="00B91E16"/>
    <w:rsid w:val="00B920F8"/>
    <w:rsid w:val="00B93B04"/>
    <w:rsid w:val="00B93E0E"/>
    <w:rsid w:val="00B94135"/>
    <w:rsid w:val="00B96292"/>
    <w:rsid w:val="00BA018A"/>
    <w:rsid w:val="00BA1C5B"/>
    <w:rsid w:val="00BA1CAD"/>
    <w:rsid w:val="00BA3953"/>
    <w:rsid w:val="00BA5185"/>
    <w:rsid w:val="00BA530C"/>
    <w:rsid w:val="00BA7E6A"/>
    <w:rsid w:val="00BB0AA2"/>
    <w:rsid w:val="00BB1B19"/>
    <w:rsid w:val="00BB2104"/>
    <w:rsid w:val="00BB2C8B"/>
    <w:rsid w:val="00BB3D13"/>
    <w:rsid w:val="00BB5251"/>
    <w:rsid w:val="00BB5694"/>
    <w:rsid w:val="00BB64CE"/>
    <w:rsid w:val="00BB675F"/>
    <w:rsid w:val="00BB6857"/>
    <w:rsid w:val="00BB7FF0"/>
    <w:rsid w:val="00BC155A"/>
    <w:rsid w:val="00BC1BDA"/>
    <w:rsid w:val="00BC1CD7"/>
    <w:rsid w:val="00BC294C"/>
    <w:rsid w:val="00BC3467"/>
    <w:rsid w:val="00BC3E56"/>
    <w:rsid w:val="00BC46A0"/>
    <w:rsid w:val="00BC475A"/>
    <w:rsid w:val="00BC5700"/>
    <w:rsid w:val="00BC5777"/>
    <w:rsid w:val="00BC6BB4"/>
    <w:rsid w:val="00BC6BF6"/>
    <w:rsid w:val="00BD079E"/>
    <w:rsid w:val="00BD0C79"/>
    <w:rsid w:val="00BD1CAA"/>
    <w:rsid w:val="00BD45FC"/>
    <w:rsid w:val="00BD498D"/>
    <w:rsid w:val="00BD6A0F"/>
    <w:rsid w:val="00BD6DF6"/>
    <w:rsid w:val="00BD7373"/>
    <w:rsid w:val="00BD73CC"/>
    <w:rsid w:val="00BD7A97"/>
    <w:rsid w:val="00BE1055"/>
    <w:rsid w:val="00BE1FF6"/>
    <w:rsid w:val="00BE31E2"/>
    <w:rsid w:val="00BE4094"/>
    <w:rsid w:val="00BE4FAE"/>
    <w:rsid w:val="00BE7956"/>
    <w:rsid w:val="00BE7CE1"/>
    <w:rsid w:val="00BE7D32"/>
    <w:rsid w:val="00BF0181"/>
    <w:rsid w:val="00BF2020"/>
    <w:rsid w:val="00BF325C"/>
    <w:rsid w:val="00BF3A4A"/>
    <w:rsid w:val="00BF4663"/>
    <w:rsid w:val="00BF49EA"/>
    <w:rsid w:val="00BF5DFB"/>
    <w:rsid w:val="00C015DA"/>
    <w:rsid w:val="00C03B73"/>
    <w:rsid w:val="00C048C1"/>
    <w:rsid w:val="00C04B01"/>
    <w:rsid w:val="00C04F7C"/>
    <w:rsid w:val="00C05C62"/>
    <w:rsid w:val="00C05D9C"/>
    <w:rsid w:val="00C0668D"/>
    <w:rsid w:val="00C07617"/>
    <w:rsid w:val="00C07C7C"/>
    <w:rsid w:val="00C11C3D"/>
    <w:rsid w:val="00C122B0"/>
    <w:rsid w:val="00C1248D"/>
    <w:rsid w:val="00C12721"/>
    <w:rsid w:val="00C1282A"/>
    <w:rsid w:val="00C12BFC"/>
    <w:rsid w:val="00C134C6"/>
    <w:rsid w:val="00C144DD"/>
    <w:rsid w:val="00C14A3F"/>
    <w:rsid w:val="00C153E1"/>
    <w:rsid w:val="00C1657E"/>
    <w:rsid w:val="00C17BD5"/>
    <w:rsid w:val="00C17CC7"/>
    <w:rsid w:val="00C20944"/>
    <w:rsid w:val="00C20C3E"/>
    <w:rsid w:val="00C20F09"/>
    <w:rsid w:val="00C20F27"/>
    <w:rsid w:val="00C216AD"/>
    <w:rsid w:val="00C21FA1"/>
    <w:rsid w:val="00C2468A"/>
    <w:rsid w:val="00C24E19"/>
    <w:rsid w:val="00C2677A"/>
    <w:rsid w:val="00C26ADD"/>
    <w:rsid w:val="00C26D03"/>
    <w:rsid w:val="00C279F5"/>
    <w:rsid w:val="00C30A66"/>
    <w:rsid w:val="00C3217B"/>
    <w:rsid w:val="00C325AB"/>
    <w:rsid w:val="00C34015"/>
    <w:rsid w:val="00C35737"/>
    <w:rsid w:val="00C36D6E"/>
    <w:rsid w:val="00C3734C"/>
    <w:rsid w:val="00C37CC2"/>
    <w:rsid w:val="00C40DA2"/>
    <w:rsid w:val="00C415A9"/>
    <w:rsid w:val="00C428AB"/>
    <w:rsid w:val="00C4660E"/>
    <w:rsid w:val="00C50F9C"/>
    <w:rsid w:val="00C519F7"/>
    <w:rsid w:val="00C54DF2"/>
    <w:rsid w:val="00C55EB8"/>
    <w:rsid w:val="00C56831"/>
    <w:rsid w:val="00C57BB7"/>
    <w:rsid w:val="00C61727"/>
    <w:rsid w:val="00C61F6D"/>
    <w:rsid w:val="00C6235F"/>
    <w:rsid w:val="00C6478C"/>
    <w:rsid w:val="00C655FE"/>
    <w:rsid w:val="00C65768"/>
    <w:rsid w:val="00C65CAA"/>
    <w:rsid w:val="00C66768"/>
    <w:rsid w:val="00C70117"/>
    <w:rsid w:val="00C71AEE"/>
    <w:rsid w:val="00C729D2"/>
    <w:rsid w:val="00C74689"/>
    <w:rsid w:val="00C746F4"/>
    <w:rsid w:val="00C748AE"/>
    <w:rsid w:val="00C74D1F"/>
    <w:rsid w:val="00C75AF8"/>
    <w:rsid w:val="00C76CA6"/>
    <w:rsid w:val="00C80285"/>
    <w:rsid w:val="00C828EB"/>
    <w:rsid w:val="00C83196"/>
    <w:rsid w:val="00C83820"/>
    <w:rsid w:val="00C84B0E"/>
    <w:rsid w:val="00C84DA6"/>
    <w:rsid w:val="00C84E98"/>
    <w:rsid w:val="00C85CC1"/>
    <w:rsid w:val="00C8653F"/>
    <w:rsid w:val="00C867D6"/>
    <w:rsid w:val="00C86E71"/>
    <w:rsid w:val="00C87075"/>
    <w:rsid w:val="00C902DB"/>
    <w:rsid w:val="00C90A73"/>
    <w:rsid w:val="00C92812"/>
    <w:rsid w:val="00C940E1"/>
    <w:rsid w:val="00C94BEE"/>
    <w:rsid w:val="00C97163"/>
    <w:rsid w:val="00C97522"/>
    <w:rsid w:val="00CA12D7"/>
    <w:rsid w:val="00CA279C"/>
    <w:rsid w:val="00CA30B4"/>
    <w:rsid w:val="00CA336A"/>
    <w:rsid w:val="00CA3DC9"/>
    <w:rsid w:val="00CA530A"/>
    <w:rsid w:val="00CA56A2"/>
    <w:rsid w:val="00CA5D4F"/>
    <w:rsid w:val="00CA6003"/>
    <w:rsid w:val="00CA6CA4"/>
    <w:rsid w:val="00CA7764"/>
    <w:rsid w:val="00CB1CEA"/>
    <w:rsid w:val="00CB3116"/>
    <w:rsid w:val="00CB3607"/>
    <w:rsid w:val="00CB391E"/>
    <w:rsid w:val="00CB5D82"/>
    <w:rsid w:val="00CB5F91"/>
    <w:rsid w:val="00CB68B1"/>
    <w:rsid w:val="00CB7E2D"/>
    <w:rsid w:val="00CC09D0"/>
    <w:rsid w:val="00CC137F"/>
    <w:rsid w:val="00CC319F"/>
    <w:rsid w:val="00CC423F"/>
    <w:rsid w:val="00CC4855"/>
    <w:rsid w:val="00CC4B2F"/>
    <w:rsid w:val="00CC4E09"/>
    <w:rsid w:val="00CC5F1A"/>
    <w:rsid w:val="00CC5FB9"/>
    <w:rsid w:val="00CC79FF"/>
    <w:rsid w:val="00CD0EC8"/>
    <w:rsid w:val="00CD1550"/>
    <w:rsid w:val="00CD2374"/>
    <w:rsid w:val="00CD48A8"/>
    <w:rsid w:val="00CD4EFC"/>
    <w:rsid w:val="00CD50F7"/>
    <w:rsid w:val="00CD5192"/>
    <w:rsid w:val="00CD56EC"/>
    <w:rsid w:val="00CD5C9B"/>
    <w:rsid w:val="00CD7A04"/>
    <w:rsid w:val="00CE0236"/>
    <w:rsid w:val="00CE43B3"/>
    <w:rsid w:val="00CE6B6D"/>
    <w:rsid w:val="00CE6C43"/>
    <w:rsid w:val="00CE789C"/>
    <w:rsid w:val="00CF08E0"/>
    <w:rsid w:val="00CF206C"/>
    <w:rsid w:val="00CF288F"/>
    <w:rsid w:val="00CF367D"/>
    <w:rsid w:val="00CF449E"/>
    <w:rsid w:val="00CF4E10"/>
    <w:rsid w:val="00CF595B"/>
    <w:rsid w:val="00CF62EB"/>
    <w:rsid w:val="00CF680F"/>
    <w:rsid w:val="00CF6EC0"/>
    <w:rsid w:val="00CF7143"/>
    <w:rsid w:val="00D006EC"/>
    <w:rsid w:val="00D008E8"/>
    <w:rsid w:val="00D01E8D"/>
    <w:rsid w:val="00D04DC8"/>
    <w:rsid w:val="00D07347"/>
    <w:rsid w:val="00D07AA7"/>
    <w:rsid w:val="00D1040E"/>
    <w:rsid w:val="00D110A5"/>
    <w:rsid w:val="00D11152"/>
    <w:rsid w:val="00D137AE"/>
    <w:rsid w:val="00D13CC1"/>
    <w:rsid w:val="00D14F81"/>
    <w:rsid w:val="00D163BA"/>
    <w:rsid w:val="00D164B6"/>
    <w:rsid w:val="00D164EB"/>
    <w:rsid w:val="00D17340"/>
    <w:rsid w:val="00D175D4"/>
    <w:rsid w:val="00D20F0D"/>
    <w:rsid w:val="00D22D0C"/>
    <w:rsid w:val="00D23B7E"/>
    <w:rsid w:val="00D256C7"/>
    <w:rsid w:val="00D26484"/>
    <w:rsid w:val="00D27357"/>
    <w:rsid w:val="00D32210"/>
    <w:rsid w:val="00D32FDB"/>
    <w:rsid w:val="00D33821"/>
    <w:rsid w:val="00D3447D"/>
    <w:rsid w:val="00D35ACA"/>
    <w:rsid w:val="00D35D3A"/>
    <w:rsid w:val="00D36540"/>
    <w:rsid w:val="00D448AB"/>
    <w:rsid w:val="00D45687"/>
    <w:rsid w:val="00D53F1C"/>
    <w:rsid w:val="00D5449F"/>
    <w:rsid w:val="00D5465E"/>
    <w:rsid w:val="00D54867"/>
    <w:rsid w:val="00D54966"/>
    <w:rsid w:val="00D55068"/>
    <w:rsid w:val="00D562E0"/>
    <w:rsid w:val="00D56496"/>
    <w:rsid w:val="00D565E0"/>
    <w:rsid w:val="00D56631"/>
    <w:rsid w:val="00D57CF5"/>
    <w:rsid w:val="00D6094C"/>
    <w:rsid w:val="00D60B6B"/>
    <w:rsid w:val="00D611BE"/>
    <w:rsid w:val="00D61556"/>
    <w:rsid w:val="00D61F1E"/>
    <w:rsid w:val="00D64718"/>
    <w:rsid w:val="00D64D33"/>
    <w:rsid w:val="00D65597"/>
    <w:rsid w:val="00D65DF6"/>
    <w:rsid w:val="00D6697F"/>
    <w:rsid w:val="00D66F09"/>
    <w:rsid w:val="00D67256"/>
    <w:rsid w:val="00D672AF"/>
    <w:rsid w:val="00D67963"/>
    <w:rsid w:val="00D67D0F"/>
    <w:rsid w:val="00D67E70"/>
    <w:rsid w:val="00D70003"/>
    <w:rsid w:val="00D70A15"/>
    <w:rsid w:val="00D70E69"/>
    <w:rsid w:val="00D70F5B"/>
    <w:rsid w:val="00D7204D"/>
    <w:rsid w:val="00D72DE4"/>
    <w:rsid w:val="00D73D65"/>
    <w:rsid w:val="00D7505B"/>
    <w:rsid w:val="00D76249"/>
    <w:rsid w:val="00D76BD2"/>
    <w:rsid w:val="00D774AC"/>
    <w:rsid w:val="00D776EA"/>
    <w:rsid w:val="00D80AF9"/>
    <w:rsid w:val="00D80FA3"/>
    <w:rsid w:val="00D81C9C"/>
    <w:rsid w:val="00D82CE9"/>
    <w:rsid w:val="00D83D85"/>
    <w:rsid w:val="00D842C4"/>
    <w:rsid w:val="00D863E3"/>
    <w:rsid w:val="00D86450"/>
    <w:rsid w:val="00D8687F"/>
    <w:rsid w:val="00D87236"/>
    <w:rsid w:val="00D90131"/>
    <w:rsid w:val="00D90659"/>
    <w:rsid w:val="00D91123"/>
    <w:rsid w:val="00D91761"/>
    <w:rsid w:val="00D92C62"/>
    <w:rsid w:val="00D93EB5"/>
    <w:rsid w:val="00D9458C"/>
    <w:rsid w:val="00D94782"/>
    <w:rsid w:val="00D959BE"/>
    <w:rsid w:val="00D95EA1"/>
    <w:rsid w:val="00DA00F5"/>
    <w:rsid w:val="00DA1611"/>
    <w:rsid w:val="00DA1D39"/>
    <w:rsid w:val="00DA2F54"/>
    <w:rsid w:val="00DA3666"/>
    <w:rsid w:val="00DA3CA9"/>
    <w:rsid w:val="00DA4286"/>
    <w:rsid w:val="00DA576E"/>
    <w:rsid w:val="00DA5F78"/>
    <w:rsid w:val="00DA6A67"/>
    <w:rsid w:val="00DA75AA"/>
    <w:rsid w:val="00DA7824"/>
    <w:rsid w:val="00DA7D8E"/>
    <w:rsid w:val="00DB0643"/>
    <w:rsid w:val="00DB0F2C"/>
    <w:rsid w:val="00DB1B2F"/>
    <w:rsid w:val="00DB28CD"/>
    <w:rsid w:val="00DB32BF"/>
    <w:rsid w:val="00DB4F24"/>
    <w:rsid w:val="00DB5092"/>
    <w:rsid w:val="00DB58E2"/>
    <w:rsid w:val="00DB5BC2"/>
    <w:rsid w:val="00DC0B0C"/>
    <w:rsid w:val="00DC1DCC"/>
    <w:rsid w:val="00DC27D5"/>
    <w:rsid w:val="00DC372B"/>
    <w:rsid w:val="00DC3B81"/>
    <w:rsid w:val="00DC4268"/>
    <w:rsid w:val="00DC446A"/>
    <w:rsid w:val="00DC5F7B"/>
    <w:rsid w:val="00DC66F6"/>
    <w:rsid w:val="00DC66FE"/>
    <w:rsid w:val="00DC6A13"/>
    <w:rsid w:val="00DC7264"/>
    <w:rsid w:val="00DC7AA8"/>
    <w:rsid w:val="00DC7B26"/>
    <w:rsid w:val="00DC7E5D"/>
    <w:rsid w:val="00DD1515"/>
    <w:rsid w:val="00DD1729"/>
    <w:rsid w:val="00DD215D"/>
    <w:rsid w:val="00DD227D"/>
    <w:rsid w:val="00DD3F79"/>
    <w:rsid w:val="00DD3FBE"/>
    <w:rsid w:val="00DD4857"/>
    <w:rsid w:val="00DD5696"/>
    <w:rsid w:val="00DD6066"/>
    <w:rsid w:val="00DD6E86"/>
    <w:rsid w:val="00DD7B28"/>
    <w:rsid w:val="00DD7DF6"/>
    <w:rsid w:val="00DE11C8"/>
    <w:rsid w:val="00DE24E9"/>
    <w:rsid w:val="00DE2A85"/>
    <w:rsid w:val="00DE3C49"/>
    <w:rsid w:val="00DE437D"/>
    <w:rsid w:val="00DE51E5"/>
    <w:rsid w:val="00DE683C"/>
    <w:rsid w:val="00DE7C99"/>
    <w:rsid w:val="00DE7CBA"/>
    <w:rsid w:val="00DF19C0"/>
    <w:rsid w:val="00DF3346"/>
    <w:rsid w:val="00DF38F8"/>
    <w:rsid w:val="00DF42EB"/>
    <w:rsid w:val="00DF4B52"/>
    <w:rsid w:val="00DF4BA3"/>
    <w:rsid w:val="00DF4D70"/>
    <w:rsid w:val="00DF4F56"/>
    <w:rsid w:val="00DF6459"/>
    <w:rsid w:val="00DF6DA2"/>
    <w:rsid w:val="00E000EF"/>
    <w:rsid w:val="00E00591"/>
    <w:rsid w:val="00E007AE"/>
    <w:rsid w:val="00E00B6B"/>
    <w:rsid w:val="00E00E89"/>
    <w:rsid w:val="00E02973"/>
    <w:rsid w:val="00E0655F"/>
    <w:rsid w:val="00E06DDB"/>
    <w:rsid w:val="00E0745F"/>
    <w:rsid w:val="00E0759E"/>
    <w:rsid w:val="00E12351"/>
    <w:rsid w:val="00E1385D"/>
    <w:rsid w:val="00E14DD6"/>
    <w:rsid w:val="00E14EFF"/>
    <w:rsid w:val="00E156C4"/>
    <w:rsid w:val="00E16709"/>
    <w:rsid w:val="00E1688E"/>
    <w:rsid w:val="00E16CD1"/>
    <w:rsid w:val="00E21064"/>
    <w:rsid w:val="00E2170D"/>
    <w:rsid w:val="00E2229F"/>
    <w:rsid w:val="00E224B5"/>
    <w:rsid w:val="00E228EC"/>
    <w:rsid w:val="00E23B3B"/>
    <w:rsid w:val="00E24079"/>
    <w:rsid w:val="00E24AD0"/>
    <w:rsid w:val="00E24C7F"/>
    <w:rsid w:val="00E25F05"/>
    <w:rsid w:val="00E26913"/>
    <w:rsid w:val="00E27933"/>
    <w:rsid w:val="00E27E72"/>
    <w:rsid w:val="00E3130F"/>
    <w:rsid w:val="00E32FD0"/>
    <w:rsid w:val="00E33486"/>
    <w:rsid w:val="00E336BF"/>
    <w:rsid w:val="00E34AFE"/>
    <w:rsid w:val="00E3537E"/>
    <w:rsid w:val="00E40EA6"/>
    <w:rsid w:val="00E429B8"/>
    <w:rsid w:val="00E42B5B"/>
    <w:rsid w:val="00E42BA6"/>
    <w:rsid w:val="00E4420E"/>
    <w:rsid w:val="00E44FA6"/>
    <w:rsid w:val="00E469D8"/>
    <w:rsid w:val="00E501CB"/>
    <w:rsid w:val="00E502D4"/>
    <w:rsid w:val="00E50590"/>
    <w:rsid w:val="00E52028"/>
    <w:rsid w:val="00E520C5"/>
    <w:rsid w:val="00E5379D"/>
    <w:rsid w:val="00E53C50"/>
    <w:rsid w:val="00E53EA8"/>
    <w:rsid w:val="00E5460A"/>
    <w:rsid w:val="00E546E4"/>
    <w:rsid w:val="00E5653B"/>
    <w:rsid w:val="00E56BE2"/>
    <w:rsid w:val="00E607C3"/>
    <w:rsid w:val="00E61439"/>
    <w:rsid w:val="00E6180B"/>
    <w:rsid w:val="00E61D0B"/>
    <w:rsid w:val="00E634D1"/>
    <w:rsid w:val="00E63D81"/>
    <w:rsid w:val="00E63FD9"/>
    <w:rsid w:val="00E6462F"/>
    <w:rsid w:val="00E6538E"/>
    <w:rsid w:val="00E65F4B"/>
    <w:rsid w:val="00E71F08"/>
    <w:rsid w:val="00E7219F"/>
    <w:rsid w:val="00E732A1"/>
    <w:rsid w:val="00E73D50"/>
    <w:rsid w:val="00E7401E"/>
    <w:rsid w:val="00E74D16"/>
    <w:rsid w:val="00E751EC"/>
    <w:rsid w:val="00E75CB3"/>
    <w:rsid w:val="00E806A2"/>
    <w:rsid w:val="00E81012"/>
    <w:rsid w:val="00E82D85"/>
    <w:rsid w:val="00E83916"/>
    <w:rsid w:val="00E83E7A"/>
    <w:rsid w:val="00E84362"/>
    <w:rsid w:val="00E8561A"/>
    <w:rsid w:val="00E860D3"/>
    <w:rsid w:val="00E90E9B"/>
    <w:rsid w:val="00E91DBA"/>
    <w:rsid w:val="00E93936"/>
    <w:rsid w:val="00E94FB4"/>
    <w:rsid w:val="00E95024"/>
    <w:rsid w:val="00E95DEF"/>
    <w:rsid w:val="00EA0369"/>
    <w:rsid w:val="00EA584F"/>
    <w:rsid w:val="00EA638C"/>
    <w:rsid w:val="00EA6667"/>
    <w:rsid w:val="00EA758A"/>
    <w:rsid w:val="00EA7976"/>
    <w:rsid w:val="00EA7B77"/>
    <w:rsid w:val="00EB1E23"/>
    <w:rsid w:val="00EB225B"/>
    <w:rsid w:val="00EB2E2D"/>
    <w:rsid w:val="00EB3F73"/>
    <w:rsid w:val="00EB5F5B"/>
    <w:rsid w:val="00EB6770"/>
    <w:rsid w:val="00EB6B43"/>
    <w:rsid w:val="00EC0F91"/>
    <w:rsid w:val="00EC139C"/>
    <w:rsid w:val="00EC14A8"/>
    <w:rsid w:val="00EC18A3"/>
    <w:rsid w:val="00EC3579"/>
    <w:rsid w:val="00EC47AC"/>
    <w:rsid w:val="00EC6D33"/>
    <w:rsid w:val="00EC7EE1"/>
    <w:rsid w:val="00ED054E"/>
    <w:rsid w:val="00ED09D4"/>
    <w:rsid w:val="00ED0C58"/>
    <w:rsid w:val="00ED0C63"/>
    <w:rsid w:val="00ED3AFF"/>
    <w:rsid w:val="00ED4466"/>
    <w:rsid w:val="00ED4E8C"/>
    <w:rsid w:val="00ED539F"/>
    <w:rsid w:val="00ED5DB5"/>
    <w:rsid w:val="00ED5F0F"/>
    <w:rsid w:val="00ED6798"/>
    <w:rsid w:val="00ED6873"/>
    <w:rsid w:val="00ED792F"/>
    <w:rsid w:val="00ED7CD7"/>
    <w:rsid w:val="00EE0A85"/>
    <w:rsid w:val="00EE11BA"/>
    <w:rsid w:val="00EE1835"/>
    <w:rsid w:val="00EE1C20"/>
    <w:rsid w:val="00EE1DCE"/>
    <w:rsid w:val="00EE27C0"/>
    <w:rsid w:val="00EE293C"/>
    <w:rsid w:val="00EE3742"/>
    <w:rsid w:val="00EE439D"/>
    <w:rsid w:val="00EE5113"/>
    <w:rsid w:val="00EE683D"/>
    <w:rsid w:val="00EE7590"/>
    <w:rsid w:val="00EE7B04"/>
    <w:rsid w:val="00EF3564"/>
    <w:rsid w:val="00EF3667"/>
    <w:rsid w:val="00EF40AB"/>
    <w:rsid w:val="00EF630C"/>
    <w:rsid w:val="00EF7196"/>
    <w:rsid w:val="00F000CE"/>
    <w:rsid w:val="00F0029C"/>
    <w:rsid w:val="00F00744"/>
    <w:rsid w:val="00F00D9B"/>
    <w:rsid w:val="00F01B80"/>
    <w:rsid w:val="00F02E2E"/>
    <w:rsid w:val="00F03C59"/>
    <w:rsid w:val="00F05BDB"/>
    <w:rsid w:val="00F0652A"/>
    <w:rsid w:val="00F072F7"/>
    <w:rsid w:val="00F0743C"/>
    <w:rsid w:val="00F0776A"/>
    <w:rsid w:val="00F0796C"/>
    <w:rsid w:val="00F10FC0"/>
    <w:rsid w:val="00F11193"/>
    <w:rsid w:val="00F11841"/>
    <w:rsid w:val="00F11E80"/>
    <w:rsid w:val="00F12677"/>
    <w:rsid w:val="00F131D9"/>
    <w:rsid w:val="00F1421D"/>
    <w:rsid w:val="00F155AB"/>
    <w:rsid w:val="00F15950"/>
    <w:rsid w:val="00F16291"/>
    <w:rsid w:val="00F16730"/>
    <w:rsid w:val="00F20A21"/>
    <w:rsid w:val="00F20E95"/>
    <w:rsid w:val="00F213A3"/>
    <w:rsid w:val="00F221CA"/>
    <w:rsid w:val="00F23003"/>
    <w:rsid w:val="00F244E4"/>
    <w:rsid w:val="00F264B9"/>
    <w:rsid w:val="00F266FF"/>
    <w:rsid w:val="00F31733"/>
    <w:rsid w:val="00F31797"/>
    <w:rsid w:val="00F353BA"/>
    <w:rsid w:val="00F3566B"/>
    <w:rsid w:val="00F35A81"/>
    <w:rsid w:val="00F36093"/>
    <w:rsid w:val="00F361D8"/>
    <w:rsid w:val="00F3649E"/>
    <w:rsid w:val="00F36BD9"/>
    <w:rsid w:val="00F36F61"/>
    <w:rsid w:val="00F36F9B"/>
    <w:rsid w:val="00F370EF"/>
    <w:rsid w:val="00F371D3"/>
    <w:rsid w:val="00F3730F"/>
    <w:rsid w:val="00F37AC7"/>
    <w:rsid w:val="00F40924"/>
    <w:rsid w:val="00F40D83"/>
    <w:rsid w:val="00F43C94"/>
    <w:rsid w:val="00F43D22"/>
    <w:rsid w:val="00F4462D"/>
    <w:rsid w:val="00F4484D"/>
    <w:rsid w:val="00F459F4"/>
    <w:rsid w:val="00F45BE0"/>
    <w:rsid w:val="00F47573"/>
    <w:rsid w:val="00F50158"/>
    <w:rsid w:val="00F505D6"/>
    <w:rsid w:val="00F5133B"/>
    <w:rsid w:val="00F52643"/>
    <w:rsid w:val="00F52C9F"/>
    <w:rsid w:val="00F53402"/>
    <w:rsid w:val="00F53577"/>
    <w:rsid w:val="00F5429F"/>
    <w:rsid w:val="00F548B4"/>
    <w:rsid w:val="00F54E9E"/>
    <w:rsid w:val="00F56A4E"/>
    <w:rsid w:val="00F56EBE"/>
    <w:rsid w:val="00F57317"/>
    <w:rsid w:val="00F57D43"/>
    <w:rsid w:val="00F57FBC"/>
    <w:rsid w:val="00F609FC"/>
    <w:rsid w:val="00F61172"/>
    <w:rsid w:val="00F63F72"/>
    <w:rsid w:val="00F64105"/>
    <w:rsid w:val="00F64E5E"/>
    <w:rsid w:val="00F6614E"/>
    <w:rsid w:val="00F67587"/>
    <w:rsid w:val="00F70092"/>
    <w:rsid w:val="00F70710"/>
    <w:rsid w:val="00F71104"/>
    <w:rsid w:val="00F71884"/>
    <w:rsid w:val="00F71F38"/>
    <w:rsid w:val="00F71F82"/>
    <w:rsid w:val="00F721CA"/>
    <w:rsid w:val="00F7268B"/>
    <w:rsid w:val="00F74944"/>
    <w:rsid w:val="00F74CFD"/>
    <w:rsid w:val="00F772AE"/>
    <w:rsid w:val="00F7740E"/>
    <w:rsid w:val="00F77AE8"/>
    <w:rsid w:val="00F77C9D"/>
    <w:rsid w:val="00F801A8"/>
    <w:rsid w:val="00F801DA"/>
    <w:rsid w:val="00F824CE"/>
    <w:rsid w:val="00F85B98"/>
    <w:rsid w:val="00F8612D"/>
    <w:rsid w:val="00F86B6D"/>
    <w:rsid w:val="00F90022"/>
    <w:rsid w:val="00F9048D"/>
    <w:rsid w:val="00F905FE"/>
    <w:rsid w:val="00F92BB2"/>
    <w:rsid w:val="00F94164"/>
    <w:rsid w:val="00F94A52"/>
    <w:rsid w:val="00F95140"/>
    <w:rsid w:val="00F951F0"/>
    <w:rsid w:val="00F95F80"/>
    <w:rsid w:val="00F95F92"/>
    <w:rsid w:val="00F96614"/>
    <w:rsid w:val="00F975CD"/>
    <w:rsid w:val="00FA0533"/>
    <w:rsid w:val="00FA2DB7"/>
    <w:rsid w:val="00FA3CC6"/>
    <w:rsid w:val="00FA5560"/>
    <w:rsid w:val="00FA7426"/>
    <w:rsid w:val="00FA7681"/>
    <w:rsid w:val="00FB116E"/>
    <w:rsid w:val="00FB2266"/>
    <w:rsid w:val="00FB22B9"/>
    <w:rsid w:val="00FB7F96"/>
    <w:rsid w:val="00FC16F3"/>
    <w:rsid w:val="00FC34BF"/>
    <w:rsid w:val="00FC3B98"/>
    <w:rsid w:val="00FC4A7F"/>
    <w:rsid w:val="00FC4C6C"/>
    <w:rsid w:val="00FC731E"/>
    <w:rsid w:val="00FC7BE5"/>
    <w:rsid w:val="00FC7E67"/>
    <w:rsid w:val="00FD217F"/>
    <w:rsid w:val="00FD22B0"/>
    <w:rsid w:val="00FD2736"/>
    <w:rsid w:val="00FD2B62"/>
    <w:rsid w:val="00FD3E88"/>
    <w:rsid w:val="00FD3E90"/>
    <w:rsid w:val="00FD4058"/>
    <w:rsid w:val="00FD559F"/>
    <w:rsid w:val="00FD74F0"/>
    <w:rsid w:val="00FD7A16"/>
    <w:rsid w:val="00FE0267"/>
    <w:rsid w:val="00FE0D2F"/>
    <w:rsid w:val="00FE1E38"/>
    <w:rsid w:val="00FE2AE3"/>
    <w:rsid w:val="00FE2B52"/>
    <w:rsid w:val="00FE2C0F"/>
    <w:rsid w:val="00FE2F93"/>
    <w:rsid w:val="00FE3BD8"/>
    <w:rsid w:val="00FE6030"/>
    <w:rsid w:val="00FE7BB9"/>
    <w:rsid w:val="00FF0B4B"/>
    <w:rsid w:val="00FF2344"/>
    <w:rsid w:val="00FF2489"/>
    <w:rsid w:val="00FF42D7"/>
    <w:rsid w:val="00FF45D8"/>
    <w:rsid w:val="00FF4FD0"/>
    <w:rsid w:val="00FF54C7"/>
    <w:rsid w:val="00FF5ED7"/>
    <w:rsid w:val="00FF6206"/>
    <w:rsid w:val="00FF7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30D4AD9"/>
  <w15:chartTrackingRefBased/>
  <w15:docId w15:val="{62547D47-C854-4780-90B7-3D1F0A43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619DA"/>
    <w:pPr>
      <w:spacing w:before="120" w:after="120"/>
    </w:pPr>
    <w:rPr>
      <w:rFonts w:ascii="Helvetica" w:eastAsia="Times" w:hAnsi="Helvetica"/>
      <w:sz w:val="24"/>
    </w:rPr>
  </w:style>
  <w:style w:type="paragraph" w:styleId="Heading1">
    <w:name w:val="heading 1"/>
    <w:basedOn w:val="Normal"/>
    <w:next w:val="Normal"/>
    <w:link w:val="Heading1Char"/>
    <w:qFormat/>
    <w:rsid w:val="0004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90C08"/>
    <w:pPr>
      <w:keepNext/>
      <w:pBdr>
        <w:bottom w:val="single" w:sz="8" w:space="4" w:color="00424F"/>
      </w:pBdr>
      <w:tabs>
        <w:tab w:val="left" w:pos="0"/>
      </w:tabs>
      <w:spacing w:before="360" w:after="240"/>
      <w:outlineLvl w:val="1"/>
    </w:pPr>
    <w:rPr>
      <w:rFonts w:eastAsia="Times New Roman"/>
      <w:b/>
      <w:sz w:val="36"/>
    </w:rPr>
  </w:style>
  <w:style w:type="paragraph" w:styleId="Heading3">
    <w:name w:val="heading 3"/>
    <w:basedOn w:val="Normal"/>
    <w:next w:val="Normal"/>
    <w:qFormat/>
    <w:rsid w:val="00A90C0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90C08"/>
    <w:pPr>
      <w:keepNext/>
      <w:spacing w:after="60"/>
      <w:outlineLvl w:val="3"/>
    </w:pPr>
    <w:rPr>
      <w:b/>
    </w:rPr>
  </w:style>
  <w:style w:type="paragraph" w:styleId="Heading7">
    <w:name w:val="heading 7"/>
    <w:basedOn w:val="Normal"/>
    <w:next w:val="Normal"/>
    <w:qFormat/>
    <w:rsid w:val="00AB6CF8"/>
    <w:pPr>
      <w:spacing w:before="240" w:after="60"/>
      <w:outlineLvl w:val="6"/>
    </w:pPr>
    <w:rPr>
      <w:rFonts w:ascii="Cambria" w:eastAsia="Times New Roman" w:hAnsi="Cambr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overviewtext"/>
    <w:link w:val="HeaderChar"/>
    <w:rsid w:val="00A90C08"/>
    <w:pPr>
      <w:tabs>
        <w:tab w:val="center" w:pos="4153"/>
        <w:tab w:val="right" w:pos="8306"/>
      </w:tabs>
    </w:pPr>
  </w:style>
  <w:style w:type="paragraph" w:customStyle="1" w:styleId="CommitteeTitle">
    <w:name w:val="Committee Title"/>
    <w:basedOn w:val="Header"/>
    <w:next w:val="Header"/>
    <w:qFormat/>
    <w:rsid w:val="00A90C08"/>
    <w:pPr>
      <w:shd w:val="clear" w:color="auto" w:fill="000000"/>
      <w:tabs>
        <w:tab w:val="clear" w:pos="4153"/>
        <w:tab w:val="clear" w:pos="8306"/>
      </w:tabs>
      <w:spacing w:after="120"/>
      <w:ind w:right="2835"/>
    </w:pPr>
    <w:rPr>
      <w:b/>
      <w:noProof/>
      <w:color w:val="FFFFFF"/>
    </w:rPr>
  </w:style>
  <w:style w:type="paragraph" w:customStyle="1" w:styleId="summarydetails">
    <w:name w:val="summary details"/>
    <w:basedOn w:val="overviewtext"/>
    <w:qFormat/>
    <w:rsid w:val="00A90C08"/>
    <w:pPr>
      <w:ind w:left="720"/>
    </w:pPr>
  </w:style>
  <w:style w:type="paragraph" w:customStyle="1" w:styleId="overviewtext">
    <w:name w:val="overview text"/>
    <w:link w:val="overviewtextChar"/>
    <w:qFormat/>
    <w:rsid w:val="00A90C08"/>
    <w:pPr>
      <w:spacing w:before="60" w:after="60"/>
    </w:pPr>
    <w:rPr>
      <w:rFonts w:ascii="Helvetica" w:eastAsia="Times" w:hAnsi="Helvetica"/>
      <w:sz w:val="24"/>
    </w:rPr>
  </w:style>
  <w:style w:type="paragraph" w:customStyle="1" w:styleId="overviewheading">
    <w:name w:val="overview heading"/>
    <w:basedOn w:val="overviewtext"/>
    <w:qFormat/>
    <w:rsid w:val="00A90C08"/>
    <w:pPr>
      <w:pBdr>
        <w:bottom w:val="single" w:sz="4" w:space="4" w:color="auto"/>
      </w:pBdr>
      <w:spacing w:before="120"/>
    </w:pPr>
    <w:rPr>
      <w:b/>
    </w:rPr>
  </w:style>
  <w:style w:type="paragraph" w:customStyle="1" w:styleId="ReportTitle">
    <w:name w:val="Report Title"/>
    <w:basedOn w:val="overviewtext"/>
    <w:qFormat/>
    <w:rsid w:val="00A90C08"/>
    <w:pPr>
      <w:spacing w:before="120" w:after="120"/>
    </w:pPr>
    <w:rPr>
      <w:b/>
      <w:sz w:val="40"/>
    </w:rPr>
  </w:style>
  <w:style w:type="paragraph" w:customStyle="1" w:styleId="Para2">
    <w:name w:val="Para2"/>
    <w:basedOn w:val="Normal"/>
    <w:link w:val="Para2Char"/>
    <w:autoRedefine/>
    <w:rsid w:val="00B54AF4"/>
    <w:pPr>
      <w:numPr>
        <w:numId w:val="20"/>
      </w:numPr>
      <w:jc w:val="both"/>
    </w:pPr>
  </w:style>
  <w:style w:type="paragraph" w:customStyle="1" w:styleId="Para1">
    <w:name w:val="Para1"/>
    <w:basedOn w:val="Heading3"/>
    <w:rsid w:val="00A90C08"/>
    <w:pPr>
      <w:tabs>
        <w:tab w:val="left" w:pos="1440"/>
      </w:tabs>
      <w:spacing w:after="120"/>
      <w:ind w:left="1440" w:hanging="720"/>
    </w:pPr>
    <w:rPr>
      <w:rFonts w:ascii="Helvetica" w:hAnsi="Helvetica" w:cs="Times New Roman"/>
      <w:b w:val="0"/>
      <w:bCs w:val="0"/>
      <w:sz w:val="24"/>
      <w:szCs w:val="24"/>
    </w:rPr>
  </w:style>
  <w:style w:type="character" w:customStyle="1" w:styleId="Heading2Char">
    <w:name w:val="Heading 2 Char"/>
    <w:link w:val="Heading2"/>
    <w:rsid w:val="00A90C08"/>
    <w:rPr>
      <w:rFonts w:ascii="Helvetica" w:hAnsi="Helvetica"/>
      <w:b/>
      <w:sz w:val="36"/>
      <w:lang w:val="en-GB" w:eastAsia="en-GB" w:bidi="ar-SA"/>
    </w:rPr>
  </w:style>
  <w:style w:type="character" w:customStyle="1" w:styleId="overviewtextChar">
    <w:name w:val="overview text Char"/>
    <w:link w:val="overviewtext"/>
    <w:rsid w:val="00A90C08"/>
    <w:rPr>
      <w:rFonts w:ascii="Helvetica" w:eastAsia="Times" w:hAnsi="Helvetica"/>
      <w:sz w:val="24"/>
      <w:lang w:val="en-GB" w:eastAsia="en-GB" w:bidi="ar-SA"/>
    </w:rPr>
  </w:style>
  <w:style w:type="character" w:customStyle="1" w:styleId="HeaderChar">
    <w:name w:val="Header Char"/>
    <w:link w:val="Header"/>
    <w:rsid w:val="00A90C08"/>
    <w:rPr>
      <w:rFonts w:ascii="Helvetica" w:eastAsia="Times" w:hAnsi="Helvetica"/>
      <w:sz w:val="24"/>
      <w:lang w:val="en-GB" w:eastAsia="en-GB" w:bidi="ar-SA"/>
    </w:rPr>
  </w:style>
  <w:style w:type="character" w:customStyle="1" w:styleId="Para2Char">
    <w:name w:val="Para2 Char"/>
    <w:link w:val="Para2"/>
    <w:rsid w:val="00B54AF4"/>
    <w:rPr>
      <w:rFonts w:ascii="Helvetica" w:eastAsia="Times" w:hAnsi="Helvetica"/>
      <w:sz w:val="24"/>
    </w:rPr>
  </w:style>
  <w:style w:type="paragraph" w:customStyle="1" w:styleId="NumberedList4">
    <w:name w:val="Numbered List4"/>
    <w:basedOn w:val="Normal"/>
    <w:rsid w:val="00A90C08"/>
    <w:pPr>
      <w:numPr>
        <w:numId w:val="1"/>
      </w:numPr>
      <w:tabs>
        <w:tab w:val="num" w:pos="851"/>
      </w:tabs>
      <w:ind w:left="1134" w:hanging="708"/>
    </w:pPr>
  </w:style>
  <w:style w:type="paragraph" w:styleId="BodyTextIndent3">
    <w:name w:val="Body Text Indent 3"/>
    <w:basedOn w:val="Normal"/>
    <w:rsid w:val="00A90C08"/>
    <w:pPr>
      <w:ind w:left="283"/>
    </w:pPr>
    <w:rPr>
      <w:sz w:val="16"/>
      <w:szCs w:val="16"/>
    </w:rPr>
  </w:style>
  <w:style w:type="paragraph" w:styleId="Footer">
    <w:name w:val="footer"/>
    <w:basedOn w:val="Normal"/>
    <w:link w:val="FooterChar"/>
    <w:uiPriority w:val="99"/>
    <w:rsid w:val="00A90C08"/>
    <w:pPr>
      <w:tabs>
        <w:tab w:val="center" w:pos="4153"/>
        <w:tab w:val="right" w:pos="8306"/>
      </w:tabs>
    </w:pPr>
  </w:style>
  <w:style w:type="paragraph" w:customStyle="1" w:styleId="NormalLatinArial">
    <w:name w:val="Normal + (Latin) Arial"/>
    <w:aliases w:val="Justified,Left:  0 cm,Hanging:  1.27 cm,Before:  0..."/>
    <w:basedOn w:val="Normal"/>
    <w:rsid w:val="00DD7DF6"/>
    <w:pPr>
      <w:spacing w:before="0" w:after="0"/>
      <w:ind w:left="720" w:hanging="720"/>
      <w:jc w:val="both"/>
    </w:pPr>
    <w:rPr>
      <w:rFonts w:ascii="Arial" w:hAnsi="Arial" w:cs="Arial"/>
      <w:szCs w:val="24"/>
    </w:rPr>
  </w:style>
  <w:style w:type="paragraph" w:styleId="BodyTextIndent">
    <w:name w:val="Body Text Indent"/>
    <w:basedOn w:val="Normal"/>
    <w:rsid w:val="00DD7DF6"/>
    <w:pPr>
      <w:ind w:left="283"/>
    </w:pPr>
  </w:style>
  <w:style w:type="character" w:styleId="Emphasis">
    <w:name w:val="Emphasis"/>
    <w:qFormat/>
    <w:rsid w:val="00AB6CF8"/>
    <w:rPr>
      <w:i/>
      <w:iCs/>
    </w:rPr>
  </w:style>
  <w:style w:type="paragraph" w:styleId="BodyText">
    <w:name w:val="Body Text"/>
    <w:basedOn w:val="Normal"/>
    <w:rsid w:val="00E94FB4"/>
  </w:style>
  <w:style w:type="paragraph" w:customStyle="1" w:styleId="NumberedList3">
    <w:name w:val="Numbered List3"/>
    <w:basedOn w:val="Normal"/>
    <w:autoRedefine/>
    <w:rsid w:val="009B20A4"/>
    <w:pPr>
      <w:spacing w:before="0" w:after="0"/>
      <w:ind w:left="709" w:hanging="709"/>
    </w:pPr>
  </w:style>
  <w:style w:type="paragraph" w:styleId="BalloonText">
    <w:name w:val="Balloon Text"/>
    <w:basedOn w:val="Normal"/>
    <w:semiHidden/>
    <w:rsid w:val="00F7268B"/>
    <w:rPr>
      <w:rFonts w:ascii="Tahoma" w:hAnsi="Tahoma" w:cs="Tahoma"/>
      <w:sz w:val="16"/>
      <w:szCs w:val="16"/>
    </w:rPr>
  </w:style>
  <w:style w:type="table" w:styleId="TableGrid">
    <w:name w:val="Table Grid"/>
    <w:basedOn w:val="TableNormal"/>
    <w:uiPriority w:val="39"/>
    <w:rsid w:val="00F7268B"/>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149D"/>
    <w:rPr>
      <w:color w:val="606420"/>
      <w:u w:val="single"/>
    </w:rPr>
  </w:style>
  <w:style w:type="paragraph" w:customStyle="1" w:styleId="a">
    <w:basedOn w:val="Normal"/>
    <w:autoRedefine/>
    <w:rsid w:val="00FE6030"/>
    <w:pPr>
      <w:spacing w:before="0" w:after="160" w:line="240" w:lineRule="exact"/>
    </w:pPr>
    <w:rPr>
      <w:rFonts w:ascii="Verdana" w:eastAsia="Times New Roman" w:hAnsi="Verdana"/>
      <w:sz w:val="20"/>
      <w:lang w:val="en-US" w:eastAsia="en-US"/>
    </w:rPr>
  </w:style>
  <w:style w:type="character" w:styleId="Hyperlink">
    <w:name w:val="Hyperlink"/>
    <w:rsid w:val="00BF5DFB"/>
    <w:rPr>
      <w:color w:val="0000FF"/>
      <w:u w:val="single"/>
    </w:rPr>
  </w:style>
  <w:style w:type="paragraph" w:customStyle="1" w:styleId="Char">
    <w:name w:val="Char"/>
    <w:basedOn w:val="Normal"/>
    <w:autoRedefine/>
    <w:rsid w:val="001418F2"/>
    <w:pPr>
      <w:spacing w:before="0" w:after="160" w:line="240" w:lineRule="exact"/>
    </w:pPr>
    <w:rPr>
      <w:rFonts w:ascii="Verdana" w:eastAsia="Times New Roman" w:hAnsi="Verdana"/>
      <w:sz w:val="20"/>
      <w:lang w:val="en-US" w:eastAsia="en-US"/>
    </w:rPr>
  </w:style>
  <w:style w:type="paragraph" w:styleId="NormalWeb">
    <w:name w:val="Normal (Web)"/>
    <w:basedOn w:val="Normal"/>
    <w:uiPriority w:val="99"/>
    <w:unhideWhenUsed/>
    <w:rsid w:val="00D256C7"/>
    <w:pPr>
      <w:spacing w:before="0" w:after="0"/>
    </w:pPr>
    <w:rPr>
      <w:rFonts w:ascii="Times New Roman" w:eastAsia="Calibri" w:hAnsi="Times New Roman"/>
      <w:szCs w:val="24"/>
    </w:rPr>
  </w:style>
  <w:style w:type="paragraph" w:styleId="NoSpacing">
    <w:name w:val="No Spacing"/>
    <w:uiPriority w:val="1"/>
    <w:qFormat/>
    <w:rsid w:val="0007793C"/>
    <w:rPr>
      <w:rFonts w:ascii="Calibri" w:eastAsia="Calibri" w:hAnsi="Calibri"/>
      <w:sz w:val="22"/>
      <w:szCs w:val="22"/>
      <w:lang w:eastAsia="en-US"/>
    </w:rPr>
  </w:style>
  <w:style w:type="character" w:styleId="CommentReference">
    <w:name w:val="annotation reference"/>
    <w:rsid w:val="006C2E4E"/>
    <w:rPr>
      <w:sz w:val="16"/>
      <w:szCs w:val="16"/>
    </w:rPr>
  </w:style>
  <w:style w:type="paragraph" w:styleId="CommentText">
    <w:name w:val="annotation text"/>
    <w:basedOn w:val="Normal"/>
    <w:link w:val="CommentTextChar"/>
    <w:rsid w:val="006C2E4E"/>
    <w:rPr>
      <w:sz w:val="20"/>
    </w:rPr>
  </w:style>
  <w:style w:type="character" w:customStyle="1" w:styleId="CommentTextChar">
    <w:name w:val="Comment Text Char"/>
    <w:link w:val="CommentText"/>
    <w:rsid w:val="006C2E4E"/>
    <w:rPr>
      <w:rFonts w:ascii="Helvetica" w:eastAsia="Times" w:hAnsi="Helvetica"/>
    </w:rPr>
  </w:style>
  <w:style w:type="paragraph" w:styleId="CommentSubject">
    <w:name w:val="annotation subject"/>
    <w:basedOn w:val="CommentText"/>
    <w:next w:val="CommentText"/>
    <w:link w:val="CommentSubjectChar"/>
    <w:rsid w:val="006C2E4E"/>
    <w:rPr>
      <w:b/>
      <w:bCs/>
    </w:rPr>
  </w:style>
  <w:style w:type="character" w:customStyle="1" w:styleId="CommentSubjectChar">
    <w:name w:val="Comment Subject Char"/>
    <w:link w:val="CommentSubject"/>
    <w:rsid w:val="006C2E4E"/>
    <w:rPr>
      <w:rFonts w:ascii="Helvetica" w:eastAsia="Times" w:hAnsi="Helvetica"/>
      <w:b/>
      <w:bCs/>
    </w:rPr>
  </w:style>
  <w:style w:type="paragraph" w:styleId="ListParagraph">
    <w:name w:val="List Paragraph"/>
    <w:basedOn w:val="Normal"/>
    <w:uiPriority w:val="34"/>
    <w:qFormat/>
    <w:rsid w:val="001509A7"/>
    <w:pPr>
      <w:ind w:left="720"/>
    </w:pPr>
  </w:style>
  <w:style w:type="character" w:customStyle="1" w:styleId="s7">
    <w:name w:val="s7"/>
    <w:rsid w:val="004135B9"/>
  </w:style>
  <w:style w:type="table" w:customStyle="1" w:styleId="TableGrid11">
    <w:name w:val="Table Grid11"/>
    <w:basedOn w:val="TableNormal"/>
    <w:next w:val="TableGrid"/>
    <w:rsid w:val="0014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D16"/>
    <w:pPr>
      <w:autoSpaceDE w:val="0"/>
      <w:autoSpaceDN w:val="0"/>
      <w:adjustRightInd w:val="0"/>
    </w:pPr>
    <w:rPr>
      <w:rFonts w:ascii="Arial" w:hAnsi="Arial" w:cs="Arial"/>
      <w:color w:val="000000"/>
      <w:sz w:val="24"/>
      <w:szCs w:val="24"/>
    </w:rPr>
  </w:style>
  <w:style w:type="paragraph" w:customStyle="1" w:styleId="Pa9">
    <w:name w:val="Pa9"/>
    <w:basedOn w:val="Default"/>
    <w:next w:val="Default"/>
    <w:uiPriority w:val="99"/>
    <w:rsid w:val="00FF741B"/>
    <w:pPr>
      <w:spacing w:line="321" w:lineRule="atLeast"/>
    </w:pPr>
    <w:rPr>
      <w:rFonts w:ascii="Stone Sans" w:hAnsi="Stone Sans" w:cs="Times New Roman"/>
      <w:color w:val="auto"/>
    </w:rPr>
  </w:style>
  <w:style w:type="paragraph" w:customStyle="1" w:styleId="Pa3">
    <w:name w:val="Pa3"/>
    <w:basedOn w:val="Default"/>
    <w:next w:val="Default"/>
    <w:uiPriority w:val="99"/>
    <w:rsid w:val="00FF741B"/>
    <w:pPr>
      <w:spacing w:line="241" w:lineRule="atLeast"/>
    </w:pPr>
    <w:rPr>
      <w:rFonts w:ascii="Stone Sans" w:hAnsi="Stone Sans" w:cs="Times New Roman"/>
      <w:color w:val="auto"/>
    </w:rPr>
  </w:style>
  <w:style w:type="paragraph" w:customStyle="1" w:styleId="Pa13">
    <w:name w:val="Pa13"/>
    <w:basedOn w:val="Default"/>
    <w:next w:val="Default"/>
    <w:uiPriority w:val="99"/>
    <w:rsid w:val="00FF741B"/>
    <w:pPr>
      <w:spacing w:line="241" w:lineRule="atLeast"/>
    </w:pPr>
    <w:rPr>
      <w:rFonts w:ascii="Stone Sans" w:hAnsi="Stone Sans" w:cs="Times New Roman"/>
      <w:color w:val="auto"/>
    </w:rPr>
  </w:style>
  <w:style w:type="character" w:customStyle="1" w:styleId="Heading4Char">
    <w:name w:val="Heading 4 Char"/>
    <w:link w:val="Heading4"/>
    <w:rsid w:val="002512E1"/>
    <w:rPr>
      <w:rFonts w:ascii="Helvetica" w:eastAsia="Times" w:hAnsi="Helvetica"/>
      <w:b/>
      <w:sz w:val="24"/>
    </w:rPr>
  </w:style>
  <w:style w:type="character" w:customStyle="1" w:styleId="FooterChar">
    <w:name w:val="Footer Char"/>
    <w:link w:val="Footer"/>
    <w:uiPriority w:val="99"/>
    <w:rsid w:val="00972F1D"/>
    <w:rPr>
      <w:rFonts w:ascii="Helvetica" w:eastAsia="Times" w:hAnsi="Helvetica"/>
      <w:sz w:val="24"/>
    </w:rPr>
  </w:style>
  <w:style w:type="paragraph" w:styleId="Title">
    <w:name w:val="Title"/>
    <w:basedOn w:val="Normal"/>
    <w:link w:val="TitleChar"/>
    <w:qFormat/>
    <w:rsid w:val="004E5E84"/>
    <w:pPr>
      <w:spacing w:before="0" w:after="0"/>
      <w:jc w:val="center"/>
    </w:pPr>
    <w:rPr>
      <w:rFonts w:ascii="Centaur" w:eastAsia="Times New Roman" w:hAnsi="Centaur"/>
      <w:b/>
      <w:bCs/>
      <w:szCs w:val="24"/>
      <w:u w:val="single"/>
      <w:lang w:eastAsia="en-US"/>
    </w:rPr>
  </w:style>
  <w:style w:type="character" w:customStyle="1" w:styleId="TitleChar">
    <w:name w:val="Title Char"/>
    <w:link w:val="Title"/>
    <w:rsid w:val="004E5E84"/>
    <w:rPr>
      <w:rFonts w:ascii="Centaur" w:hAnsi="Centaur"/>
      <w:b/>
      <w:bCs/>
      <w:sz w:val="24"/>
      <w:szCs w:val="24"/>
      <w:u w:val="single"/>
      <w:lang w:eastAsia="en-US"/>
    </w:rPr>
  </w:style>
  <w:style w:type="paragraph" w:customStyle="1" w:styleId="ParaX1">
    <w:name w:val="Para X.1"/>
    <w:basedOn w:val="Normal"/>
    <w:rsid w:val="00C97522"/>
    <w:pPr>
      <w:spacing w:before="0" w:after="0"/>
      <w:ind w:left="731" w:hanging="731"/>
    </w:pPr>
    <w:rPr>
      <w:rFonts w:ascii="Arial" w:hAnsi="Arial"/>
    </w:rPr>
  </w:style>
  <w:style w:type="paragraph" w:customStyle="1" w:styleId="Char0">
    <w:name w:val="Char"/>
    <w:basedOn w:val="Normal"/>
    <w:rsid w:val="00520993"/>
    <w:pPr>
      <w:spacing w:before="0" w:after="160" w:line="240" w:lineRule="exact"/>
    </w:pPr>
    <w:rPr>
      <w:rFonts w:ascii="Tahoma" w:eastAsia="Times New Roman" w:hAnsi="Tahoma"/>
      <w:sz w:val="20"/>
      <w:lang w:val="en-US" w:eastAsia="en-US"/>
    </w:rPr>
  </w:style>
  <w:style w:type="paragraph" w:customStyle="1" w:styleId="p1">
    <w:name w:val="p1"/>
    <w:basedOn w:val="Normal"/>
    <w:rsid w:val="00F63F72"/>
    <w:pPr>
      <w:spacing w:before="0" w:after="0"/>
    </w:pPr>
    <w:rPr>
      <w:rFonts w:ascii=".SF UI Text" w:eastAsia="Calibri" w:hAnsi=".SF UI Text"/>
      <w:color w:val="454545"/>
      <w:sz w:val="26"/>
      <w:szCs w:val="26"/>
    </w:rPr>
  </w:style>
  <w:style w:type="character" w:customStyle="1" w:styleId="s1">
    <w:name w:val="s1"/>
    <w:rsid w:val="00F63F72"/>
    <w:rPr>
      <w:rFonts w:ascii=".SFUIText" w:hAnsi=".SFUIText" w:hint="default"/>
      <w:b w:val="0"/>
      <w:bCs w:val="0"/>
      <w:i w:val="0"/>
      <w:iCs w:val="0"/>
      <w:sz w:val="34"/>
      <w:szCs w:val="34"/>
    </w:rPr>
  </w:style>
  <w:style w:type="paragraph" w:styleId="PlainText">
    <w:name w:val="Plain Text"/>
    <w:basedOn w:val="Normal"/>
    <w:link w:val="PlainTextChar"/>
    <w:uiPriority w:val="99"/>
    <w:unhideWhenUsed/>
    <w:rsid w:val="00BC294C"/>
    <w:pPr>
      <w:spacing w:before="0" w:after="0"/>
    </w:pPr>
    <w:rPr>
      <w:rFonts w:ascii="Calibri" w:eastAsia="Calibri" w:hAnsi="Calibri"/>
      <w:sz w:val="22"/>
      <w:szCs w:val="21"/>
      <w:lang w:eastAsia="en-US"/>
    </w:rPr>
  </w:style>
  <w:style w:type="character" w:customStyle="1" w:styleId="PlainTextChar">
    <w:name w:val="Plain Text Char"/>
    <w:link w:val="PlainText"/>
    <w:uiPriority w:val="99"/>
    <w:rsid w:val="00BC294C"/>
    <w:rPr>
      <w:rFonts w:ascii="Calibri" w:eastAsia="Calibri" w:hAnsi="Calibri"/>
      <w:sz w:val="22"/>
      <w:szCs w:val="21"/>
      <w:lang w:eastAsia="en-US"/>
    </w:rPr>
  </w:style>
  <w:style w:type="paragraph" w:customStyle="1" w:styleId="xmsonormal">
    <w:name w:val="x_msonormal"/>
    <w:basedOn w:val="Normal"/>
    <w:rsid w:val="00C015DA"/>
    <w:pPr>
      <w:spacing w:before="100" w:beforeAutospacing="1" w:after="100" w:afterAutospacing="1"/>
    </w:pPr>
    <w:rPr>
      <w:rFonts w:ascii="Times New Roman" w:eastAsia="Times New Roman" w:hAnsi="Times New Roman"/>
      <w:szCs w:val="24"/>
    </w:rPr>
  </w:style>
  <w:style w:type="paragraph" w:customStyle="1" w:styleId="xmsolistparagraph">
    <w:name w:val="x_msolistparagraph"/>
    <w:basedOn w:val="Normal"/>
    <w:rsid w:val="00C015DA"/>
    <w:pPr>
      <w:spacing w:before="100" w:beforeAutospacing="1" w:after="100" w:afterAutospacing="1"/>
    </w:pPr>
    <w:rPr>
      <w:rFonts w:ascii="Times New Roman" w:eastAsia="Times New Roman" w:hAnsi="Times New Roman"/>
      <w:szCs w:val="24"/>
    </w:rPr>
  </w:style>
  <w:style w:type="character" w:customStyle="1" w:styleId="Heading1Char">
    <w:name w:val="Heading 1 Char"/>
    <w:basedOn w:val="DefaultParagraphFont"/>
    <w:link w:val="Heading1"/>
    <w:rsid w:val="00046857"/>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04685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7834">
      <w:bodyDiv w:val="1"/>
      <w:marLeft w:val="0"/>
      <w:marRight w:val="0"/>
      <w:marTop w:val="0"/>
      <w:marBottom w:val="0"/>
      <w:divBdr>
        <w:top w:val="none" w:sz="0" w:space="0" w:color="auto"/>
        <w:left w:val="none" w:sz="0" w:space="0" w:color="auto"/>
        <w:bottom w:val="none" w:sz="0" w:space="0" w:color="auto"/>
        <w:right w:val="none" w:sz="0" w:space="0" w:color="auto"/>
      </w:divBdr>
    </w:div>
    <w:div w:id="78840428">
      <w:bodyDiv w:val="1"/>
      <w:marLeft w:val="0"/>
      <w:marRight w:val="0"/>
      <w:marTop w:val="0"/>
      <w:marBottom w:val="0"/>
      <w:divBdr>
        <w:top w:val="none" w:sz="0" w:space="0" w:color="auto"/>
        <w:left w:val="none" w:sz="0" w:space="0" w:color="auto"/>
        <w:bottom w:val="none" w:sz="0" w:space="0" w:color="auto"/>
        <w:right w:val="none" w:sz="0" w:space="0" w:color="auto"/>
      </w:divBdr>
    </w:div>
    <w:div w:id="115369002">
      <w:bodyDiv w:val="1"/>
      <w:marLeft w:val="0"/>
      <w:marRight w:val="0"/>
      <w:marTop w:val="0"/>
      <w:marBottom w:val="0"/>
      <w:divBdr>
        <w:top w:val="none" w:sz="0" w:space="0" w:color="auto"/>
        <w:left w:val="none" w:sz="0" w:space="0" w:color="auto"/>
        <w:bottom w:val="none" w:sz="0" w:space="0" w:color="auto"/>
        <w:right w:val="none" w:sz="0" w:space="0" w:color="auto"/>
      </w:divBdr>
    </w:div>
    <w:div w:id="282272338">
      <w:bodyDiv w:val="1"/>
      <w:marLeft w:val="0"/>
      <w:marRight w:val="0"/>
      <w:marTop w:val="0"/>
      <w:marBottom w:val="0"/>
      <w:divBdr>
        <w:top w:val="none" w:sz="0" w:space="0" w:color="auto"/>
        <w:left w:val="none" w:sz="0" w:space="0" w:color="auto"/>
        <w:bottom w:val="none" w:sz="0" w:space="0" w:color="auto"/>
        <w:right w:val="none" w:sz="0" w:space="0" w:color="auto"/>
      </w:divBdr>
    </w:div>
    <w:div w:id="356123358">
      <w:bodyDiv w:val="1"/>
      <w:marLeft w:val="0"/>
      <w:marRight w:val="0"/>
      <w:marTop w:val="0"/>
      <w:marBottom w:val="0"/>
      <w:divBdr>
        <w:top w:val="none" w:sz="0" w:space="0" w:color="auto"/>
        <w:left w:val="none" w:sz="0" w:space="0" w:color="auto"/>
        <w:bottom w:val="none" w:sz="0" w:space="0" w:color="auto"/>
        <w:right w:val="none" w:sz="0" w:space="0" w:color="auto"/>
      </w:divBdr>
    </w:div>
    <w:div w:id="365957792">
      <w:bodyDiv w:val="1"/>
      <w:marLeft w:val="80"/>
      <w:marRight w:val="80"/>
      <w:marTop w:val="80"/>
      <w:marBottom w:val="20"/>
      <w:divBdr>
        <w:top w:val="none" w:sz="0" w:space="0" w:color="auto"/>
        <w:left w:val="none" w:sz="0" w:space="0" w:color="auto"/>
        <w:bottom w:val="none" w:sz="0" w:space="0" w:color="auto"/>
        <w:right w:val="none" w:sz="0" w:space="0" w:color="auto"/>
      </w:divBdr>
      <w:divsChild>
        <w:div w:id="1641956144">
          <w:marLeft w:val="0"/>
          <w:marRight w:val="0"/>
          <w:marTop w:val="0"/>
          <w:marBottom w:val="0"/>
          <w:divBdr>
            <w:top w:val="none" w:sz="0" w:space="0" w:color="auto"/>
            <w:left w:val="none" w:sz="0" w:space="0" w:color="auto"/>
            <w:bottom w:val="none" w:sz="0" w:space="0" w:color="auto"/>
            <w:right w:val="none" w:sz="0" w:space="0" w:color="auto"/>
          </w:divBdr>
        </w:div>
        <w:div w:id="1852985586">
          <w:marLeft w:val="0"/>
          <w:marRight w:val="0"/>
          <w:marTop w:val="0"/>
          <w:marBottom w:val="0"/>
          <w:divBdr>
            <w:top w:val="none" w:sz="0" w:space="0" w:color="auto"/>
            <w:left w:val="none" w:sz="0" w:space="0" w:color="auto"/>
            <w:bottom w:val="none" w:sz="0" w:space="0" w:color="auto"/>
            <w:right w:val="none" w:sz="0" w:space="0" w:color="auto"/>
          </w:divBdr>
        </w:div>
      </w:divsChild>
    </w:div>
    <w:div w:id="408231853">
      <w:bodyDiv w:val="1"/>
      <w:marLeft w:val="80"/>
      <w:marRight w:val="80"/>
      <w:marTop w:val="80"/>
      <w:marBottom w:val="20"/>
      <w:divBdr>
        <w:top w:val="none" w:sz="0" w:space="0" w:color="auto"/>
        <w:left w:val="none" w:sz="0" w:space="0" w:color="auto"/>
        <w:bottom w:val="none" w:sz="0" w:space="0" w:color="auto"/>
        <w:right w:val="none" w:sz="0" w:space="0" w:color="auto"/>
      </w:divBdr>
      <w:divsChild>
        <w:div w:id="1960186255">
          <w:marLeft w:val="0"/>
          <w:marRight w:val="0"/>
          <w:marTop w:val="0"/>
          <w:marBottom w:val="0"/>
          <w:divBdr>
            <w:top w:val="none" w:sz="0" w:space="0" w:color="auto"/>
            <w:left w:val="none" w:sz="0" w:space="0" w:color="auto"/>
            <w:bottom w:val="none" w:sz="0" w:space="0" w:color="auto"/>
            <w:right w:val="none" w:sz="0" w:space="0" w:color="auto"/>
          </w:divBdr>
          <w:divsChild>
            <w:div w:id="1686438585">
              <w:marLeft w:val="0"/>
              <w:marRight w:val="0"/>
              <w:marTop w:val="0"/>
              <w:marBottom w:val="0"/>
              <w:divBdr>
                <w:top w:val="none" w:sz="0" w:space="0" w:color="auto"/>
                <w:left w:val="none" w:sz="0" w:space="0" w:color="auto"/>
                <w:bottom w:val="none" w:sz="0" w:space="0" w:color="auto"/>
                <w:right w:val="none" w:sz="0" w:space="0" w:color="auto"/>
              </w:divBdr>
              <w:divsChild>
                <w:div w:id="311912668">
                  <w:marLeft w:val="0"/>
                  <w:marRight w:val="0"/>
                  <w:marTop w:val="0"/>
                  <w:marBottom w:val="0"/>
                  <w:divBdr>
                    <w:top w:val="none" w:sz="0" w:space="0" w:color="auto"/>
                    <w:left w:val="none" w:sz="0" w:space="0" w:color="auto"/>
                    <w:bottom w:val="none" w:sz="0" w:space="0" w:color="auto"/>
                    <w:right w:val="none" w:sz="0" w:space="0" w:color="auto"/>
                  </w:divBdr>
                </w:div>
                <w:div w:id="772554188">
                  <w:marLeft w:val="0"/>
                  <w:marRight w:val="0"/>
                  <w:marTop w:val="0"/>
                  <w:marBottom w:val="0"/>
                  <w:divBdr>
                    <w:top w:val="none" w:sz="0" w:space="0" w:color="auto"/>
                    <w:left w:val="none" w:sz="0" w:space="0" w:color="auto"/>
                    <w:bottom w:val="none" w:sz="0" w:space="0" w:color="auto"/>
                    <w:right w:val="none" w:sz="0" w:space="0" w:color="auto"/>
                  </w:divBdr>
                </w:div>
                <w:div w:id="1120342731">
                  <w:marLeft w:val="0"/>
                  <w:marRight w:val="0"/>
                  <w:marTop w:val="0"/>
                  <w:marBottom w:val="0"/>
                  <w:divBdr>
                    <w:top w:val="none" w:sz="0" w:space="0" w:color="auto"/>
                    <w:left w:val="none" w:sz="0" w:space="0" w:color="auto"/>
                    <w:bottom w:val="none" w:sz="0" w:space="0" w:color="auto"/>
                    <w:right w:val="none" w:sz="0" w:space="0" w:color="auto"/>
                  </w:divBdr>
                </w:div>
                <w:div w:id="1514149051">
                  <w:marLeft w:val="0"/>
                  <w:marRight w:val="0"/>
                  <w:marTop w:val="0"/>
                  <w:marBottom w:val="0"/>
                  <w:divBdr>
                    <w:top w:val="none" w:sz="0" w:space="0" w:color="auto"/>
                    <w:left w:val="none" w:sz="0" w:space="0" w:color="auto"/>
                    <w:bottom w:val="none" w:sz="0" w:space="0" w:color="auto"/>
                    <w:right w:val="none" w:sz="0" w:space="0" w:color="auto"/>
                  </w:divBdr>
                </w:div>
                <w:div w:id="1622687583">
                  <w:marLeft w:val="0"/>
                  <w:marRight w:val="0"/>
                  <w:marTop w:val="0"/>
                  <w:marBottom w:val="0"/>
                  <w:divBdr>
                    <w:top w:val="none" w:sz="0" w:space="0" w:color="auto"/>
                    <w:left w:val="none" w:sz="0" w:space="0" w:color="auto"/>
                    <w:bottom w:val="none" w:sz="0" w:space="0" w:color="auto"/>
                    <w:right w:val="none" w:sz="0" w:space="0" w:color="auto"/>
                  </w:divBdr>
                </w:div>
                <w:div w:id="18855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50242">
      <w:bodyDiv w:val="1"/>
      <w:marLeft w:val="0"/>
      <w:marRight w:val="0"/>
      <w:marTop w:val="0"/>
      <w:marBottom w:val="0"/>
      <w:divBdr>
        <w:top w:val="none" w:sz="0" w:space="0" w:color="auto"/>
        <w:left w:val="none" w:sz="0" w:space="0" w:color="auto"/>
        <w:bottom w:val="none" w:sz="0" w:space="0" w:color="auto"/>
        <w:right w:val="none" w:sz="0" w:space="0" w:color="auto"/>
      </w:divBdr>
    </w:div>
    <w:div w:id="897396996">
      <w:bodyDiv w:val="1"/>
      <w:marLeft w:val="80"/>
      <w:marRight w:val="80"/>
      <w:marTop w:val="80"/>
      <w:marBottom w:val="20"/>
      <w:divBdr>
        <w:top w:val="none" w:sz="0" w:space="0" w:color="auto"/>
        <w:left w:val="none" w:sz="0" w:space="0" w:color="auto"/>
        <w:bottom w:val="none" w:sz="0" w:space="0" w:color="auto"/>
        <w:right w:val="none" w:sz="0" w:space="0" w:color="auto"/>
      </w:divBdr>
      <w:divsChild>
        <w:div w:id="145249010">
          <w:marLeft w:val="0"/>
          <w:marRight w:val="0"/>
          <w:marTop w:val="0"/>
          <w:marBottom w:val="0"/>
          <w:divBdr>
            <w:top w:val="none" w:sz="0" w:space="0" w:color="auto"/>
            <w:left w:val="none" w:sz="0" w:space="0" w:color="auto"/>
            <w:bottom w:val="none" w:sz="0" w:space="0" w:color="auto"/>
            <w:right w:val="none" w:sz="0" w:space="0" w:color="auto"/>
          </w:divBdr>
          <w:divsChild>
            <w:div w:id="1511065604">
              <w:marLeft w:val="0"/>
              <w:marRight w:val="0"/>
              <w:marTop w:val="0"/>
              <w:marBottom w:val="0"/>
              <w:divBdr>
                <w:top w:val="none" w:sz="0" w:space="0" w:color="auto"/>
                <w:left w:val="none" w:sz="0" w:space="0" w:color="auto"/>
                <w:bottom w:val="none" w:sz="0" w:space="0" w:color="auto"/>
                <w:right w:val="none" w:sz="0" w:space="0" w:color="auto"/>
              </w:divBdr>
              <w:divsChild>
                <w:div w:id="472528248">
                  <w:marLeft w:val="0"/>
                  <w:marRight w:val="0"/>
                  <w:marTop w:val="0"/>
                  <w:marBottom w:val="0"/>
                  <w:divBdr>
                    <w:top w:val="none" w:sz="0" w:space="0" w:color="auto"/>
                    <w:left w:val="none" w:sz="0" w:space="0" w:color="auto"/>
                    <w:bottom w:val="none" w:sz="0" w:space="0" w:color="auto"/>
                    <w:right w:val="none" w:sz="0" w:space="0" w:color="auto"/>
                  </w:divBdr>
                </w:div>
                <w:div w:id="1189443101">
                  <w:marLeft w:val="0"/>
                  <w:marRight w:val="0"/>
                  <w:marTop w:val="0"/>
                  <w:marBottom w:val="0"/>
                  <w:divBdr>
                    <w:top w:val="none" w:sz="0" w:space="0" w:color="auto"/>
                    <w:left w:val="none" w:sz="0" w:space="0" w:color="auto"/>
                    <w:bottom w:val="none" w:sz="0" w:space="0" w:color="auto"/>
                    <w:right w:val="none" w:sz="0" w:space="0" w:color="auto"/>
                  </w:divBdr>
                </w:div>
                <w:div w:id="1388408998">
                  <w:marLeft w:val="0"/>
                  <w:marRight w:val="0"/>
                  <w:marTop w:val="0"/>
                  <w:marBottom w:val="0"/>
                  <w:divBdr>
                    <w:top w:val="none" w:sz="0" w:space="0" w:color="auto"/>
                    <w:left w:val="none" w:sz="0" w:space="0" w:color="auto"/>
                    <w:bottom w:val="none" w:sz="0" w:space="0" w:color="auto"/>
                    <w:right w:val="none" w:sz="0" w:space="0" w:color="auto"/>
                  </w:divBdr>
                </w:div>
                <w:div w:id="1428113100">
                  <w:marLeft w:val="0"/>
                  <w:marRight w:val="0"/>
                  <w:marTop w:val="0"/>
                  <w:marBottom w:val="0"/>
                  <w:divBdr>
                    <w:top w:val="none" w:sz="0" w:space="0" w:color="auto"/>
                    <w:left w:val="none" w:sz="0" w:space="0" w:color="auto"/>
                    <w:bottom w:val="none" w:sz="0" w:space="0" w:color="auto"/>
                    <w:right w:val="none" w:sz="0" w:space="0" w:color="auto"/>
                  </w:divBdr>
                </w:div>
                <w:div w:id="1518738731">
                  <w:marLeft w:val="0"/>
                  <w:marRight w:val="0"/>
                  <w:marTop w:val="0"/>
                  <w:marBottom w:val="0"/>
                  <w:divBdr>
                    <w:top w:val="none" w:sz="0" w:space="0" w:color="auto"/>
                    <w:left w:val="none" w:sz="0" w:space="0" w:color="auto"/>
                    <w:bottom w:val="none" w:sz="0" w:space="0" w:color="auto"/>
                    <w:right w:val="none" w:sz="0" w:space="0" w:color="auto"/>
                  </w:divBdr>
                </w:div>
                <w:div w:id="20316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8373">
      <w:bodyDiv w:val="1"/>
      <w:marLeft w:val="0"/>
      <w:marRight w:val="0"/>
      <w:marTop w:val="0"/>
      <w:marBottom w:val="0"/>
      <w:divBdr>
        <w:top w:val="none" w:sz="0" w:space="0" w:color="auto"/>
        <w:left w:val="none" w:sz="0" w:space="0" w:color="auto"/>
        <w:bottom w:val="none" w:sz="0" w:space="0" w:color="auto"/>
        <w:right w:val="none" w:sz="0" w:space="0" w:color="auto"/>
      </w:divBdr>
    </w:div>
    <w:div w:id="1163622424">
      <w:bodyDiv w:val="1"/>
      <w:marLeft w:val="0"/>
      <w:marRight w:val="0"/>
      <w:marTop w:val="0"/>
      <w:marBottom w:val="0"/>
      <w:divBdr>
        <w:top w:val="none" w:sz="0" w:space="0" w:color="auto"/>
        <w:left w:val="none" w:sz="0" w:space="0" w:color="auto"/>
        <w:bottom w:val="none" w:sz="0" w:space="0" w:color="auto"/>
        <w:right w:val="none" w:sz="0" w:space="0" w:color="auto"/>
      </w:divBdr>
    </w:div>
    <w:div w:id="1176845173">
      <w:bodyDiv w:val="1"/>
      <w:marLeft w:val="0"/>
      <w:marRight w:val="0"/>
      <w:marTop w:val="0"/>
      <w:marBottom w:val="0"/>
      <w:divBdr>
        <w:top w:val="none" w:sz="0" w:space="0" w:color="auto"/>
        <w:left w:val="none" w:sz="0" w:space="0" w:color="auto"/>
        <w:bottom w:val="none" w:sz="0" w:space="0" w:color="auto"/>
        <w:right w:val="none" w:sz="0" w:space="0" w:color="auto"/>
      </w:divBdr>
    </w:div>
    <w:div w:id="1219441233">
      <w:bodyDiv w:val="1"/>
      <w:marLeft w:val="0"/>
      <w:marRight w:val="0"/>
      <w:marTop w:val="0"/>
      <w:marBottom w:val="0"/>
      <w:divBdr>
        <w:top w:val="none" w:sz="0" w:space="0" w:color="auto"/>
        <w:left w:val="none" w:sz="0" w:space="0" w:color="auto"/>
        <w:bottom w:val="none" w:sz="0" w:space="0" w:color="auto"/>
        <w:right w:val="none" w:sz="0" w:space="0" w:color="auto"/>
      </w:divBdr>
    </w:div>
    <w:div w:id="1256553438">
      <w:bodyDiv w:val="1"/>
      <w:marLeft w:val="0"/>
      <w:marRight w:val="0"/>
      <w:marTop w:val="0"/>
      <w:marBottom w:val="0"/>
      <w:divBdr>
        <w:top w:val="none" w:sz="0" w:space="0" w:color="auto"/>
        <w:left w:val="none" w:sz="0" w:space="0" w:color="auto"/>
        <w:bottom w:val="none" w:sz="0" w:space="0" w:color="auto"/>
        <w:right w:val="none" w:sz="0" w:space="0" w:color="auto"/>
      </w:divBdr>
    </w:div>
    <w:div w:id="1292320826">
      <w:bodyDiv w:val="1"/>
      <w:marLeft w:val="0"/>
      <w:marRight w:val="0"/>
      <w:marTop w:val="0"/>
      <w:marBottom w:val="0"/>
      <w:divBdr>
        <w:top w:val="none" w:sz="0" w:space="0" w:color="auto"/>
        <w:left w:val="none" w:sz="0" w:space="0" w:color="auto"/>
        <w:bottom w:val="none" w:sz="0" w:space="0" w:color="auto"/>
        <w:right w:val="none" w:sz="0" w:space="0" w:color="auto"/>
      </w:divBdr>
    </w:div>
    <w:div w:id="1513379916">
      <w:bodyDiv w:val="1"/>
      <w:marLeft w:val="0"/>
      <w:marRight w:val="0"/>
      <w:marTop w:val="0"/>
      <w:marBottom w:val="0"/>
      <w:divBdr>
        <w:top w:val="none" w:sz="0" w:space="0" w:color="auto"/>
        <w:left w:val="none" w:sz="0" w:space="0" w:color="auto"/>
        <w:bottom w:val="none" w:sz="0" w:space="0" w:color="auto"/>
        <w:right w:val="none" w:sz="0" w:space="0" w:color="auto"/>
      </w:divBdr>
      <w:divsChild>
        <w:div w:id="970523073">
          <w:marLeft w:val="0"/>
          <w:marRight w:val="0"/>
          <w:marTop w:val="0"/>
          <w:marBottom w:val="0"/>
          <w:divBdr>
            <w:top w:val="none" w:sz="0" w:space="0" w:color="auto"/>
            <w:left w:val="none" w:sz="0" w:space="0" w:color="auto"/>
            <w:bottom w:val="none" w:sz="0" w:space="0" w:color="auto"/>
            <w:right w:val="none" w:sz="0" w:space="0" w:color="auto"/>
          </w:divBdr>
        </w:div>
      </w:divsChild>
    </w:div>
    <w:div w:id="1559588302">
      <w:bodyDiv w:val="1"/>
      <w:marLeft w:val="80"/>
      <w:marRight w:val="80"/>
      <w:marTop w:val="80"/>
      <w:marBottom w:val="20"/>
      <w:divBdr>
        <w:top w:val="none" w:sz="0" w:space="0" w:color="auto"/>
        <w:left w:val="none" w:sz="0" w:space="0" w:color="auto"/>
        <w:bottom w:val="none" w:sz="0" w:space="0" w:color="auto"/>
        <w:right w:val="none" w:sz="0" w:space="0" w:color="auto"/>
      </w:divBdr>
      <w:divsChild>
        <w:div w:id="211770417">
          <w:marLeft w:val="0"/>
          <w:marRight w:val="0"/>
          <w:marTop w:val="0"/>
          <w:marBottom w:val="0"/>
          <w:divBdr>
            <w:top w:val="none" w:sz="0" w:space="0" w:color="auto"/>
            <w:left w:val="none" w:sz="0" w:space="0" w:color="auto"/>
            <w:bottom w:val="none" w:sz="0" w:space="0" w:color="auto"/>
            <w:right w:val="none" w:sz="0" w:space="0" w:color="auto"/>
          </w:divBdr>
        </w:div>
      </w:divsChild>
    </w:div>
    <w:div w:id="1665277678">
      <w:bodyDiv w:val="1"/>
      <w:marLeft w:val="80"/>
      <w:marRight w:val="80"/>
      <w:marTop w:val="80"/>
      <w:marBottom w:val="20"/>
      <w:divBdr>
        <w:top w:val="none" w:sz="0" w:space="0" w:color="auto"/>
        <w:left w:val="none" w:sz="0" w:space="0" w:color="auto"/>
        <w:bottom w:val="none" w:sz="0" w:space="0" w:color="auto"/>
        <w:right w:val="none" w:sz="0" w:space="0" w:color="auto"/>
      </w:divBdr>
      <w:divsChild>
        <w:div w:id="196625976">
          <w:marLeft w:val="0"/>
          <w:marRight w:val="0"/>
          <w:marTop w:val="0"/>
          <w:marBottom w:val="0"/>
          <w:divBdr>
            <w:top w:val="none" w:sz="0" w:space="0" w:color="auto"/>
            <w:left w:val="none" w:sz="0" w:space="0" w:color="auto"/>
            <w:bottom w:val="none" w:sz="0" w:space="0" w:color="auto"/>
            <w:right w:val="none" w:sz="0" w:space="0" w:color="auto"/>
          </w:divBdr>
        </w:div>
      </w:divsChild>
    </w:div>
    <w:div w:id="1698769336">
      <w:bodyDiv w:val="1"/>
      <w:marLeft w:val="0"/>
      <w:marRight w:val="0"/>
      <w:marTop w:val="0"/>
      <w:marBottom w:val="0"/>
      <w:divBdr>
        <w:top w:val="none" w:sz="0" w:space="0" w:color="auto"/>
        <w:left w:val="none" w:sz="0" w:space="0" w:color="auto"/>
        <w:bottom w:val="none" w:sz="0" w:space="0" w:color="auto"/>
        <w:right w:val="none" w:sz="0" w:space="0" w:color="auto"/>
      </w:divBdr>
    </w:div>
    <w:div w:id="1771126455">
      <w:bodyDiv w:val="1"/>
      <w:marLeft w:val="0"/>
      <w:marRight w:val="0"/>
      <w:marTop w:val="0"/>
      <w:marBottom w:val="0"/>
      <w:divBdr>
        <w:top w:val="none" w:sz="0" w:space="0" w:color="auto"/>
        <w:left w:val="none" w:sz="0" w:space="0" w:color="auto"/>
        <w:bottom w:val="none" w:sz="0" w:space="0" w:color="auto"/>
        <w:right w:val="none" w:sz="0" w:space="0" w:color="auto"/>
      </w:divBdr>
    </w:div>
    <w:div w:id="1789658811">
      <w:bodyDiv w:val="1"/>
      <w:marLeft w:val="0"/>
      <w:marRight w:val="0"/>
      <w:marTop w:val="0"/>
      <w:marBottom w:val="0"/>
      <w:divBdr>
        <w:top w:val="none" w:sz="0" w:space="0" w:color="auto"/>
        <w:left w:val="none" w:sz="0" w:space="0" w:color="auto"/>
        <w:bottom w:val="none" w:sz="0" w:space="0" w:color="auto"/>
        <w:right w:val="none" w:sz="0" w:space="0" w:color="auto"/>
      </w:divBdr>
    </w:div>
    <w:div w:id="1814372750">
      <w:bodyDiv w:val="1"/>
      <w:marLeft w:val="0"/>
      <w:marRight w:val="0"/>
      <w:marTop w:val="0"/>
      <w:marBottom w:val="0"/>
      <w:divBdr>
        <w:top w:val="none" w:sz="0" w:space="0" w:color="auto"/>
        <w:left w:val="none" w:sz="0" w:space="0" w:color="auto"/>
        <w:bottom w:val="none" w:sz="0" w:space="0" w:color="auto"/>
        <w:right w:val="none" w:sz="0" w:space="0" w:color="auto"/>
      </w:divBdr>
    </w:div>
    <w:div w:id="1870218329">
      <w:bodyDiv w:val="1"/>
      <w:marLeft w:val="0"/>
      <w:marRight w:val="0"/>
      <w:marTop w:val="0"/>
      <w:marBottom w:val="0"/>
      <w:divBdr>
        <w:top w:val="none" w:sz="0" w:space="0" w:color="auto"/>
        <w:left w:val="none" w:sz="0" w:space="0" w:color="auto"/>
        <w:bottom w:val="none" w:sz="0" w:space="0" w:color="auto"/>
        <w:right w:val="none" w:sz="0" w:space="0" w:color="auto"/>
      </w:divBdr>
    </w:div>
    <w:div w:id="1927229257">
      <w:bodyDiv w:val="1"/>
      <w:marLeft w:val="0"/>
      <w:marRight w:val="0"/>
      <w:marTop w:val="0"/>
      <w:marBottom w:val="0"/>
      <w:divBdr>
        <w:top w:val="none" w:sz="0" w:space="0" w:color="auto"/>
        <w:left w:val="none" w:sz="0" w:space="0" w:color="auto"/>
        <w:bottom w:val="none" w:sz="0" w:space="0" w:color="auto"/>
        <w:right w:val="none" w:sz="0" w:space="0" w:color="auto"/>
      </w:divBdr>
    </w:div>
    <w:div w:id="2064937938">
      <w:bodyDiv w:val="1"/>
      <w:marLeft w:val="0"/>
      <w:marRight w:val="0"/>
      <w:marTop w:val="0"/>
      <w:marBottom w:val="0"/>
      <w:divBdr>
        <w:top w:val="none" w:sz="0" w:space="0" w:color="auto"/>
        <w:left w:val="none" w:sz="0" w:space="0" w:color="auto"/>
        <w:bottom w:val="none" w:sz="0" w:space="0" w:color="auto"/>
        <w:right w:val="none" w:sz="0" w:space="0" w:color="auto"/>
      </w:divBdr>
    </w:div>
    <w:div w:id="206683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1.xml"/><Relationship Id="rId21" Type="http://schemas.openxmlformats.org/officeDocument/2006/relationships/chart" Target="charts/chart12.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fontTable" Target="fontTab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1.xml"/><Relationship Id="rId36" Type="http://schemas.openxmlformats.org/officeDocument/2006/relationships/customXml" Target="../customXml/item4.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HQCLUSTER_HQDATA6_SERVER\HQDATA6\FH01\HOME\HSNG\CORPORATEDEVELOPMENT\T%20Management\T2%20Performance%20Mgmt\02%20Perf%20Reporting\Performance%20Committee%20Report%202018-19\19%2009%2013%20PI%20ChartsForCommitteeRepo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Stage 1 Complaints dealt with within 5 days (%)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'Property Services'!$B$4</c:f>
              <c:strCache>
                <c:ptCount val="1"/>
                <c:pt idx="0">
                  <c:v>Fife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5.2620253989504186E-2"/>
                  <c:y val="-4.91434286936933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0A-47F7-8497-57F4D3EDFB6C}"/>
                </c:ext>
              </c:extLst>
            </c:dLbl>
            <c:dLbl>
              <c:idx val="2"/>
              <c:layout>
                <c:manualLayout>
                  <c:x val="-4.9814594510406901E-2"/>
                  <c:y val="-4.91434286936933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0A-47F7-8497-57F4D3EDFB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Services'!$A$5:$A$7</c:f>
              <c:strCache>
                <c:ptCount val="3"/>
                <c:pt idx="0">
                  <c:v>2016/17</c:v>
                </c:pt>
                <c:pt idx="1">
                  <c:v>2017/18</c:v>
                </c:pt>
                <c:pt idx="2">
                  <c:v>2018/19</c:v>
                </c:pt>
              </c:strCache>
            </c:strRef>
          </c:cat>
          <c:val>
            <c:numRef>
              <c:f>'Property Services'!$B$5:$B$7</c:f>
              <c:numCache>
                <c:formatCode>0.00</c:formatCode>
                <c:ptCount val="3"/>
                <c:pt idx="0">
                  <c:v>91.81</c:v>
                </c:pt>
                <c:pt idx="1">
                  <c:v>88.28</c:v>
                </c:pt>
                <c:pt idx="2">
                  <c:v>90.18</c:v>
                </c:pt>
              </c:numCache>
            </c:numRef>
          </c:val>
          <c:smooth val="0"/>
          <c:extLst>
            <c:ext xmlns:c16="http://schemas.microsoft.com/office/drawing/2014/chart" uri="{C3380CC4-5D6E-409C-BE32-E72D297353CC}">
              <c16:uniqueId val="{00000002-5B0A-47F7-8497-57F4D3EDFB6C}"/>
            </c:ext>
          </c:extLst>
        </c:ser>
        <c:ser>
          <c:idx val="1"/>
          <c:order val="1"/>
          <c:tx>
            <c:strRef>
              <c:f>'Property Services'!$C$4</c:f>
              <c:strCache>
                <c:ptCount val="1"/>
                <c:pt idx="0">
                  <c:v>Property Services</c:v>
                </c:pt>
              </c:strCache>
            </c:strRef>
          </c:tx>
          <c:spPr>
            <a:ln w="28575" cap="rnd">
              <a:solidFill>
                <a:srgbClr val="00B050"/>
              </a:solidFill>
              <a:prstDash val="lgDash"/>
              <a:round/>
            </a:ln>
            <a:effectLst/>
          </c:spPr>
          <c:marker>
            <c:symbol val="circle"/>
            <c:size val="5"/>
            <c:spPr>
              <a:solidFill>
                <a:srgbClr val="00B050"/>
              </a:solidFill>
              <a:ln w="9525">
                <a:solidFill>
                  <a:srgbClr val="00B050"/>
                </a:solid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0A-47F7-8497-57F4D3EDFB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Services'!$A$5:$A$7</c:f>
              <c:strCache>
                <c:ptCount val="3"/>
                <c:pt idx="0">
                  <c:v>2016/17</c:v>
                </c:pt>
                <c:pt idx="1">
                  <c:v>2017/18</c:v>
                </c:pt>
                <c:pt idx="2">
                  <c:v>2018/19</c:v>
                </c:pt>
              </c:strCache>
            </c:strRef>
          </c:cat>
          <c:val>
            <c:numRef>
              <c:f>'Property Services'!$C$5:$C$7</c:f>
              <c:numCache>
                <c:formatCode>0.00</c:formatCode>
                <c:ptCount val="3"/>
                <c:pt idx="0">
                  <c:v>100</c:v>
                </c:pt>
                <c:pt idx="1">
                  <c:v>33.33</c:v>
                </c:pt>
                <c:pt idx="2">
                  <c:v>75</c:v>
                </c:pt>
              </c:numCache>
            </c:numRef>
          </c:val>
          <c:smooth val="0"/>
          <c:extLst>
            <c:ext xmlns:c16="http://schemas.microsoft.com/office/drawing/2014/chart" uri="{C3380CC4-5D6E-409C-BE32-E72D297353CC}">
              <c16:uniqueId val="{00000004-5B0A-47F7-8497-57F4D3EDFB6C}"/>
            </c:ext>
          </c:extLst>
        </c:ser>
        <c:dLbls>
          <c:dLblPos val="b"/>
          <c:showLegendKey val="0"/>
          <c:showVal val="1"/>
          <c:showCatName val="0"/>
          <c:showSerName val="0"/>
          <c:showPercent val="0"/>
          <c:showBubbleSize val="0"/>
        </c:dLbls>
        <c:marker val="1"/>
        <c:smooth val="0"/>
        <c:axId val="403138928"/>
        <c:axId val="403139320"/>
      </c:lineChart>
      <c:catAx>
        <c:axId val="40313892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139320"/>
        <c:crosses val="autoZero"/>
        <c:auto val="1"/>
        <c:lblAlgn val="ctr"/>
        <c:lblOffset val="100"/>
        <c:noMultiLvlLbl val="0"/>
      </c:catAx>
      <c:valAx>
        <c:axId val="403139320"/>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13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Percentage of Projects completed on budget</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'Property Services'!$C$158</c:f>
              <c:strCache>
                <c:ptCount val="1"/>
                <c:pt idx="0">
                  <c:v>Property Services</c:v>
                </c:pt>
              </c:strCache>
            </c:strRef>
          </c:tx>
          <c:spPr>
            <a:ln w="28575" cap="rnd">
              <a:solidFill>
                <a:schemeClr val="accent1"/>
              </a:solidFill>
              <a:prstDash val="solid"/>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Services'!$A$160:$A$161</c:f>
              <c:strCache>
                <c:ptCount val="2"/>
                <c:pt idx="0">
                  <c:v>2017/18</c:v>
                </c:pt>
                <c:pt idx="1">
                  <c:v>2018/19</c:v>
                </c:pt>
              </c:strCache>
            </c:strRef>
          </c:cat>
          <c:val>
            <c:numRef>
              <c:f>'Property Services'!$C$160:$C$161</c:f>
              <c:numCache>
                <c:formatCode>General</c:formatCode>
                <c:ptCount val="2"/>
                <c:pt idx="0">
                  <c:v>76.599999999999994</c:v>
                </c:pt>
                <c:pt idx="1">
                  <c:v>78.900000000000006</c:v>
                </c:pt>
              </c:numCache>
            </c:numRef>
          </c:val>
          <c:smooth val="0"/>
          <c:extLst>
            <c:ext xmlns:c16="http://schemas.microsoft.com/office/drawing/2014/chart" uri="{C3380CC4-5D6E-409C-BE32-E72D297353CC}">
              <c16:uniqueId val="{00000000-5E8C-4CA5-A670-00147BD423C8}"/>
            </c:ext>
          </c:extLst>
        </c:ser>
        <c:dLbls>
          <c:dLblPos val="t"/>
          <c:showLegendKey val="0"/>
          <c:showVal val="1"/>
          <c:showCatName val="0"/>
          <c:showSerName val="0"/>
          <c:showPercent val="0"/>
          <c:showBubbleSize val="0"/>
        </c:dLbls>
        <c:marker val="1"/>
        <c:smooth val="0"/>
        <c:axId val="432242344"/>
        <c:axId val="432242736"/>
      </c:lineChart>
      <c:catAx>
        <c:axId val="43224234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42736"/>
        <c:crosses val="autoZero"/>
        <c:auto val="1"/>
        <c:lblAlgn val="ctr"/>
        <c:lblOffset val="100"/>
        <c:noMultiLvlLbl val="0"/>
      </c:catAx>
      <c:valAx>
        <c:axId val="432242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42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900" b="0" i="0" u="none" strike="noStrike" baseline="0">
                <a:effectLst/>
              </a:rPr>
              <a:t>% change in Gross Internal Area across the Council's operational Estate: Reduction(-) / Increase(+)</a:t>
            </a:r>
            <a:endParaRPr lang="en-GB" sz="9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'Property Services'!$B$173</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Services'!$A$174:$A$176</c:f>
              <c:strCache>
                <c:ptCount val="3"/>
                <c:pt idx="0">
                  <c:v>2016/17</c:v>
                </c:pt>
                <c:pt idx="1">
                  <c:v>2017/18</c:v>
                </c:pt>
                <c:pt idx="2">
                  <c:v>2018/19</c:v>
                </c:pt>
              </c:strCache>
            </c:strRef>
          </c:cat>
          <c:val>
            <c:numRef>
              <c:f>'Property Services'!$B$174:$B$176</c:f>
              <c:numCache>
                <c:formatCode>General</c:formatCode>
                <c:ptCount val="3"/>
              </c:numCache>
            </c:numRef>
          </c:val>
          <c:smooth val="0"/>
          <c:extLst>
            <c:ext xmlns:c16="http://schemas.microsoft.com/office/drawing/2014/chart" uri="{C3380CC4-5D6E-409C-BE32-E72D297353CC}">
              <c16:uniqueId val="{00000000-4EE4-4644-BA75-E30B0C107091}"/>
            </c:ext>
          </c:extLst>
        </c:ser>
        <c:ser>
          <c:idx val="1"/>
          <c:order val="1"/>
          <c:tx>
            <c:strRef>
              <c:f>'Property Services'!$C$173</c:f>
              <c:strCache>
                <c:ptCount val="1"/>
                <c:pt idx="0">
                  <c:v>Property Services</c:v>
                </c:pt>
              </c:strCache>
            </c:strRef>
          </c:tx>
          <c:spPr>
            <a:ln w="28575" cap="rnd">
              <a:solidFill>
                <a:schemeClr val="accent1"/>
              </a:solidFill>
              <a:prstDash val="solid"/>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Services'!$A$174:$A$176</c:f>
              <c:strCache>
                <c:ptCount val="3"/>
                <c:pt idx="0">
                  <c:v>2016/17</c:v>
                </c:pt>
                <c:pt idx="1">
                  <c:v>2017/18</c:v>
                </c:pt>
                <c:pt idx="2">
                  <c:v>2018/19</c:v>
                </c:pt>
              </c:strCache>
            </c:strRef>
          </c:cat>
          <c:val>
            <c:numRef>
              <c:f>'Property Services'!$C$174:$C$176</c:f>
              <c:numCache>
                <c:formatCode>General</c:formatCode>
                <c:ptCount val="3"/>
                <c:pt idx="0">
                  <c:v>-5.49</c:v>
                </c:pt>
                <c:pt idx="1">
                  <c:v>-3.93</c:v>
                </c:pt>
                <c:pt idx="2" formatCode="0.00">
                  <c:v>-3.26</c:v>
                </c:pt>
              </c:numCache>
            </c:numRef>
          </c:val>
          <c:smooth val="0"/>
          <c:extLst>
            <c:ext xmlns:c16="http://schemas.microsoft.com/office/drawing/2014/chart" uri="{C3380CC4-5D6E-409C-BE32-E72D297353CC}">
              <c16:uniqueId val="{00000001-4EE4-4644-BA75-E30B0C107091}"/>
            </c:ext>
          </c:extLst>
        </c:ser>
        <c:dLbls>
          <c:dLblPos val="t"/>
          <c:showLegendKey val="0"/>
          <c:showVal val="1"/>
          <c:showCatName val="0"/>
          <c:showSerName val="0"/>
          <c:showPercent val="0"/>
          <c:showBubbleSize val="0"/>
        </c:dLbls>
        <c:marker val="1"/>
        <c:smooth val="0"/>
        <c:axId val="432236464"/>
        <c:axId val="432236856"/>
      </c:lineChart>
      <c:catAx>
        <c:axId val="43223646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36856"/>
        <c:crosses val="autoZero"/>
        <c:auto val="1"/>
        <c:lblAlgn val="ctr"/>
        <c:lblOffset val="100"/>
        <c:noMultiLvlLbl val="0"/>
      </c:catAx>
      <c:valAx>
        <c:axId val="432236856"/>
        <c:scaling>
          <c:orientation val="minMax"/>
          <c:max val="6"/>
          <c:min val="-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3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Percentage change in Energy and Utility Use: Reduction(-) Increase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'Property Services'!$B$188</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'Property Services'!$A$190:$A$191</c:f>
              <c:strCache>
                <c:ptCount val="2"/>
                <c:pt idx="0">
                  <c:v>2017/18</c:v>
                </c:pt>
                <c:pt idx="1">
                  <c:v>2018/19</c:v>
                </c:pt>
              </c:strCache>
            </c:strRef>
          </c:cat>
          <c:val>
            <c:numRef>
              <c:f>'Property Services'!$B$190:$B$191</c:f>
              <c:numCache>
                <c:formatCode>General</c:formatCode>
                <c:ptCount val="2"/>
              </c:numCache>
            </c:numRef>
          </c:val>
          <c:smooth val="0"/>
          <c:extLst>
            <c:ext xmlns:c16="http://schemas.microsoft.com/office/drawing/2014/chart" uri="{C3380CC4-5D6E-409C-BE32-E72D297353CC}">
              <c16:uniqueId val="{00000000-1F81-49FB-BCB9-0AA45655BBEE}"/>
            </c:ext>
          </c:extLst>
        </c:ser>
        <c:ser>
          <c:idx val="1"/>
          <c:order val="1"/>
          <c:tx>
            <c:strRef>
              <c:f>'Property Services'!$C$188</c:f>
              <c:strCache>
                <c:ptCount val="1"/>
                <c:pt idx="0">
                  <c:v>Property Services</c:v>
                </c:pt>
              </c:strCache>
            </c:strRef>
          </c:tx>
          <c:spPr>
            <a:ln w="28575" cap="rnd">
              <a:solidFill>
                <a:schemeClr val="accent1"/>
              </a:solidFill>
              <a:prstDash val="solid"/>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Services'!$A$190:$A$191</c:f>
              <c:strCache>
                <c:ptCount val="2"/>
                <c:pt idx="0">
                  <c:v>2017/18</c:v>
                </c:pt>
                <c:pt idx="1">
                  <c:v>2018/19</c:v>
                </c:pt>
              </c:strCache>
            </c:strRef>
          </c:cat>
          <c:val>
            <c:numRef>
              <c:f>'Property Services'!$C$190:$C$191</c:f>
              <c:numCache>
                <c:formatCode>General</c:formatCode>
                <c:ptCount val="2"/>
                <c:pt idx="0">
                  <c:v>7.5</c:v>
                </c:pt>
                <c:pt idx="1">
                  <c:v>-8.4</c:v>
                </c:pt>
              </c:numCache>
            </c:numRef>
          </c:val>
          <c:smooth val="0"/>
          <c:extLst>
            <c:ext xmlns:c16="http://schemas.microsoft.com/office/drawing/2014/chart" uri="{C3380CC4-5D6E-409C-BE32-E72D297353CC}">
              <c16:uniqueId val="{00000001-1F81-49FB-BCB9-0AA45655BBEE}"/>
            </c:ext>
          </c:extLst>
        </c:ser>
        <c:dLbls>
          <c:showLegendKey val="0"/>
          <c:showVal val="0"/>
          <c:showCatName val="0"/>
          <c:showSerName val="0"/>
          <c:showPercent val="0"/>
          <c:showBubbleSize val="0"/>
        </c:dLbls>
        <c:marker val="1"/>
        <c:smooth val="0"/>
        <c:axId val="432237640"/>
        <c:axId val="432238032"/>
      </c:lineChart>
      <c:catAx>
        <c:axId val="43223764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38032"/>
        <c:crosses val="autoZero"/>
        <c:auto val="1"/>
        <c:lblAlgn val="ctr"/>
        <c:lblOffset val="100"/>
        <c:noMultiLvlLbl val="0"/>
      </c:catAx>
      <c:valAx>
        <c:axId val="43223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37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Percentage of operational buildings that are suitable for their current use</a:t>
            </a:r>
          </a:p>
        </c:rich>
      </c:tx>
      <c:layout>
        <c:manualLayout>
          <c:xMode val="edge"/>
          <c:yMode val="edge"/>
          <c:x val="0.11847883755041971"/>
          <c:y val="1.1065006915629323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3334656505434951E-2"/>
          <c:y val="0.20143845089903181"/>
          <c:w val="0.87842110709535981"/>
          <c:h val="0.62111543111053025"/>
        </c:manualLayout>
      </c:layout>
      <c:lineChart>
        <c:grouping val="standard"/>
        <c:varyColors val="0"/>
        <c:ser>
          <c:idx val="0"/>
          <c:order val="0"/>
          <c:tx>
            <c:strRef>
              <c:f>'Property Services'!$C$203</c:f>
              <c:strCache>
                <c:ptCount val="1"/>
                <c:pt idx="0">
                  <c:v>Fife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Services'!$A$204:$A$207</c:f>
              <c:strCache>
                <c:ptCount val="4"/>
                <c:pt idx="0">
                  <c:v>2015/16</c:v>
                </c:pt>
                <c:pt idx="1">
                  <c:v>2016/17</c:v>
                </c:pt>
                <c:pt idx="2">
                  <c:v>2017/18</c:v>
                </c:pt>
                <c:pt idx="3">
                  <c:v>2018/19</c:v>
                </c:pt>
              </c:strCache>
            </c:strRef>
          </c:cat>
          <c:val>
            <c:numRef>
              <c:f>'Property Services'!$C$204:$C$207</c:f>
              <c:numCache>
                <c:formatCode>0.0</c:formatCode>
                <c:ptCount val="4"/>
                <c:pt idx="0">
                  <c:v>76.900000000000006</c:v>
                </c:pt>
                <c:pt idx="1">
                  <c:v>79.5</c:v>
                </c:pt>
                <c:pt idx="2">
                  <c:v>80.3</c:v>
                </c:pt>
                <c:pt idx="3">
                  <c:v>81.599999999999994</c:v>
                </c:pt>
              </c:numCache>
            </c:numRef>
          </c:val>
          <c:smooth val="0"/>
          <c:extLst>
            <c:ext xmlns:c16="http://schemas.microsoft.com/office/drawing/2014/chart" uri="{C3380CC4-5D6E-409C-BE32-E72D297353CC}">
              <c16:uniqueId val="{00000000-26E2-4580-A003-E62C32FE9DCA}"/>
            </c:ext>
          </c:extLst>
        </c:ser>
        <c:ser>
          <c:idx val="1"/>
          <c:order val="1"/>
          <c:tx>
            <c:strRef>
              <c:f>'Property Services'!$D$203</c:f>
              <c:strCache>
                <c:ptCount val="1"/>
                <c:pt idx="0">
                  <c:v>Top Quartile</c:v>
                </c:pt>
              </c:strCache>
            </c:strRef>
          </c:tx>
          <c:spPr>
            <a:ln w="28575" cap="rnd">
              <a:solidFill>
                <a:schemeClr val="accent4"/>
              </a:solidFill>
              <a:prstDash val="dashDot"/>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Services'!$A$204:$A$207</c:f>
              <c:strCache>
                <c:ptCount val="4"/>
                <c:pt idx="0">
                  <c:v>2015/16</c:v>
                </c:pt>
                <c:pt idx="1">
                  <c:v>2016/17</c:v>
                </c:pt>
                <c:pt idx="2">
                  <c:v>2017/18</c:v>
                </c:pt>
                <c:pt idx="3">
                  <c:v>2018/19</c:v>
                </c:pt>
              </c:strCache>
            </c:strRef>
          </c:cat>
          <c:val>
            <c:numRef>
              <c:f>'Property Services'!$D$204:$D$207</c:f>
              <c:numCache>
                <c:formatCode>0.0</c:formatCode>
                <c:ptCount val="4"/>
                <c:pt idx="0">
                  <c:v>89.93</c:v>
                </c:pt>
                <c:pt idx="1">
                  <c:v>90.5</c:v>
                </c:pt>
                <c:pt idx="2">
                  <c:v>91.03</c:v>
                </c:pt>
              </c:numCache>
            </c:numRef>
          </c:val>
          <c:smooth val="0"/>
          <c:extLst>
            <c:ext xmlns:c16="http://schemas.microsoft.com/office/drawing/2014/chart" uri="{C3380CC4-5D6E-409C-BE32-E72D297353CC}">
              <c16:uniqueId val="{00000001-26E2-4580-A003-E62C32FE9DCA}"/>
            </c:ext>
          </c:extLst>
        </c:ser>
        <c:ser>
          <c:idx val="2"/>
          <c:order val="2"/>
          <c:tx>
            <c:strRef>
              <c:f>'Property Services'!$E$203</c:f>
              <c:strCache>
                <c:ptCount val="1"/>
                <c:pt idx="0">
                  <c:v>Scottish Avg</c:v>
                </c:pt>
              </c:strCache>
            </c:strRef>
          </c:tx>
          <c:spPr>
            <a:ln w="28575" cap="rnd">
              <a:solidFill>
                <a:schemeClr val="bg1">
                  <a:lumMod val="50000"/>
                </a:schemeClr>
              </a:solidFill>
              <a:prstDash val="sysDot"/>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Services'!$A$204:$A$207</c:f>
              <c:strCache>
                <c:ptCount val="4"/>
                <c:pt idx="0">
                  <c:v>2015/16</c:v>
                </c:pt>
                <c:pt idx="1">
                  <c:v>2016/17</c:v>
                </c:pt>
                <c:pt idx="2">
                  <c:v>2017/18</c:v>
                </c:pt>
                <c:pt idx="3">
                  <c:v>2018/19</c:v>
                </c:pt>
              </c:strCache>
            </c:strRef>
          </c:cat>
          <c:val>
            <c:numRef>
              <c:f>'Property Services'!$E$204:$E$207</c:f>
              <c:numCache>
                <c:formatCode>0.0</c:formatCode>
                <c:ptCount val="4"/>
                <c:pt idx="0">
                  <c:v>79.61</c:v>
                </c:pt>
                <c:pt idx="1">
                  <c:v>79.8</c:v>
                </c:pt>
                <c:pt idx="2">
                  <c:v>80.959999999999994</c:v>
                </c:pt>
              </c:numCache>
            </c:numRef>
          </c:val>
          <c:smooth val="0"/>
          <c:extLst>
            <c:ext xmlns:c16="http://schemas.microsoft.com/office/drawing/2014/chart" uri="{C3380CC4-5D6E-409C-BE32-E72D297353CC}">
              <c16:uniqueId val="{00000002-26E2-4580-A003-E62C32FE9DCA}"/>
            </c:ext>
          </c:extLst>
        </c:ser>
        <c:dLbls>
          <c:dLblPos val="b"/>
          <c:showLegendKey val="0"/>
          <c:showVal val="1"/>
          <c:showCatName val="0"/>
          <c:showSerName val="0"/>
          <c:showPercent val="0"/>
          <c:showBubbleSize val="0"/>
        </c:dLbls>
        <c:marker val="1"/>
        <c:smooth val="0"/>
        <c:axId val="432243520"/>
        <c:axId val="432243912"/>
      </c:lineChart>
      <c:catAx>
        <c:axId val="4322435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43912"/>
        <c:crosses val="autoZero"/>
        <c:auto val="1"/>
        <c:lblAlgn val="ctr"/>
        <c:lblOffset val="100"/>
        <c:noMultiLvlLbl val="0"/>
      </c:catAx>
      <c:valAx>
        <c:axId val="432243912"/>
        <c:scaling>
          <c:orientation val="minMax"/>
          <c:max val="100"/>
          <c:min val="6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43520"/>
        <c:crosses val="autoZero"/>
        <c:crossBetween val="between"/>
      </c:valAx>
      <c:spPr>
        <a:noFill/>
        <a:ln>
          <a:noFill/>
        </a:ln>
        <a:effectLst/>
      </c:spPr>
    </c:plotArea>
    <c:legend>
      <c:legendPos val="b"/>
      <c:layout>
        <c:manualLayout>
          <c:xMode val="edge"/>
          <c:yMode val="edge"/>
          <c:x val="8.6428689145261861E-2"/>
          <c:y val="0.90663835070408727"/>
          <c:w val="0.82714234794973118"/>
          <c:h val="9.33616492959127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Percentage of internal floor area of operational buildings in satisfactory condition</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'Property Services'!$C$218</c:f>
              <c:strCache>
                <c:ptCount val="1"/>
                <c:pt idx="0">
                  <c:v>Fife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Services'!$A$220:$A$223</c:f>
              <c:strCache>
                <c:ptCount val="4"/>
                <c:pt idx="0">
                  <c:v>2015/16</c:v>
                </c:pt>
                <c:pt idx="1">
                  <c:v>2016/17</c:v>
                </c:pt>
                <c:pt idx="2">
                  <c:v>2017/18</c:v>
                </c:pt>
                <c:pt idx="3">
                  <c:v>2018/19</c:v>
                </c:pt>
              </c:strCache>
            </c:strRef>
          </c:cat>
          <c:val>
            <c:numRef>
              <c:f>'Property Services'!$C$220:$C$223</c:f>
              <c:numCache>
                <c:formatCode>0.0</c:formatCode>
                <c:ptCount val="4"/>
                <c:pt idx="0">
                  <c:v>74.5</c:v>
                </c:pt>
                <c:pt idx="1">
                  <c:v>79</c:v>
                </c:pt>
                <c:pt idx="2">
                  <c:v>81.7</c:v>
                </c:pt>
                <c:pt idx="3">
                  <c:v>82.1</c:v>
                </c:pt>
              </c:numCache>
            </c:numRef>
          </c:val>
          <c:smooth val="0"/>
          <c:extLst>
            <c:ext xmlns:c16="http://schemas.microsoft.com/office/drawing/2014/chart" uri="{C3380CC4-5D6E-409C-BE32-E72D297353CC}">
              <c16:uniqueId val="{00000000-FD57-4A32-83CA-3CC46B32DE2F}"/>
            </c:ext>
          </c:extLst>
        </c:ser>
        <c:ser>
          <c:idx val="1"/>
          <c:order val="1"/>
          <c:tx>
            <c:strRef>
              <c:f>'Property Services'!$D$218</c:f>
              <c:strCache>
                <c:ptCount val="1"/>
                <c:pt idx="0">
                  <c:v>Top Quartile</c:v>
                </c:pt>
              </c:strCache>
            </c:strRef>
          </c:tx>
          <c:spPr>
            <a:ln w="28575" cap="rnd">
              <a:solidFill>
                <a:schemeClr val="accent4"/>
              </a:solidFill>
              <a:prstDash val="dashDot"/>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Services'!$A$220:$A$223</c:f>
              <c:strCache>
                <c:ptCount val="4"/>
                <c:pt idx="0">
                  <c:v>2015/16</c:v>
                </c:pt>
                <c:pt idx="1">
                  <c:v>2016/17</c:v>
                </c:pt>
                <c:pt idx="2">
                  <c:v>2017/18</c:v>
                </c:pt>
                <c:pt idx="3">
                  <c:v>2018/19</c:v>
                </c:pt>
              </c:strCache>
            </c:strRef>
          </c:cat>
          <c:val>
            <c:numRef>
              <c:f>'Property Services'!$D$220:$D$223</c:f>
              <c:numCache>
                <c:formatCode>0.0</c:formatCode>
                <c:ptCount val="4"/>
                <c:pt idx="0">
                  <c:v>94.61</c:v>
                </c:pt>
                <c:pt idx="1">
                  <c:v>94.6</c:v>
                </c:pt>
                <c:pt idx="2">
                  <c:v>96.59</c:v>
                </c:pt>
              </c:numCache>
            </c:numRef>
          </c:val>
          <c:smooth val="0"/>
          <c:extLst>
            <c:ext xmlns:c16="http://schemas.microsoft.com/office/drawing/2014/chart" uri="{C3380CC4-5D6E-409C-BE32-E72D297353CC}">
              <c16:uniqueId val="{00000001-FD57-4A32-83CA-3CC46B32DE2F}"/>
            </c:ext>
          </c:extLst>
        </c:ser>
        <c:ser>
          <c:idx val="2"/>
          <c:order val="2"/>
          <c:tx>
            <c:strRef>
              <c:f>'Property Services'!$E$218</c:f>
              <c:strCache>
                <c:ptCount val="1"/>
                <c:pt idx="0">
                  <c:v>Scottish Average</c:v>
                </c:pt>
              </c:strCache>
            </c:strRef>
          </c:tx>
          <c:spPr>
            <a:ln w="28575" cap="rnd">
              <a:solidFill>
                <a:schemeClr val="accent3"/>
              </a:solidFill>
              <a:prstDash val="sysDot"/>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Services'!$A$220:$A$223</c:f>
              <c:strCache>
                <c:ptCount val="4"/>
                <c:pt idx="0">
                  <c:v>2015/16</c:v>
                </c:pt>
                <c:pt idx="1">
                  <c:v>2016/17</c:v>
                </c:pt>
                <c:pt idx="2">
                  <c:v>2017/18</c:v>
                </c:pt>
                <c:pt idx="3">
                  <c:v>2018/19</c:v>
                </c:pt>
              </c:strCache>
            </c:strRef>
          </c:cat>
          <c:val>
            <c:numRef>
              <c:f>'Property Services'!$E$220:$E$223</c:f>
              <c:numCache>
                <c:formatCode>0.0</c:formatCode>
                <c:ptCount val="4"/>
                <c:pt idx="0">
                  <c:v>81.489999999999995</c:v>
                </c:pt>
                <c:pt idx="1">
                  <c:v>84.48</c:v>
                </c:pt>
                <c:pt idx="2">
                  <c:v>86.31</c:v>
                </c:pt>
              </c:numCache>
            </c:numRef>
          </c:val>
          <c:smooth val="0"/>
          <c:extLst>
            <c:ext xmlns:c16="http://schemas.microsoft.com/office/drawing/2014/chart" uri="{C3380CC4-5D6E-409C-BE32-E72D297353CC}">
              <c16:uniqueId val="{00000002-FD57-4A32-83CA-3CC46B32DE2F}"/>
            </c:ext>
          </c:extLst>
        </c:ser>
        <c:dLbls>
          <c:dLblPos val="t"/>
          <c:showLegendKey val="0"/>
          <c:showVal val="1"/>
          <c:showCatName val="0"/>
          <c:showSerName val="0"/>
          <c:showPercent val="0"/>
          <c:showBubbleSize val="0"/>
        </c:dLbls>
        <c:marker val="1"/>
        <c:smooth val="0"/>
        <c:axId val="432244696"/>
        <c:axId val="432245088"/>
      </c:lineChart>
      <c:catAx>
        <c:axId val="4322446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45088"/>
        <c:crosses val="autoZero"/>
        <c:auto val="1"/>
        <c:lblAlgn val="ctr"/>
        <c:lblOffset val="100"/>
        <c:noMultiLvlLbl val="0"/>
      </c:catAx>
      <c:valAx>
        <c:axId val="432245088"/>
        <c:scaling>
          <c:orientation val="minMax"/>
          <c:min val="6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4469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Capital Income from Receipts (£M)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'Property Services'!$B$233</c:f>
              <c:strCache>
                <c:ptCount val="1"/>
                <c:pt idx="0">
                  <c:v>Fife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'Property Services'!$A$234:$A$237</c:f>
              <c:strCache>
                <c:ptCount val="4"/>
                <c:pt idx="0">
                  <c:v>2015/16</c:v>
                </c:pt>
                <c:pt idx="1">
                  <c:v>2016/17</c:v>
                </c:pt>
                <c:pt idx="2">
                  <c:v>2017/18</c:v>
                </c:pt>
                <c:pt idx="3">
                  <c:v>2018/19</c:v>
                </c:pt>
              </c:strCache>
            </c:strRef>
          </c:cat>
          <c:val>
            <c:numRef>
              <c:f>'Property Services'!$B$234:$B$237</c:f>
              <c:numCache>
                <c:formatCode>General</c:formatCode>
                <c:ptCount val="4"/>
              </c:numCache>
            </c:numRef>
          </c:val>
          <c:smooth val="0"/>
          <c:extLst>
            <c:ext xmlns:c16="http://schemas.microsoft.com/office/drawing/2014/chart" uri="{C3380CC4-5D6E-409C-BE32-E72D297353CC}">
              <c16:uniqueId val="{00000000-163F-43EB-BAEB-7BE284D4A804}"/>
            </c:ext>
          </c:extLst>
        </c:ser>
        <c:ser>
          <c:idx val="1"/>
          <c:order val="1"/>
          <c:tx>
            <c:strRef>
              <c:f>'Property Services'!$C$233</c:f>
              <c:strCache>
                <c:ptCount val="1"/>
                <c:pt idx="0">
                  <c:v>Property Services</c:v>
                </c:pt>
              </c:strCache>
            </c:strRef>
          </c:tx>
          <c:spPr>
            <a:ln w="28575" cap="rnd">
              <a:solidFill>
                <a:schemeClr val="accent1"/>
              </a:solidFill>
              <a:prstDash val="solid"/>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Services'!$A$234:$A$237</c:f>
              <c:strCache>
                <c:ptCount val="4"/>
                <c:pt idx="0">
                  <c:v>2015/16</c:v>
                </c:pt>
                <c:pt idx="1">
                  <c:v>2016/17</c:v>
                </c:pt>
                <c:pt idx="2">
                  <c:v>2017/18</c:v>
                </c:pt>
                <c:pt idx="3">
                  <c:v>2018/19</c:v>
                </c:pt>
              </c:strCache>
            </c:strRef>
          </c:cat>
          <c:val>
            <c:numRef>
              <c:f>'Property Services'!$C$234:$C$237</c:f>
              <c:numCache>
                <c:formatCode>General</c:formatCode>
                <c:ptCount val="4"/>
                <c:pt idx="0">
                  <c:v>3.8650000000000002</c:v>
                </c:pt>
                <c:pt idx="1">
                  <c:v>2.0619999999999998</c:v>
                </c:pt>
                <c:pt idx="2">
                  <c:v>3.7240000000000002</c:v>
                </c:pt>
                <c:pt idx="3">
                  <c:v>3.423</c:v>
                </c:pt>
              </c:numCache>
            </c:numRef>
          </c:val>
          <c:smooth val="0"/>
          <c:extLst>
            <c:ext xmlns:c16="http://schemas.microsoft.com/office/drawing/2014/chart" uri="{C3380CC4-5D6E-409C-BE32-E72D297353CC}">
              <c16:uniqueId val="{00000001-163F-43EB-BAEB-7BE284D4A804}"/>
            </c:ext>
          </c:extLst>
        </c:ser>
        <c:dLbls>
          <c:showLegendKey val="0"/>
          <c:showVal val="0"/>
          <c:showCatName val="0"/>
          <c:showSerName val="0"/>
          <c:showPercent val="0"/>
          <c:showBubbleSize val="0"/>
        </c:dLbls>
        <c:marker val="1"/>
        <c:smooth val="0"/>
        <c:axId val="432238816"/>
        <c:axId val="432239208"/>
      </c:lineChart>
      <c:catAx>
        <c:axId val="4322388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39208"/>
        <c:crosses val="autoZero"/>
        <c:auto val="1"/>
        <c:lblAlgn val="ctr"/>
        <c:lblOffset val="100"/>
        <c:noMultiLvlLbl val="0"/>
      </c:catAx>
      <c:valAx>
        <c:axId val="432239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38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Maintenance Expenditure v Budget (% Variance) : Underspend(-)/Overspend(+)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'Property Services'!$B$248</c:f>
              <c:strCache>
                <c:ptCount val="1"/>
                <c:pt idx="0">
                  <c:v>Fife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'Property Services'!$A$250:$A$251</c:f>
              <c:strCache>
                <c:ptCount val="2"/>
                <c:pt idx="0">
                  <c:v>2017/18</c:v>
                </c:pt>
                <c:pt idx="1">
                  <c:v>2018/19</c:v>
                </c:pt>
              </c:strCache>
            </c:strRef>
          </c:cat>
          <c:val>
            <c:numRef>
              <c:f>'Property Services'!$B$250:$B$251</c:f>
              <c:numCache>
                <c:formatCode>General</c:formatCode>
                <c:ptCount val="2"/>
              </c:numCache>
            </c:numRef>
          </c:val>
          <c:smooth val="0"/>
          <c:extLst>
            <c:ext xmlns:c16="http://schemas.microsoft.com/office/drawing/2014/chart" uri="{C3380CC4-5D6E-409C-BE32-E72D297353CC}">
              <c16:uniqueId val="{00000000-3938-4CC3-B2BB-5CBBBDAA85BB}"/>
            </c:ext>
          </c:extLst>
        </c:ser>
        <c:ser>
          <c:idx val="1"/>
          <c:order val="1"/>
          <c:tx>
            <c:strRef>
              <c:f>'Property Services'!$C$248</c:f>
              <c:strCache>
                <c:ptCount val="1"/>
                <c:pt idx="0">
                  <c:v>Property Services</c:v>
                </c:pt>
              </c:strCache>
            </c:strRef>
          </c:tx>
          <c:spPr>
            <a:ln w="28575" cap="rnd">
              <a:solidFill>
                <a:schemeClr val="accent1"/>
              </a:solidFill>
              <a:prstDash val="solid"/>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Services'!$A$250:$A$251</c:f>
              <c:strCache>
                <c:ptCount val="2"/>
                <c:pt idx="0">
                  <c:v>2017/18</c:v>
                </c:pt>
                <c:pt idx="1">
                  <c:v>2018/19</c:v>
                </c:pt>
              </c:strCache>
            </c:strRef>
          </c:cat>
          <c:val>
            <c:numRef>
              <c:f>'Property Services'!$C$250:$C$251</c:f>
              <c:numCache>
                <c:formatCode>General</c:formatCode>
                <c:ptCount val="2"/>
                <c:pt idx="0">
                  <c:v>-0.54</c:v>
                </c:pt>
                <c:pt idx="1">
                  <c:v>-13.94</c:v>
                </c:pt>
              </c:numCache>
            </c:numRef>
          </c:val>
          <c:smooth val="0"/>
          <c:extLst>
            <c:ext xmlns:c16="http://schemas.microsoft.com/office/drawing/2014/chart" uri="{C3380CC4-5D6E-409C-BE32-E72D297353CC}">
              <c16:uniqueId val="{00000001-3938-4CC3-B2BB-5CBBBDAA85BB}"/>
            </c:ext>
          </c:extLst>
        </c:ser>
        <c:dLbls>
          <c:showLegendKey val="0"/>
          <c:showVal val="0"/>
          <c:showCatName val="0"/>
          <c:showSerName val="0"/>
          <c:showPercent val="0"/>
          <c:showBubbleSize val="0"/>
        </c:dLbls>
        <c:marker val="1"/>
        <c:smooth val="0"/>
        <c:axId val="432239992"/>
        <c:axId val="432240384"/>
      </c:lineChart>
      <c:catAx>
        <c:axId val="4322399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40384"/>
        <c:crosses val="autoZero"/>
        <c:auto val="1"/>
        <c:lblAlgn val="ctr"/>
        <c:lblOffset val="100"/>
        <c:noMultiLvlLbl val="0"/>
      </c:catAx>
      <c:valAx>
        <c:axId val="432240384"/>
        <c:scaling>
          <c:orientation val="minMax"/>
          <c:max val="15"/>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39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Stage 2 Complaints dealt with within 20 days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'Property Services'!$B$19</c:f>
              <c:strCache>
                <c:ptCount val="1"/>
                <c:pt idx="0">
                  <c:v>Fife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Services'!$A$20:$A$22</c:f>
              <c:strCache>
                <c:ptCount val="3"/>
                <c:pt idx="0">
                  <c:v>2016/17</c:v>
                </c:pt>
                <c:pt idx="1">
                  <c:v>2017/18</c:v>
                </c:pt>
                <c:pt idx="2">
                  <c:v>2018/19</c:v>
                </c:pt>
              </c:strCache>
            </c:strRef>
          </c:cat>
          <c:val>
            <c:numRef>
              <c:f>'Property Services'!$B$20:$B$22</c:f>
              <c:numCache>
                <c:formatCode>0.00</c:formatCode>
                <c:ptCount val="3"/>
                <c:pt idx="0">
                  <c:v>75.680000000000007</c:v>
                </c:pt>
                <c:pt idx="1">
                  <c:v>86.59</c:v>
                </c:pt>
                <c:pt idx="2">
                  <c:v>81.91</c:v>
                </c:pt>
              </c:numCache>
            </c:numRef>
          </c:val>
          <c:smooth val="0"/>
          <c:extLst>
            <c:ext xmlns:c16="http://schemas.microsoft.com/office/drawing/2014/chart" uri="{C3380CC4-5D6E-409C-BE32-E72D297353CC}">
              <c16:uniqueId val="{00000000-68DD-4DF9-B0D0-9C7F075B49F2}"/>
            </c:ext>
          </c:extLst>
        </c:ser>
        <c:ser>
          <c:idx val="1"/>
          <c:order val="1"/>
          <c:tx>
            <c:strRef>
              <c:f>'Property Services'!$C$19</c:f>
              <c:strCache>
                <c:ptCount val="1"/>
                <c:pt idx="0">
                  <c:v>Property Services </c:v>
                </c:pt>
              </c:strCache>
            </c:strRef>
          </c:tx>
          <c:spPr>
            <a:ln w="28575" cap="rnd">
              <a:solidFill>
                <a:srgbClr val="00B050"/>
              </a:solidFill>
              <a:prstDash val="lgDash"/>
              <a:round/>
            </a:ln>
            <a:effectLst/>
          </c:spPr>
          <c:marker>
            <c:symbol val="circle"/>
            <c:size val="5"/>
            <c:spPr>
              <a:solidFill>
                <a:srgbClr val="00B050"/>
              </a:solidFill>
              <a:ln w="9525">
                <a:solidFill>
                  <a:srgbClr val="00B050"/>
                </a:solidFill>
              </a:ln>
              <a:effectLst/>
            </c:spPr>
          </c:marker>
          <c:dLbls>
            <c:dLbl>
              <c:idx val="2"/>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DD-4DF9-B0D0-9C7F075B49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Services'!$A$20:$A$22</c:f>
              <c:strCache>
                <c:ptCount val="3"/>
                <c:pt idx="0">
                  <c:v>2016/17</c:v>
                </c:pt>
                <c:pt idx="1">
                  <c:v>2017/18</c:v>
                </c:pt>
                <c:pt idx="2">
                  <c:v>2018/19</c:v>
                </c:pt>
              </c:strCache>
            </c:strRef>
          </c:cat>
          <c:val>
            <c:numRef>
              <c:f>'Property Services'!$C$20:$C$22</c:f>
              <c:numCache>
                <c:formatCode>0.00</c:formatCode>
                <c:ptCount val="3"/>
                <c:pt idx="0">
                  <c:v>0</c:v>
                </c:pt>
                <c:pt idx="1">
                  <c:v>0</c:v>
                </c:pt>
                <c:pt idx="2">
                  <c:v>100</c:v>
                </c:pt>
              </c:numCache>
            </c:numRef>
          </c:val>
          <c:smooth val="0"/>
          <c:extLst>
            <c:ext xmlns:c16="http://schemas.microsoft.com/office/drawing/2014/chart" uri="{C3380CC4-5D6E-409C-BE32-E72D297353CC}">
              <c16:uniqueId val="{00000002-68DD-4DF9-B0D0-9C7F075B49F2}"/>
            </c:ext>
          </c:extLst>
        </c:ser>
        <c:dLbls>
          <c:dLblPos val="t"/>
          <c:showLegendKey val="0"/>
          <c:showVal val="1"/>
          <c:showCatName val="0"/>
          <c:showSerName val="0"/>
          <c:showPercent val="0"/>
          <c:showBubbleSize val="0"/>
        </c:dLbls>
        <c:marker val="1"/>
        <c:smooth val="0"/>
        <c:axId val="403140104"/>
        <c:axId val="403298160"/>
      </c:lineChart>
      <c:catAx>
        <c:axId val="40314010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298160"/>
        <c:crosses val="autoZero"/>
        <c:auto val="1"/>
        <c:lblAlgn val="ctr"/>
        <c:lblOffset val="100"/>
        <c:noMultiLvlLbl val="0"/>
      </c:catAx>
      <c:valAx>
        <c:axId val="40329816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140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Client Satisfaction with Property Services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'Property Services'!$C$49</c:f>
              <c:strCache>
                <c:ptCount val="1"/>
                <c:pt idx="0">
                  <c:v>Property Services</c:v>
                </c:pt>
              </c:strCache>
            </c:strRef>
          </c:tx>
          <c:spPr>
            <a:ln w="28575" cap="rnd">
              <a:solidFill>
                <a:schemeClr val="accent1"/>
              </a:solidFill>
              <a:prstDash val="solid"/>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Services'!$A$50:$A$53</c:f>
              <c:strCache>
                <c:ptCount val="4"/>
                <c:pt idx="0">
                  <c:v>2015/16</c:v>
                </c:pt>
                <c:pt idx="1">
                  <c:v>2016/17</c:v>
                </c:pt>
                <c:pt idx="2">
                  <c:v>2017/18</c:v>
                </c:pt>
                <c:pt idx="3">
                  <c:v>2018/19</c:v>
                </c:pt>
              </c:strCache>
            </c:strRef>
          </c:cat>
          <c:val>
            <c:numRef>
              <c:f>'Property Services'!$C$50:$C$53</c:f>
              <c:numCache>
                <c:formatCode>0.0</c:formatCode>
                <c:ptCount val="4"/>
                <c:pt idx="0" formatCode="General">
                  <c:v>81.8</c:v>
                </c:pt>
                <c:pt idx="1">
                  <c:v>86.4</c:v>
                </c:pt>
                <c:pt idx="2">
                  <c:v>95</c:v>
                </c:pt>
                <c:pt idx="3">
                  <c:v>94</c:v>
                </c:pt>
              </c:numCache>
            </c:numRef>
          </c:val>
          <c:smooth val="0"/>
          <c:extLst>
            <c:ext xmlns:c16="http://schemas.microsoft.com/office/drawing/2014/chart" uri="{C3380CC4-5D6E-409C-BE32-E72D297353CC}">
              <c16:uniqueId val="{00000000-AF06-4016-981A-1DD7F2209850}"/>
            </c:ext>
          </c:extLst>
        </c:ser>
        <c:dLbls>
          <c:dLblPos val="t"/>
          <c:showLegendKey val="0"/>
          <c:showVal val="1"/>
          <c:showCatName val="0"/>
          <c:showSerName val="0"/>
          <c:showPercent val="0"/>
          <c:showBubbleSize val="0"/>
        </c:dLbls>
        <c:marker val="1"/>
        <c:smooth val="0"/>
        <c:axId val="431329120"/>
        <c:axId val="431329512"/>
      </c:lineChart>
      <c:catAx>
        <c:axId val="43132912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329512"/>
        <c:crosses val="autoZero"/>
        <c:auto val="1"/>
        <c:lblAlgn val="ctr"/>
        <c:lblOffset val="100"/>
        <c:noMultiLvlLbl val="0"/>
      </c:catAx>
      <c:valAx>
        <c:axId val="431329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329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Average WDL per FTE</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'Property Services'!$B$67</c:f>
              <c:strCache>
                <c:ptCount val="1"/>
                <c:pt idx="0">
                  <c:v>Fife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Services'!$A$68:$A$70</c:f>
              <c:strCache>
                <c:ptCount val="3"/>
                <c:pt idx="0">
                  <c:v>2016/17</c:v>
                </c:pt>
                <c:pt idx="1">
                  <c:v>2017/18</c:v>
                </c:pt>
                <c:pt idx="2">
                  <c:v>2018/19</c:v>
                </c:pt>
              </c:strCache>
            </c:strRef>
          </c:cat>
          <c:val>
            <c:numRef>
              <c:f>'Property Services'!$B$68:$B$70</c:f>
              <c:numCache>
                <c:formatCode>0.00</c:formatCode>
                <c:ptCount val="3"/>
                <c:pt idx="0">
                  <c:v>10.130000000000001</c:v>
                </c:pt>
                <c:pt idx="1">
                  <c:v>11.78</c:v>
                </c:pt>
                <c:pt idx="2">
                  <c:v>11.59</c:v>
                </c:pt>
              </c:numCache>
            </c:numRef>
          </c:val>
          <c:smooth val="0"/>
          <c:extLst>
            <c:ext xmlns:c16="http://schemas.microsoft.com/office/drawing/2014/chart" uri="{C3380CC4-5D6E-409C-BE32-E72D297353CC}">
              <c16:uniqueId val="{00000000-D4D3-46BD-BCB7-8723E812241F}"/>
            </c:ext>
          </c:extLst>
        </c:ser>
        <c:ser>
          <c:idx val="1"/>
          <c:order val="1"/>
          <c:tx>
            <c:strRef>
              <c:f>'Property Services'!$C$67</c:f>
              <c:strCache>
                <c:ptCount val="1"/>
                <c:pt idx="0">
                  <c:v>Property Services</c:v>
                </c:pt>
              </c:strCache>
            </c:strRef>
          </c:tx>
          <c:spPr>
            <a:ln w="28575" cap="rnd">
              <a:solidFill>
                <a:srgbClr val="00B050"/>
              </a:solidFill>
              <a:prstDash val="lgDash"/>
              <a:round/>
            </a:ln>
            <a:effectLst/>
          </c:spPr>
          <c:marker>
            <c:symbol val="circle"/>
            <c:size val="5"/>
            <c:spPr>
              <a:solidFill>
                <a:srgbClr val="00B050"/>
              </a:solidFill>
              <a:ln w="9525">
                <a:solidFill>
                  <a:srgbClr val="00B05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Services'!$A$68:$A$70</c:f>
              <c:strCache>
                <c:ptCount val="3"/>
                <c:pt idx="0">
                  <c:v>2016/17</c:v>
                </c:pt>
                <c:pt idx="1">
                  <c:v>2017/18</c:v>
                </c:pt>
                <c:pt idx="2">
                  <c:v>2018/19</c:v>
                </c:pt>
              </c:strCache>
            </c:strRef>
          </c:cat>
          <c:val>
            <c:numRef>
              <c:f>'Property Services'!$C$68:$C$70</c:f>
              <c:numCache>
                <c:formatCode>General</c:formatCode>
                <c:ptCount val="3"/>
                <c:pt idx="1">
                  <c:v>8.19</c:v>
                </c:pt>
                <c:pt idx="2">
                  <c:v>6.76</c:v>
                </c:pt>
              </c:numCache>
            </c:numRef>
          </c:val>
          <c:smooth val="0"/>
          <c:extLst>
            <c:ext xmlns:c16="http://schemas.microsoft.com/office/drawing/2014/chart" uri="{C3380CC4-5D6E-409C-BE32-E72D297353CC}">
              <c16:uniqueId val="{00000001-D4D3-46BD-BCB7-8723E812241F}"/>
            </c:ext>
          </c:extLst>
        </c:ser>
        <c:dLbls>
          <c:dLblPos val="b"/>
          <c:showLegendKey val="0"/>
          <c:showVal val="1"/>
          <c:showCatName val="0"/>
          <c:showSerName val="0"/>
          <c:showPercent val="0"/>
          <c:showBubbleSize val="0"/>
        </c:dLbls>
        <c:marker val="1"/>
        <c:smooth val="0"/>
        <c:axId val="432241168"/>
        <c:axId val="432241560"/>
      </c:lineChart>
      <c:catAx>
        <c:axId val="4322411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41560"/>
        <c:crosses val="autoZero"/>
        <c:auto val="1"/>
        <c:lblAlgn val="ctr"/>
        <c:lblOffset val="100"/>
        <c:noMultiLvlLbl val="0"/>
      </c:catAx>
      <c:valAx>
        <c:axId val="4322415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4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Long-Term Working Days Lost per FTE</a:t>
            </a:r>
          </a:p>
        </c:rich>
      </c:tx>
      <c:layout>
        <c:manualLayout>
          <c:xMode val="edge"/>
          <c:yMode val="edge"/>
          <c:x val="0.2226301399825022"/>
          <c:y val="2.2456135387509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7635881452318464E-2"/>
          <c:y val="0.13588791028862321"/>
          <c:w val="0.8841696741032371"/>
          <c:h val="0.68405101609592134"/>
        </c:manualLayout>
      </c:layout>
      <c:lineChart>
        <c:grouping val="standard"/>
        <c:varyColors val="0"/>
        <c:ser>
          <c:idx val="0"/>
          <c:order val="0"/>
          <c:tx>
            <c:strRef>
              <c:f>'Property Services'!$B$82</c:f>
              <c:strCache>
                <c:ptCount val="1"/>
                <c:pt idx="0">
                  <c:v>Fife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Services'!$A$83:$A$85</c:f>
              <c:strCache>
                <c:ptCount val="3"/>
                <c:pt idx="0">
                  <c:v>2016/17</c:v>
                </c:pt>
                <c:pt idx="1">
                  <c:v>2017/18</c:v>
                </c:pt>
                <c:pt idx="2">
                  <c:v>2018/19</c:v>
                </c:pt>
              </c:strCache>
            </c:strRef>
          </c:cat>
          <c:val>
            <c:numRef>
              <c:f>'Property Services'!$B$83:$B$85</c:f>
              <c:numCache>
                <c:formatCode>0.00</c:formatCode>
                <c:ptCount val="3"/>
                <c:pt idx="0">
                  <c:v>6.88</c:v>
                </c:pt>
                <c:pt idx="1">
                  <c:v>7.79</c:v>
                </c:pt>
                <c:pt idx="2">
                  <c:v>7.76</c:v>
                </c:pt>
              </c:numCache>
            </c:numRef>
          </c:val>
          <c:smooth val="0"/>
          <c:extLst>
            <c:ext xmlns:c16="http://schemas.microsoft.com/office/drawing/2014/chart" uri="{C3380CC4-5D6E-409C-BE32-E72D297353CC}">
              <c16:uniqueId val="{00000000-30CC-402F-AC6A-A470D125FB32}"/>
            </c:ext>
          </c:extLst>
        </c:ser>
        <c:ser>
          <c:idx val="1"/>
          <c:order val="1"/>
          <c:tx>
            <c:strRef>
              <c:f>'Property Services'!$C$82</c:f>
              <c:strCache>
                <c:ptCount val="1"/>
                <c:pt idx="0">
                  <c:v>Property Services</c:v>
                </c:pt>
              </c:strCache>
            </c:strRef>
          </c:tx>
          <c:spPr>
            <a:ln w="28575" cap="rnd">
              <a:solidFill>
                <a:srgbClr val="00B050"/>
              </a:solidFill>
              <a:prstDash val="lgDash"/>
              <a:round/>
            </a:ln>
            <a:effectLst/>
          </c:spPr>
          <c:marker>
            <c:symbol val="circle"/>
            <c:size val="5"/>
            <c:spPr>
              <a:solidFill>
                <a:srgbClr val="00B050"/>
              </a:solidFill>
              <a:ln w="9525">
                <a:solidFill>
                  <a:srgbClr val="00B05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Services'!$A$83:$A$85</c:f>
              <c:strCache>
                <c:ptCount val="3"/>
                <c:pt idx="0">
                  <c:v>2016/17</c:v>
                </c:pt>
                <c:pt idx="1">
                  <c:v>2017/18</c:v>
                </c:pt>
                <c:pt idx="2">
                  <c:v>2018/19</c:v>
                </c:pt>
              </c:strCache>
            </c:strRef>
          </c:cat>
          <c:val>
            <c:numRef>
              <c:f>'Property Services'!$C$83:$C$85</c:f>
              <c:numCache>
                <c:formatCode>General</c:formatCode>
                <c:ptCount val="3"/>
                <c:pt idx="1">
                  <c:v>6.15</c:v>
                </c:pt>
                <c:pt idx="2">
                  <c:v>4.68</c:v>
                </c:pt>
              </c:numCache>
            </c:numRef>
          </c:val>
          <c:smooth val="0"/>
          <c:extLst>
            <c:ext xmlns:c16="http://schemas.microsoft.com/office/drawing/2014/chart" uri="{C3380CC4-5D6E-409C-BE32-E72D297353CC}">
              <c16:uniqueId val="{00000001-30CC-402F-AC6A-A470D125FB32}"/>
            </c:ext>
          </c:extLst>
        </c:ser>
        <c:dLbls>
          <c:showLegendKey val="0"/>
          <c:showVal val="0"/>
          <c:showCatName val="0"/>
          <c:showSerName val="0"/>
          <c:showPercent val="0"/>
          <c:showBubbleSize val="0"/>
        </c:dLbls>
        <c:marker val="1"/>
        <c:smooth val="0"/>
        <c:axId val="432232936"/>
        <c:axId val="432233328"/>
      </c:lineChart>
      <c:catAx>
        <c:axId val="4322329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33328"/>
        <c:crosses val="autoZero"/>
        <c:auto val="1"/>
        <c:lblAlgn val="ctr"/>
        <c:lblOffset val="100"/>
        <c:noMultiLvlLbl val="0"/>
      </c:catAx>
      <c:valAx>
        <c:axId val="432233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32936"/>
        <c:crosses val="autoZero"/>
        <c:crossBetween val="between"/>
      </c:valAx>
      <c:spPr>
        <a:noFill/>
        <a:ln>
          <a:noFill/>
        </a:ln>
        <a:effectLst/>
      </c:spPr>
    </c:plotArea>
    <c:legend>
      <c:legendPos val="b"/>
      <c:layout>
        <c:manualLayout>
          <c:xMode val="edge"/>
          <c:yMode val="edge"/>
          <c:x val="1.3627515310586176E-2"/>
          <c:y val="0.89964848191220181"/>
          <c:w val="0.97274469597550306"/>
          <c:h val="9.473748424092073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 Absence Rate</a:t>
            </a:r>
          </a:p>
        </c:rich>
      </c:tx>
      <c:layout>
        <c:manualLayout>
          <c:xMode val="edge"/>
          <c:yMode val="edge"/>
          <c:x val="0.3774305555555555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7392825896762903E-2"/>
          <c:y val="0.1297276548578099"/>
          <c:w val="0.8944127296587927"/>
          <c:h val="0.69655673934163342"/>
        </c:manualLayout>
      </c:layout>
      <c:lineChart>
        <c:grouping val="standard"/>
        <c:varyColors val="0"/>
        <c:ser>
          <c:idx val="0"/>
          <c:order val="0"/>
          <c:tx>
            <c:strRef>
              <c:f>'Property Services'!$B$124</c:f>
              <c:strCache>
                <c:ptCount val="1"/>
                <c:pt idx="0">
                  <c:v>Fife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Services'!$A$125:$A$127</c:f>
              <c:strCache>
                <c:ptCount val="3"/>
                <c:pt idx="0">
                  <c:v>2016/17</c:v>
                </c:pt>
                <c:pt idx="1">
                  <c:v>2017/18</c:v>
                </c:pt>
                <c:pt idx="2">
                  <c:v>2018/19</c:v>
                </c:pt>
              </c:strCache>
            </c:strRef>
          </c:cat>
          <c:val>
            <c:numRef>
              <c:f>'Property Services'!$B$125:$B$127</c:f>
              <c:numCache>
                <c:formatCode>0.00</c:formatCode>
                <c:ptCount val="3"/>
                <c:pt idx="0">
                  <c:v>4.67</c:v>
                </c:pt>
                <c:pt idx="1">
                  <c:v>5.43</c:v>
                </c:pt>
                <c:pt idx="2">
                  <c:v>5.3</c:v>
                </c:pt>
              </c:numCache>
            </c:numRef>
          </c:val>
          <c:smooth val="0"/>
          <c:extLst>
            <c:ext xmlns:c16="http://schemas.microsoft.com/office/drawing/2014/chart" uri="{C3380CC4-5D6E-409C-BE32-E72D297353CC}">
              <c16:uniqueId val="{00000000-3C69-4C4C-B6B4-CCCF3CE53900}"/>
            </c:ext>
          </c:extLst>
        </c:ser>
        <c:ser>
          <c:idx val="1"/>
          <c:order val="1"/>
          <c:tx>
            <c:strRef>
              <c:f>'Property Services'!$C$124</c:f>
              <c:strCache>
                <c:ptCount val="1"/>
                <c:pt idx="0">
                  <c:v>Property Services</c:v>
                </c:pt>
              </c:strCache>
            </c:strRef>
          </c:tx>
          <c:spPr>
            <a:ln w="28575" cap="rnd">
              <a:solidFill>
                <a:srgbClr val="00B050"/>
              </a:solidFill>
              <a:prstDash val="lgDash"/>
              <a:round/>
            </a:ln>
            <a:effectLst/>
          </c:spPr>
          <c:marker>
            <c:symbol val="circle"/>
            <c:size val="5"/>
            <c:spPr>
              <a:solidFill>
                <a:srgbClr val="00B050"/>
              </a:solidFill>
              <a:ln w="9525">
                <a:solidFill>
                  <a:srgbClr val="00B05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Services'!$A$125:$A$127</c:f>
              <c:strCache>
                <c:ptCount val="3"/>
                <c:pt idx="0">
                  <c:v>2016/17</c:v>
                </c:pt>
                <c:pt idx="1">
                  <c:v>2017/18</c:v>
                </c:pt>
                <c:pt idx="2">
                  <c:v>2018/19</c:v>
                </c:pt>
              </c:strCache>
            </c:strRef>
          </c:cat>
          <c:val>
            <c:numRef>
              <c:f>'Property Services'!$C$125:$C$127</c:f>
              <c:numCache>
                <c:formatCode>General</c:formatCode>
                <c:ptCount val="3"/>
                <c:pt idx="0">
                  <c:v>3.54</c:v>
                </c:pt>
                <c:pt idx="1">
                  <c:v>3.66</c:v>
                </c:pt>
                <c:pt idx="2">
                  <c:v>3.02</c:v>
                </c:pt>
              </c:numCache>
            </c:numRef>
          </c:val>
          <c:smooth val="0"/>
          <c:extLst>
            <c:ext xmlns:c16="http://schemas.microsoft.com/office/drawing/2014/chart" uri="{C3380CC4-5D6E-409C-BE32-E72D297353CC}">
              <c16:uniqueId val="{00000001-3C69-4C4C-B6B4-CCCF3CE53900}"/>
            </c:ext>
          </c:extLst>
        </c:ser>
        <c:dLbls>
          <c:dLblPos val="t"/>
          <c:showLegendKey val="0"/>
          <c:showVal val="1"/>
          <c:showCatName val="0"/>
          <c:showSerName val="0"/>
          <c:showPercent val="0"/>
          <c:showBubbleSize val="0"/>
        </c:dLbls>
        <c:marker val="1"/>
        <c:smooth val="0"/>
        <c:axId val="486360712"/>
        <c:axId val="491102288"/>
      </c:lineChart>
      <c:catAx>
        <c:axId val="4863607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102288"/>
        <c:crosses val="autoZero"/>
        <c:auto val="1"/>
        <c:lblAlgn val="ctr"/>
        <c:lblOffset val="100"/>
        <c:noMultiLvlLbl val="0"/>
      </c:catAx>
      <c:valAx>
        <c:axId val="491102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360712"/>
        <c:crosses val="autoZero"/>
        <c:crossBetween val="between"/>
      </c:valAx>
      <c:spPr>
        <a:noFill/>
        <a:ln>
          <a:noFill/>
        </a:ln>
        <a:effectLst/>
      </c:spPr>
    </c:plotArea>
    <c:legend>
      <c:legendPos val="b"/>
      <c:layout>
        <c:manualLayout>
          <c:xMode val="edge"/>
          <c:yMode val="edge"/>
          <c:x val="2.4044181977252846E-2"/>
          <c:y val="0.9000692429017223"/>
          <c:w val="0.95885580708661422"/>
          <c:h val="9.43402621722022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Staff Training (days per FTE)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'Property Services'!$C$112</c:f>
              <c:strCache>
                <c:ptCount val="1"/>
                <c:pt idx="0">
                  <c:v>Property Services</c:v>
                </c:pt>
              </c:strCache>
            </c:strRef>
          </c:tx>
          <c:spPr>
            <a:ln w="28575" cap="rnd">
              <a:solidFill>
                <a:schemeClr val="accent1"/>
              </a:solidFill>
              <a:prstDash val="solid"/>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Services'!$A$114:$A$115</c:f>
              <c:strCache>
                <c:ptCount val="2"/>
                <c:pt idx="0">
                  <c:v>2017/18</c:v>
                </c:pt>
                <c:pt idx="1">
                  <c:v>2018/19</c:v>
                </c:pt>
              </c:strCache>
            </c:strRef>
          </c:cat>
          <c:val>
            <c:numRef>
              <c:f>'Property Services'!$C$114:$C$115</c:f>
              <c:numCache>
                <c:formatCode>General</c:formatCode>
                <c:ptCount val="2"/>
                <c:pt idx="0">
                  <c:v>2.6</c:v>
                </c:pt>
                <c:pt idx="1">
                  <c:v>3.2</c:v>
                </c:pt>
              </c:numCache>
            </c:numRef>
          </c:val>
          <c:smooth val="0"/>
          <c:extLst>
            <c:ext xmlns:c16="http://schemas.microsoft.com/office/drawing/2014/chart" uri="{C3380CC4-5D6E-409C-BE32-E72D297353CC}">
              <c16:uniqueId val="{00000000-B617-416F-BE26-8CEEAA25C08E}"/>
            </c:ext>
          </c:extLst>
        </c:ser>
        <c:dLbls>
          <c:dLblPos val="t"/>
          <c:showLegendKey val="0"/>
          <c:showVal val="1"/>
          <c:showCatName val="0"/>
          <c:showSerName val="0"/>
          <c:showPercent val="0"/>
          <c:showBubbleSize val="0"/>
        </c:dLbls>
        <c:marker val="1"/>
        <c:smooth val="0"/>
        <c:axId val="431330296"/>
        <c:axId val="431330688"/>
      </c:lineChart>
      <c:catAx>
        <c:axId val="4313302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330688"/>
        <c:crosses val="autoZero"/>
        <c:auto val="1"/>
        <c:lblAlgn val="ctr"/>
        <c:lblOffset val="100"/>
        <c:noMultiLvlLbl val="0"/>
      </c:catAx>
      <c:valAx>
        <c:axId val="431330688"/>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330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Staff  Profile and Average Age 2018/19</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958789235750572"/>
          <c:y val="0.18153837529797734"/>
          <c:w val="0.81211794929710879"/>
          <c:h val="0.59631822946026314"/>
        </c:manualLayout>
      </c:layout>
      <c:barChart>
        <c:barDir val="col"/>
        <c:grouping val="clustered"/>
        <c:varyColors val="0"/>
        <c:ser>
          <c:idx val="1"/>
          <c:order val="1"/>
          <c:tx>
            <c:strRef>
              <c:f>'Property Services'!$C$127</c:f>
              <c:strCache>
                <c:ptCount val="1"/>
                <c:pt idx="0">
                  <c:v>Property Services</c:v>
                </c:pt>
              </c:strCache>
            </c:strRef>
          </c:tx>
          <c:spPr>
            <a:pattFill prst="pct5">
              <a:fgClr>
                <a:schemeClr val="tx1"/>
              </a:fgClr>
              <a:bgClr>
                <a:schemeClr val="bg1"/>
              </a:bgClr>
            </a:pattFill>
            <a:ln>
              <a:solidFill>
                <a:schemeClr val="tx1"/>
              </a:solidFill>
            </a:ln>
            <a:effectLst/>
          </c:spPr>
          <c:invertIfNegative val="0"/>
          <c:dPt>
            <c:idx val="0"/>
            <c:invertIfNegative val="0"/>
            <c:bubble3D val="0"/>
            <c:spPr>
              <a:pattFill prst="pct5">
                <a:fgClr>
                  <a:schemeClr val="tx1"/>
                </a:fgClr>
                <a:bgClr>
                  <a:schemeClr val="bg1"/>
                </a:bgClr>
              </a:pattFill>
              <a:ln>
                <a:solidFill>
                  <a:schemeClr val="tx1"/>
                </a:solidFill>
              </a:ln>
              <a:effectLst/>
            </c:spPr>
            <c:extLst>
              <c:ext xmlns:c16="http://schemas.microsoft.com/office/drawing/2014/chart" uri="{C3380CC4-5D6E-409C-BE32-E72D297353CC}">
                <c16:uniqueId val="{00000001-0D0A-4838-8720-42F17281B265}"/>
              </c:ext>
            </c:extLst>
          </c:dPt>
          <c:dPt>
            <c:idx val="1"/>
            <c:invertIfNegative val="0"/>
            <c:bubble3D val="0"/>
            <c:spPr>
              <a:pattFill prst="pct50">
                <a:fgClr>
                  <a:schemeClr val="tx1"/>
                </a:fgClr>
                <a:bgClr>
                  <a:schemeClr val="bg1"/>
                </a:bgClr>
              </a:pattFill>
              <a:ln>
                <a:solidFill>
                  <a:schemeClr val="tx1"/>
                </a:solidFill>
              </a:ln>
              <a:effectLst/>
            </c:spPr>
            <c:extLst>
              <c:ext xmlns:c16="http://schemas.microsoft.com/office/drawing/2014/chart" uri="{C3380CC4-5D6E-409C-BE32-E72D297353CC}">
                <c16:uniqueId val="{00000003-0D0A-4838-8720-42F17281B265}"/>
              </c:ext>
            </c:extLst>
          </c:dPt>
          <c:dPt>
            <c:idx val="2"/>
            <c:invertIfNegative val="0"/>
            <c:bubble3D val="0"/>
            <c:spPr>
              <a:pattFill prst="wdUpDiag">
                <a:fgClr>
                  <a:schemeClr val="tx1"/>
                </a:fgClr>
                <a:bgClr>
                  <a:schemeClr val="bg1"/>
                </a:bgClr>
              </a:pattFill>
              <a:ln>
                <a:solidFill>
                  <a:schemeClr val="tx1"/>
                </a:solidFill>
              </a:ln>
              <a:effectLst/>
            </c:spPr>
            <c:extLst>
              <c:ext xmlns:c16="http://schemas.microsoft.com/office/drawing/2014/chart" uri="{C3380CC4-5D6E-409C-BE32-E72D297353CC}">
                <c16:uniqueId val="{00000005-0D0A-4838-8720-42F17281B265}"/>
              </c:ext>
            </c:extLst>
          </c:dPt>
          <c:dPt>
            <c:idx val="3"/>
            <c:invertIfNegative val="0"/>
            <c:bubble3D val="0"/>
            <c:spPr>
              <a:pattFill prst="dkDnDiag">
                <a:fgClr>
                  <a:schemeClr val="tx1"/>
                </a:fgClr>
                <a:bgClr>
                  <a:schemeClr val="bg1"/>
                </a:bgClr>
              </a:pattFill>
              <a:ln>
                <a:solidFill>
                  <a:schemeClr val="tx1"/>
                </a:solidFill>
              </a:ln>
              <a:effectLst/>
            </c:spPr>
            <c:extLst>
              <c:ext xmlns:c16="http://schemas.microsoft.com/office/drawing/2014/chart" uri="{C3380CC4-5D6E-409C-BE32-E72D297353CC}">
                <c16:uniqueId val="{00000007-0D0A-4838-8720-42F17281B265}"/>
              </c:ext>
            </c:extLst>
          </c:dPt>
          <c:dPt>
            <c:idx val="4"/>
            <c:invertIfNegative val="0"/>
            <c:bubble3D val="0"/>
            <c:spPr>
              <a:pattFill prst="pct90">
                <a:fgClr>
                  <a:schemeClr val="tx1"/>
                </a:fgClr>
                <a:bgClr>
                  <a:schemeClr val="bg1"/>
                </a:bgClr>
              </a:pattFill>
              <a:ln>
                <a:solidFill>
                  <a:schemeClr val="tx1"/>
                </a:solidFill>
              </a:ln>
              <a:effectLst/>
            </c:spPr>
            <c:extLst>
              <c:ext xmlns:c16="http://schemas.microsoft.com/office/drawing/2014/chart" uri="{C3380CC4-5D6E-409C-BE32-E72D297353CC}">
                <c16:uniqueId val="{00000009-0D0A-4838-8720-42F17281B265}"/>
              </c:ext>
            </c:extLst>
          </c:dPt>
          <c:dPt>
            <c:idx val="5"/>
            <c:invertIfNegative val="0"/>
            <c:bubble3D val="0"/>
            <c:spPr>
              <a:pattFill prst="horzBrick">
                <a:fgClr>
                  <a:schemeClr val="tx1"/>
                </a:fgClr>
                <a:bgClr>
                  <a:schemeClr val="bg1"/>
                </a:bgClr>
              </a:pattFill>
              <a:ln>
                <a:solidFill>
                  <a:schemeClr val="tx1"/>
                </a:solidFill>
              </a:ln>
              <a:effectLst/>
            </c:spPr>
            <c:extLst>
              <c:ext xmlns:c16="http://schemas.microsoft.com/office/drawing/2014/chart" uri="{C3380CC4-5D6E-409C-BE32-E72D297353CC}">
                <c16:uniqueId val="{0000000B-0D0A-4838-8720-42F17281B26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Services'!$A$128:$A$134</c:f>
              <c:strCache>
                <c:ptCount val="7"/>
                <c:pt idx="0">
                  <c:v>16-24</c:v>
                </c:pt>
                <c:pt idx="1">
                  <c:v>25-34</c:v>
                </c:pt>
                <c:pt idx="2">
                  <c:v>35-44</c:v>
                </c:pt>
                <c:pt idx="3">
                  <c:v>45-54</c:v>
                </c:pt>
                <c:pt idx="4">
                  <c:v>55-64</c:v>
                </c:pt>
                <c:pt idx="5">
                  <c:v>65+</c:v>
                </c:pt>
                <c:pt idx="6">
                  <c:v>Average age</c:v>
                </c:pt>
              </c:strCache>
            </c:strRef>
          </c:cat>
          <c:val>
            <c:numRef>
              <c:f>'Property Services'!$C$128:$C$134</c:f>
              <c:numCache>
                <c:formatCode>General</c:formatCode>
                <c:ptCount val="7"/>
                <c:pt idx="0">
                  <c:v>4</c:v>
                </c:pt>
                <c:pt idx="1">
                  <c:v>14</c:v>
                </c:pt>
                <c:pt idx="2">
                  <c:v>28</c:v>
                </c:pt>
                <c:pt idx="3">
                  <c:v>58</c:v>
                </c:pt>
                <c:pt idx="4">
                  <c:v>37</c:v>
                </c:pt>
                <c:pt idx="5">
                  <c:v>6</c:v>
                </c:pt>
              </c:numCache>
            </c:numRef>
          </c:val>
          <c:extLst>
            <c:ext xmlns:c16="http://schemas.microsoft.com/office/drawing/2014/chart" uri="{C3380CC4-5D6E-409C-BE32-E72D297353CC}">
              <c16:uniqueId val="{0000000C-0D0A-4838-8720-42F17281B265}"/>
            </c:ext>
          </c:extLst>
        </c:ser>
        <c:dLbls>
          <c:showLegendKey val="0"/>
          <c:showVal val="0"/>
          <c:showCatName val="0"/>
          <c:showSerName val="0"/>
          <c:showPercent val="0"/>
          <c:showBubbleSize val="0"/>
        </c:dLbls>
        <c:gapWidth val="150"/>
        <c:axId val="621942768"/>
        <c:axId val="621938832"/>
        <c:extLst>
          <c:ext xmlns:c15="http://schemas.microsoft.com/office/drawing/2012/chart" uri="{02D57815-91ED-43cb-92C2-25804820EDAC}">
            <c15:filteredBarSeries>
              <c15:ser>
                <c:idx val="0"/>
                <c:order val="0"/>
                <c:tx>
                  <c:strRef>
                    <c:extLst>
                      <c:ext uri="{02D57815-91ED-43cb-92C2-25804820EDAC}">
                        <c15:formulaRef>
                          <c15:sqref>'Property Services'!$B$127</c15:sqref>
                        </c15:formulaRef>
                      </c:ext>
                    </c:extLst>
                    <c:strCache>
                      <c:ptCount val="1"/>
                    </c:strCache>
                  </c:strRef>
                </c:tx>
                <c:spPr>
                  <a:solidFill>
                    <a:schemeClr val="accent1"/>
                  </a:solidFill>
                  <a:ln>
                    <a:noFill/>
                  </a:ln>
                  <a:effectLst/>
                </c:spPr>
                <c:invertIfNegative val="0"/>
                <c:cat>
                  <c:strRef>
                    <c:extLst>
                      <c:ext uri="{02D57815-91ED-43cb-92C2-25804820EDAC}">
                        <c15:formulaRef>
                          <c15:sqref>'Property Services'!$A$128:$A$134</c15:sqref>
                        </c15:formulaRef>
                      </c:ext>
                    </c:extLst>
                    <c:strCache>
                      <c:ptCount val="7"/>
                      <c:pt idx="0">
                        <c:v>16-24</c:v>
                      </c:pt>
                      <c:pt idx="1">
                        <c:v>25-34</c:v>
                      </c:pt>
                      <c:pt idx="2">
                        <c:v>35-44</c:v>
                      </c:pt>
                      <c:pt idx="3">
                        <c:v>45-54</c:v>
                      </c:pt>
                      <c:pt idx="4">
                        <c:v>55-64</c:v>
                      </c:pt>
                      <c:pt idx="5">
                        <c:v>65+</c:v>
                      </c:pt>
                      <c:pt idx="6">
                        <c:v>Average age</c:v>
                      </c:pt>
                    </c:strCache>
                  </c:strRef>
                </c:cat>
                <c:val>
                  <c:numRef>
                    <c:extLst>
                      <c:ext uri="{02D57815-91ED-43cb-92C2-25804820EDAC}">
                        <c15:formulaRef>
                          <c15:sqref>'Property Services'!$B$128:$B$134</c15:sqref>
                        </c15:formulaRef>
                      </c:ext>
                    </c:extLst>
                    <c:numCache>
                      <c:formatCode>General</c:formatCode>
                      <c:ptCount val="7"/>
                    </c:numCache>
                  </c:numRef>
                </c:val>
                <c:extLst>
                  <c:ext xmlns:c16="http://schemas.microsoft.com/office/drawing/2014/chart" uri="{C3380CC4-5D6E-409C-BE32-E72D297353CC}">
                    <c16:uniqueId val="{0000000E-0D0A-4838-8720-42F17281B265}"/>
                  </c:ext>
                </c:extLst>
              </c15:ser>
            </c15:filteredBarSeries>
          </c:ext>
        </c:extLst>
      </c:barChart>
      <c:lineChart>
        <c:grouping val="standard"/>
        <c:varyColors val="0"/>
        <c:ser>
          <c:idx val="2"/>
          <c:order val="2"/>
          <c:tx>
            <c:strRef>
              <c:f>'Property Services'!$D$127</c:f>
              <c:strCache>
                <c:ptCount val="1"/>
                <c:pt idx="0">
                  <c:v>Average Age</c:v>
                </c:pt>
              </c:strCache>
            </c:strRef>
          </c:tx>
          <c:spPr>
            <a:ln w="28575" cap="rnd">
              <a:solidFill>
                <a:srgbClr val="7030A0"/>
              </a:solidFill>
              <a:round/>
            </a:ln>
            <a:effectLst/>
          </c:spPr>
          <c:marker>
            <c:symbol val="none"/>
          </c:marker>
          <c:dLbls>
            <c:spPr>
              <a:solidFill>
                <a:schemeClr val="bg1"/>
              </a:solidFill>
              <a:ln>
                <a:solidFill>
                  <a:srgbClr val="7030A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Services'!$A$128:$A$134</c:f>
              <c:strCache>
                <c:ptCount val="7"/>
                <c:pt idx="0">
                  <c:v>16-24</c:v>
                </c:pt>
                <c:pt idx="1">
                  <c:v>25-34</c:v>
                </c:pt>
                <c:pt idx="2">
                  <c:v>35-44</c:v>
                </c:pt>
                <c:pt idx="3">
                  <c:v>45-54</c:v>
                </c:pt>
                <c:pt idx="4">
                  <c:v>55-64</c:v>
                </c:pt>
                <c:pt idx="5">
                  <c:v>65+</c:v>
                </c:pt>
                <c:pt idx="6">
                  <c:v>Average age</c:v>
                </c:pt>
              </c:strCache>
            </c:strRef>
          </c:cat>
          <c:val>
            <c:numRef>
              <c:f>'Property Services'!$D$128:$D$134</c:f>
              <c:numCache>
                <c:formatCode>General</c:formatCode>
                <c:ptCount val="7"/>
                <c:pt idx="6">
                  <c:v>48.71</c:v>
                </c:pt>
              </c:numCache>
            </c:numRef>
          </c:val>
          <c:smooth val="0"/>
          <c:extLst>
            <c:ext xmlns:c16="http://schemas.microsoft.com/office/drawing/2014/chart" uri="{C3380CC4-5D6E-409C-BE32-E72D297353CC}">
              <c16:uniqueId val="{0000000D-0D0A-4838-8720-42F17281B265}"/>
            </c:ext>
          </c:extLst>
        </c:ser>
        <c:dLbls>
          <c:showLegendKey val="0"/>
          <c:showVal val="0"/>
          <c:showCatName val="0"/>
          <c:showSerName val="0"/>
          <c:showPercent val="0"/>
          <c:showBubbleSize val="0"/>
        </c:dLbls>
        <c:marker val="1"/>
        <c:smooth val="0"/>
        <c:axId val="621942768"/>
        <c:axId val="621938832"/>
      </c:lineChart>
      <c:catAx>
        <c:axId val="62194276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938832"/>
        <c:crosses val="autoZero"/>
        <c:auto val="1"/>
        <c:lblAlgn val="ctr"/>
        <c:lblOffset val="100"/>
        <c:noMultiLvlLbl val="0"/>
      </c:catAx>
      <c:valAx>
        <c:axId val="621938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Staff</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942768"/>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Percentage of Projects completed on time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'Property Services'!$B$143</c:f>
              <c:strCache>
                <c:ptCount val="1"/>
                <c:pt idx="0">
                  <c:v>Fife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'Property Services'!$A$145:$A$146</c:f>
              <c:strCache>
                <c:ptCount val="2"/>
                <c:pt idx="0">
                  <c:v>2017/18</c:v>
                </c:pt>
                <c:pt idx="1">
                  <c:v>2018/19</c:v>
                </c:pt>
              </c:strCache>
            </c:strRef>
          </c:cat>
          <c:val>
            <c:numRef>
              <c:f>'Property Services'!$B$145:$B$146</c:f>
              <c:numCache>
                <c:formatCode>General</c:formatCode>
                <c:ptCount val="2"/>
              </c:numCache>
            </c:numRef>
          </c:val>
          <c:smooth val="0"/>
          <c:extLst>
            <c:ext xmlns:c16="http://schemas.microsoft.com/office/drawing/2014/chart" uri="{C3380CC4-5D6E-409C-BE32-E72D297353CC}">
              <c16:uniqueId val="{00000000-30E6-4589-89A1-8402E886430A}"/>
            </c:ext>
          </c:extLst>
        </c:ser>
        <c:ser>
          <c:idx val="1"/>
          <c:order val="1"/>
          <c:tx>
            <c:strRef>
              <c:f>'Property Services'!$C$143</c:f>
              <c:strCache>
                <c:ptCount val="1"/>
                <c:pt idx="0">
                  <c:v>Property Services</c:v>
                </c:pt>
              </c:strCache>
            </c:strRef>
          </c:tx>
          <c:spPr>
            <a:ln w="28575" cap="rnd">
              <a:solidFill>
                <a:schemeClr val="accent1"/>
              </a:solidFill>
              <a:prstDash val="solid"/>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'Property Services'!$A$145:$A$146</c:f>
              <c:strCache>
                <c:ptCount val="2"/>
                <c:pt idx="0">
                  <c:v>2017/18</c:v>
                </c:pt>
                <c:pt idx="1">
                  <c:v>2018/19</c:v>
                </c:pt>
              </c:strCache>
            </c:strRef>
          </c:cat>
          <c:val>
            <c:numRef>
              <c:f>'Property Services'!$C$145:$C$146</c:f>
              <c:numCache>
                <c:formatCode>General</c:formatCode>
                <c:ptCount val="2"/>
                <c:pt idx="0">
                  <c:v>59.4</c:v>
                </c:pt>
                <c:pt idx="1">
                  <c:v>50.9</c:v>
                </c:pt>
              </c:numCache>
            </c:numRef>
          </c:val>
          <c:smooth val="0"/>
          <c:extLst>
            <c:ext xmlns:c16="http://schemas.microsoft.com/office/drawing/2014/chart" uri="{C3380CC4-5D6E-409C-BE32-E72D297353CC}">
              <c16:uniqueId val="{00000001-30E6-4589-89A1-8402E886430A}"/>
            </c:ext>
          </c:extLst>
        </c:ser>
        <c:dLbls>
          <c:showLegendKey val="0"/>
          <c:showVal val="0"/>
          <c:showCatName val="0"/>
          <c:showSerName val="0"/>
          <c:showPercent val="0"/>
          <c:showBubbleSize val="0"/>
        </c:dLbls>
        <c:marker val="1"/>
        <c:smooth val="0"/>
        <c:axId val="432235288"/>
        <c:axId val="432235680"/>
      </c:lineChart>
      <c:catAx>
        <c:axId val="43223528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35680"/>
        <c:crosses val="autoZero"/>
        <c:auto val="1"/>
        <c:lblAlgn val="ctr"/>
        <c:lblOffset val="100"/>
        <c:noMultiLvlLbl val="0"/>
      </c:catAx>
      <c:valAx>
        <c:axId val="432235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235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F83E10020D843946BC4606BA634DF8F7" ma:contentTypeVersion="12" ma:contentTypeDescription="" ma:contentTypeScope="" ma:versionID="d70da416a977ab5a8ee043f5d5e741dd">
  <xsd:schema xmlns:xsd="http://www.w3.org/2001/XMLSchema" xmlns:xs="http://www.w3.org/2001/XMLSchema" xmlns:p="http://schemas.microsoft.com/office/2006/metadata/properties" xmlns:ns2="264c5323-e590-4694-88b8-b70f18bb79bc" xmlns:ns3="75422c5c-010d-470d-a7c5-1822c7ba693e" targetNamespace="http://schemas.microsoft.com/office/2006/metadata/properties" ma:root="true" ma:fieldsID="bde459d1215dfc1e57f24dd10ec3530b" ns2:_="" ns3:_="">
    <xsd:import namespace="264c5323-e590-4694-88b8-b70f18bb79bc"/>
    <xsd:import namespace="75422c5c-010d-470d-a7c5-1822c7ba693e"/>
    <xsd:element name="properties">
      <xsd:complexType>
        <xsd:sequence>
          <xsd:element name="documentManagement">
            <xsd:complexType>
              <xsd:all>
                <xsd:element ref="ns2:Protective_x0020_Marking"/>
                <xsd:element ref="ns2:FinYearReq"/>
                <xsd:element ref="ns2:j7c3ea7b1fc84fa29f85968fcdc8726d" minOccurs="0"/>
                <xsd:element ref="ns2:TaxCatchAll" minOccurs="0"/>
                <xsd:element ref="ns2:TaxCatchAllLabel" minOccurs="0"/>
                <xsd:element ref="ns3:ItemPPRReq"/>
                <xsd:element ref="ns3:PolicyThemeReq"/>
                <xsd:element ref="ns3:ScoreCardTheme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FinYearReq" ma:index="9" ma:displayName="Fin Year*" ma:default="2021-03-31T00:00:00Z" ma:format="DateOnly" ma:internalName="FinYearReq" ma:readOnly="false">
      <xsd:simpleType>
        <xsd:restriction base="dms:DateTime"/>
      </xsd:simpleType>
    </xsd:element>
    <xsd:element name="j7c3ea7b1fc84fa29f85968fcdc8726d" ma:index="10" ma:taxonomy="true" ma:internalName="j7c3ea7b1fc84fa29f85968fcdc8726d" ma:taxonomyFieldName="FinancialYearReq" ma:displayName="Financial Year*" ma:readOnly="false" ma:default="" ma:fieldId="{37c3ea7b-1fc8-4fa2-9f85-968fcdc8726d}" ma:sspId="a91404d7-7751-41e8-a4ee-909c4e7c55f3" ma:termSetId="9b58a08c-f373-4f9a-9f4a-c004f44965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e204aa7-0da6-4e89-918d-778555bc74db}" ma:internalName="TaxCatchAll" ma:showField="CatchAllData" ma:web="75422c5c-010d-470d-a7c5-1822c7ba69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e204aa7-0da6-4e89-918d-778555bc74db}" ma:internalName="TaxCatchAllLabel" ma:readOnly="true" ma:showField="CatchAllDataLabel" ma:web="75422c5c-010d-470d-a7c5-1822c7ba69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422c5c-010d-470d-a7c5-1822c7ba693e" elementFormDefault="qualified">
    <xsd:import namespace="http://schemas.microsoft.com/office/2006/documentManagement/types"/>
    <xsd:import namespace="http://schemas.microsoft.com/office/infopath/2007/PartnerControls"/>
    <xsd:element name="ItemPPRReq" ma:index="14" ma:displayName="Item (PPR)*" ma:internalName="ItemPPRReq">
      <xsd:simpleType>
        <xsd:restriction base="dms:Choice">
          <xsd:enumeration value="Info Graphics"/>
          <xsd:enumeration value="Photograph"/>
          <xsd:enumeration value="PPR Report"/>
          <xsd:enumeration value="Committee Report"/>
          <xsd:enumeration value="Presentation"/>
          <xsd:enumeration value="E-Flyer"/>
          <xsd:enumeration value="Case Study"/>
          <xsd:enumeration value="Internal Guidance"/>
          <xsd:enumeration value="Survey"/>
          <xsd:enumeration value="Template"/>
          <xsd:enumeration value="SPI Direction"/>
          <xsd:enumeration value="Statutory Guidance"/>
          <xsd:enumeration value="Performance Page"/>
        </xsd:restriction>
      </xsd:simpleType>
    </xsd:element>
    <xsd:element name="PolicyThemeReq" ma:index="15" ma:displayName="Policy Theme*" ma:internalName="PolicyThemeReq" ma:readOnly="false">
      <xsd:simpleType>
        <xsd:restriction base="dms:Choice">
          <xsd:enumeration value="Community Safety"/>
          <xsd:enumeration value="Economy"/>
          <xsd:enumeration value="Education"/>
          <xsd:enumeration value="Environment"/>
          <xsd:enumeration value="Finance"/>
          <xsd:enumeration value="Sport and Leisure"/>
          <xsd:enumeration value="Organisation"/>
          <xsd:enumeration value="Housing"/>
          <xsd:enumeration value="Not Applicable"/>
        </xsd:restriction>
      </xsd:simpleType>
    </xsd:element>
    <xsd:element name="ScoreCardThemeReq" ma:index="16" ma:displayName="Score Card Theme*" ma:internalName="ScoreCardThemeReq" ma:readOnly="false">
      <xsd:simpleType>
        <xsd:restriction base="dms:Choice">
          <xsd:enumeration value="Customer"/>
          <xsd:enumeration value="Cost"/>
          <xsd:enumeration value="Not Applicable"/>
          <xsd:enumeration value="People"/>
          <xsd:enumeration value="Responsiven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nYearReq xmlns="264c5323-e590-4694-88b8-b70f18bb79bc">2021-03-31T00:00:00+00:00</FinYearReq>
    <ItemPPRReq xmlns="75422c5c-010d-470d-a7c5-1822c7ba693e">Performance Page</ItemPPRReq>
    <TaxCatchAll xmlns="264c5323-e590-4694-88b8-b70f18bb79bc">
      <Value>58</Value>
    </TaxCatchAll>
    <PolicyThemeReq xmlns="75422c5c-010d-470d-a7c5-1822c7ba693e">Not Applicable</PolicyThemeReq>
    <ScoreCardThemeReq xmlns="75422c5c-010d-470d-a7c5-1822c7ba693e">Not Applicable</ScoreCardThemeReq>
    <j7c3ea7b1fc84fa29f85968fcdc8726d xmlns="264c5323-e590-4694-88b8-b70f18bb79bc">
      <Terms xmlns="http://schemas.microsoft.com/office/infopath/2007/PartnerControls">
        <TermInfo xmlns="http://schemas.microsoft.com/office/infopath/2007/PartnerControls">
          <TermName xmlns="http://schemas.microsoft.com/office/infopath/2007/PartnerControls">2018 - 2019</TermName>
          <TermId xmlns="http://schemas.microsoft.com/office/infopath/2007/PartnerControls">615afd54-f9aa-41fa-86a7-1f9dd92a1838</TermId>
        </TermInfo>
      </Terms>
    </j7c3ea7b1fc84fa29f85968fcdc8726d>
    <Protective_x0020_Marking xmlns="264c5323-e590-4694-88b8-b70f18bb79bc">OFFICIAL</Protective_x0020_Marking>
  </documentManagement>
</p:properties>
</file>

<file path=customXml/itemProps1.xml><?xml version="1.0" encoding="utf-8"?>
<ds:datastoreItem xmlns:ds="http://schemas.openxmlformats.org/officeDocument/2006/customXml" ds:itemID="{706A480A-B4E7-4E46-91A4-0B8B5B262C72}">
  <ds:schemaRefs>
    <ds:schemaRef ds:uri="http://schemas.openxmlformats.org/officeDocument/2006/bibliography"/>
  </ds:schemaRefs>
</ds:datastoreItem>
</file>

<file path=customXml/itemProps2.xml><?xml version="1.0" encoding="utf-8"?>
<ds:datastoreItem xmlns:ds="http://schemas.openxmlformats.org/officeDocument/2006/customXml" ds:itemID="{3CEADE4D-58A2-4BC5-8995-42CC69F30000}"/>
</file>

<file path=customXml/itemProps3.xml><?xml version="1.0" encoding="utf-8"?>
<ds:datastoreItem xmlns:ds="http://schemas.openxmlformats.org/officeDocument/2006/customXml" ds:itemID="{17EDFF47-0568-41F3-939A-E9E790632160}"/>
</file>

<file path=customXml/itemProps4.xml><?xml version="1.0" encoding="utf-8"?>
<ds:datastoreItem xmlns:ds="http://schemas.openxmlformats.org/officeDocument/2006/customXml" ds:itemID="{F25EB16A-EA1D-49A3-B279-68560C03E636}"/>
</file>

<file path=customXml/itemProps5.xml><?xml version="1.0" encoding="utf-8"?>
<ds:datastoreItem xmlns:ds="http://schemas.openxmlformats.org/officeDocument/2006/customXml" ds:itemID="{E2DFBFEA-24F0-4CB8-BCDA-1F930C682730}"/>
</file>

<file path=docProps/app.xml><?xml version="1.0" encoding="utf-8"?>
<Properties xmlns="http://schemas.openxmlformats.org/officeDocument/2006/extended-properties" xmlns:vt="http://schemas.openxmlformats.org/officeDocument/2006/docPropsVTypes">
  <Template>Normal</Template>
  <TotalTime>7</TotalTime>
  <Pages>10</Pages>
  <Words>1342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Policy, Finance and Asset Management Committee</vt:lpstr>
    </vt:vector>
  </TitlesOfParts>
  <Company>Fife Council</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Finance and Asset Management Committee</dc:title>
  <dc:subject/>
  <dc:creator>Jim Lumsden</dc:creator>
  <cp:keywords/>
  <cp:lastModifiedBy>Jacqui Prokes</cp:lastModifiedBy>
  <cp:revision>3</cp:revision>
  <cp:lastPrinted>2019-08-12T10:45:00Z</cp:lastPrinted>
  <dcterms:created xsi:type="dcterms:W3CDTF">2020-11-03T12:11:00Z</dcterms:created>
  <dcterms:modified xsi:type="dcterms:W3CDTF">2020-11-03T12:19:00Z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0x010100A2637EAA83360140BB49E0F830C79BBC0100F83E10020D843946BC4606BA634DF8F7</vt:lpwstr>
  </property>
  <property fmtid="{D5CDD505-2E9C-101B-9397-08002B2CF9AE}" pid="3" name="_dlc_policyId">
    <vt:lpwstr>/sites/mgtcor/per-mgt-dc/PublicPerformanceReporting</vt:lpwstr>
  </property>
  <property fmtid="{D5CDD505-2E9C-101B-9397-08002B2CF9AE}" pid="5" name="_dlc_ExpireDate">
    <vt:filetime>2021-11-03T12:22:46Z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FinancialYearReq">
    <vt:lpwstr>58;#2018 - 2019|615afd54-f9aa-41fa-86a7-1f9dd92a1838</vt:lpwstr>
  </property>
</Properties>
</file>