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76937" w14:textId="271AC8C4" w:rsidR="001927FC" w:rsidRPr="00500A72" w:rsidRDefault="007B1BBD" w:rsidP="001927FC">
      <w:pPr>
        <w:pStyle w:val="CommitteeTitle"/>
        <w:rPr>
          <w:rFonts w:ascii="Arial" w:hAnsi="Arial" w:cs="Arial"/>
        </w:rPr>
      </w:pPr>
      <w:r w:rsidRPr="00FE0267">
        <w:rPr>
          <w:rFonts w:ascii="Arial" w:hAnsi="Arial" w:cs="Arial"/>
          <w:highlight w:val="yellow"/>
        </w:rPr>
        <w:drawing>
          <wp:anchor distT="0" distB="0" distL="114300" distR="114300" simplePos="0" relativeHeight="251657728" behindDoc="1" locked="0" layoutInCell="1" allowOverlap="1" wp14:anchorId="59B42141" wp14:editId="49B10507">
            <wp:simplePos x="0" y="0"/>
            <wp:positionH relativeFrom="column">
              <wp:posOffset>-554355</wp:posOffset>
            </wp:positionH>
            <wp:positionV relativeFrom="paragraph">
              <wp:posOffset>-56515</wp:posOffset>
            </wp:positionV>
            <wp:extent cx="6972300" cy="920750"/>
            <wp:effectExtent l="0" t="0" r="0" b="0"/>
            <wp:wrapNone/>
            <wp:docPr id="3" name="Picture 3" descr="fcB&amp;WFlas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B&amp;WFlash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E99">
        <w:rPr>
          <w:rFonts w:ascii="Arial" w:hAnsi="Arial" w:cs="Arial"/>
        </w:rPr>
        <w:t xml:space="preserve">Asset and Corporate Services Committee </w:t>
      </w:r>
      <w:r w:rsidR="002A02E9">
        <w:rPr>
          <w:rFonts w:ascii="Arial" w:hAnsi="Arial" w:cs="Arial"/>
        </w:rPr>
        <w:t xml:space="preserve"> </w:t>
      </w:r>
    </w:p>
    <w:p w14:paraId="041C35EE" w14:textId="77777777" w:rsidR="00B86886" w:rsidRDefault="00B86886" w:rsidP="009B4ECC">
      <w:pPr>
        <w:spacing w:before="0"/>
        <w:rPr>
          <w:rFonts w:ascii="Arial" w:hAnsi="Arial" w:cs="Arial"/>
        </w:rPr>
      </w:pPr>
    </w:p>
    <w:p w14:paraId="494DA1DC" w14:textId="4D540488" w:rsidR="00E12351" w:rsidRDefault="00DE775A" w:rsidP="009B4ECC">
      <w:pPr>
        <w:spacing w:before="0"/>
        <w:rPr>
          <w:rFonts w:ascii="Arial" w:hAnsi="Arial" w:cs="Arial"/>
        </w:rPr>
      </w:pPr>
      <w:r>
        <w:rPr>
          <w:rFonts w:ascii="Arial" w:hAnsi="Arial" w:cs="Arial"/>
        </w:rPr>
        <w:t>20 August 2020</w:t>
      </w:r>
    </w:p>
    <w:p w14:paraId="424749D1" w14:textId="77777777" w:rsidR="009B4ECC" w:rsidRPr="006C2E4E" w:rsidRDefault="009B4ECC" w:rsidP="009B4ECC">
      <w:pPr>
        <w:spacing w:before="0"/>
        <w:rPr>
          <w:rFonts w:ascii="Arial" w:hAnsi="Arial" w:cs="Arial"/>
        </w:rPr>
      </w:pPr>
      <w:r>
        <w:rPr>
          <w:rFonts w:ascii="Arial" w:hAnsi="Arial" w:cs="Arial"/>
        </w:rPr>
        <w:t xml:space="preserve">Agenda Item </w:t>
      </w:r>
      <w:r w:rsidR="00B70BAF">
        <w:rPr>
          <w:rFonts w:ascii="Arial" w:hAnsi="Arial" w:cs="Arial"/>
        </w:rPr>
        <w:t xml:space="preserve">No. </w:t>
      </w:r>
    </w:p>
    <w:tbl>
      <w:tblPr>
        <w:tblW w:w="0" w:type="auto"/>
        <w:tblLook w:val="00A0" w:firstRow="1" w:lastRow="0" w:firstColumn="1" w:lastColumn="0" w:noHBand="0" w:noVBand="0"/>
      </w:tblPr>
      <w:tblGrid>
        <w:gridCol w:w="9638"/>
      </w:tblGrid>
      <w:tr w:rsidR="00A90C08" w:rsidRPr="00500A72" w14:paraId="294D0E32" w14:textId="77777777">
        <w:tc>
          <w:tcPr>
            <w:tcW w:w="9854" w:type="dxa"/>
            <w:tcBorders>
              <w:bottom w:val="single" w:sz="4" w:space="0" w:color="00424F"/>
            </w:tcBorders>
          </w:tcPr>
          <w:p w14:paraId="43E7A90C" w14:textId="77777777" w:rsidR="00A90C08" w:rsidRPr="009234E7" w:rsidRDefault="006B7E99" w:rsidP="009578CD">
            <w:pPr>
              <w:pStyle w:val="ReportTitle"/>
              <w:rPr>
                <w:rFonts w:ascii="Arial" w:hAnsi="Arial" w:cs="Arial"/>
                <w:color w:val="FF0000"/>
              </w:rPr>
            </w:pPr>
            <w:r>
              <w:rPr>
                <w:rFonts w:ascii="Arial" w:hAnsi="Arial" w:cs="Arial"/>
              </w:rPr>
              <w:t xml:space="preserve">Finance and Corporate Services Performance Report </w:t>
            </w:r>
            <w:r w:rsidR="009234E7">
              <w:rPr>
                <w:rFonts w:ascii="Arial" w:hAnsi="Arial" w:cs="Arial"/>
              </w:rPr>
              <w:t xml:space="preserve"> </w:t>
            </w:r>
          </w:p>
        </w:tc>
      </w:tr>
      <w:tr w:rsidR="00A90C08" w:rsidRPr="00500A72" w14:paraId="39A48A8B" w14:textId="77777777">
        <w:tc>
          <w:tcPr>
            <w:tcW w:w="9854" w:type="dxa"/>
            <w:tcBorders>
              <w:top w:val="single" w:sz="4" w:space="0" w:color="00424F"/>
              <w:bottom w:val="single" w:sz="4" w:space="0" w:color="00424F"/>
            </w:tcBorders>
          </w:tcPr>
          <w:p w14:paraId="0C267008" w14:textId="77777777" w:rsidR="00A90C08" w:rsidRPr="00500A72" w:rsidRDefault="00A90C08" w:rsidP="0080109B">
            <w:pPr>
              <w:pStyle w:val="overviewtext"/>
              <w:rPr>
                <w:rFonts w:ascii="Arial" w:hAnsi="Arial" w:cs="Arial"/>
              </w:rPr>
            </w:pPr>
            <w:r w:rsidRPr="00500A72">
              <w:rPr>
                <w:rFonts w:ascii="Arial" w:hAnsi="Arial" w:cs="Arial"/>
              </w:rPr>
              <w:t xml:space="preserve">Report by: </w:t>
            </w:r>
            <w:r w:rsidR="006B7E99">
              <w:rPr>
                <w:rFonts w:ascii="Arial" w:hAnsi="Arial" w:cs="Arial"/>
              </w:rPr>
              <w:t xml:space="preserve">Eileen </w:t>
            </w:r>
            <w:proofErr w:type="spellStart"/>
            <w:r w:rsidR="006B7E99">
              <w:rPr>
                <w:rFonts w:ascii="Arial" w:hAnsi="Arial" w:cs="Arial"/>
              </w:rPr>
              <w:t>Rowand</w:t>
            </w:r>
            <w:proofErr w:type="spellEnd"/>
            <w:r w:rsidR="00E751EC">
              <w:rPr>
                <w:rFonts w:ascii="Arial" w:hAnsi="Arial" w:cs="Arial"/>
              </w:rPr>
              <w:t>, Executive Director</w:t>
            </w:r>
            <w:r w:rsidR="005678E3">
              <w:rPr>
                <w:rFonts w:ascii="Arial" w:hAnsi="Arial" w:cs="Arial"/>
              </w:rPr>
              <w:t>,</w:t>
            </w:r>
            <w:r w:rsidR="00E751EC">
              <w:rPr>
                <w:rFonts w:ascii="Arial" w:hAnsi="Arial" w:cs="Arial"/>
              </w:rPr>
              <w:t xml:space="preserve"> </w:t>
            </w:r>
            <w:r w:rsidR="006B7E99">
              <w:rPr>
                <w:rFonts w:ascii="Arial" w:hAnsi="Arial" w:cs="Arial"/>
              </w:rPr>
              <w:t>Fi</w:t>
            </w:r>
            <w:r w:rsidR="00AA10C2">
              <w:rPr>
                <w:rFonts w:ascii="Arial" w:hAnsi="Arial" w:cs="Arial"/>
              </w:rPr>
              <w:t>n</w:t>
            </w:r>
            <w:r w:rsidR="006B7E99">
              <w:rPr>
                <w:rFonts w:ascii="Arial" w:hAnsi="Arial" w:cs="Arial"/>
              </w:rPr>
              <w:t xml:space="preserve">ance and Corporate Services </w:t>
            </w:r>
            <w:r w:rsidR="001402CF">
              <w:t xml:space="preserve"> </w:t>
            </w:r>
            <w:r w:rsidR="001402CF" w:rsidRPr="00500A72">
              <w:rPr>
                <w:rFonts w:ascii="Arial" w:hAnsi="Arial" w:cs="Arial"/>
              </w:rPr>
              <w:t xml:space="preserve"> </w:t>
            </w:r>
          </w:p>
        </w:tc>
      </w:tr>
      <w:tr w:rsidR="00A90C08" w:rsidRPr="00500A72" w14:paraId="28BD9F19" w14:textId="77777777">
        <w:tc>
          <w:tcPr>
            <w:tcW w:w="9854" w:type="dxa"/>
            <w:tcBorders>
              <w:top w:val="single" w:sz="4" w:space="0" w:color="00424F"/>
              <w:bottom w:val="single" w:sz="4" w:space="0" w:color="00424F"/>
            </w:tcBorders>
          </w:tcPr>
          <w:p w14:paraId="7863D3B4" w14:textId="77777777" w:rsidR="00A90C08" w:rsidRPr="00500A72" w:rsidRDefault="00A90C08" w:rsidP="00FE2AE3">
            <w:pPr>
              <w:pStyle w:val="overviewtext"/>
              <w:rPr>
                <w:rFonts w:ascii="Arial" w:hAnsi="Arial" w:cs="Arial"/>
              </w:rPr>
            </w:pPr>
            <w:r w:rsidRPr="00500A72">
              <w:rPr>
                <w:rFonts w:ascii="Arial" w:hAnsi="Arial" w:cs="Arial"/>
              </w:rPr>
              <w:t>Wards Affected: All</w:t>
            </w:r>
          </w:p>
        </w:tc>
      </w:tr>
    </w:tbl>
    <w:p w14:paraId="0D8D3B8E"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Purpose</w:t>
      </w:r>
    </w:p>
    <w:p w14:paraId="7E327646" w14:textId="4930AFD3" w:rsidR="001D758F" w:rsidRPr="001B0DAD" w:rsidRDefault="00E82D85" w:rsidP="00BD7A97">
      <w:pPr>
        <w:spacing w:before="240"/>
        <w:ind w:left="720"/>
        <w:jc w:val="both"/>
        <w:rPr>
          <w:rFonts w:ascii="Arial" w:hAnsi="Arial" w:cs="Arial"/>
        </w:rPr>
      </w:pPr>
      <w:r>
        <w:rPr>
          <w:rFonts w:ascii="Arial" w:hAnsi="Arial" w:cs="Arial"/>
        </w:rPr>
        <w:t xml:space="preserve">To present the </w:t>
      </w:r>
      <w:r w:rsidR="00494FCA">
        <w:rPr>
          <w:rFonts w:ascii="Arial" w:hAnsi="Arial" w:cs="Arial"/>
        </w:rPr>
        <w:t xml:space="preserve">performance scorecard for the Finance &amp; Corporate Services Directorate for </w:t>
      </w:r>
      <w:r w:rsidR="00DE775A">
        <w:rPr>
          <w:rFonts w:ascii="Arial" w:hAnsi="Arial" w:cs="Arial"/>
        </w:rPr>
        <w:t>2019/20</w:t>
      </w:r>
    </w:p>
    <w:p w14:paraId="70F04467" w14:textId="77777777" w:rsidR="00A90C08" w:rsidRPr="00500A72" w:rsidRDefault="00A90C08" w:rsidP="00BD7A97">
      <w:pPr>
        <w:pStyle w:val="overviewheading"/>
        <w:tabs>
          <w:tab w:val="center" w:pos="4819"/>
        </w:tabs>
        <w:spacing w:before="240" w:after="120"/>
        <w:jc w:val="both"/>
        <w:rPr>
          <w:rFonts w:ascii="Arial" w:hAnsi="Arial" w:cs="Arial"/>
        </w:rPr>
      </w:pPr>
      <w:r w:rsidRPr="00500A72">
        <w:rPr>
          <w:rFonts w:ascii="Arial" w:hAnsi="Arial" w:cs="Arial"/>
        </w:rPr>
        <w:t>Recommendations</w:t>
      </w:r>
    </w:p>
    <w:p w14:paraId="4C7D0FB0" w14:textId="77777777" w:rsidR="00494FCA" w:rsidRDefault="00494FCA" w:rsidP="006B7E99">
      <w:pPr>
        <w:pStyle w:val="Para2"/>
        <w:spacing w:before="240" w:after="120"/>
        <w:ind w:left="720"/>
        <w:rPr>
          <w:rFonts w:ascii="Arial" w:hAnsi="Arial" w:cs="Arial"/>
        </w:rPr>
      </w:pPr>
      <w:r>
        <w:rPr>
          <w:rFonts w:ascii="Arial" w:hAnsi="Arial" w:cs="Arial"/>
        </w:rPr>
        <w:t>Members are asked to</w:t>
      </w:r>
      <w:r w:rsidR="002125C9">
        <w:rPr>
          <w:rFonts w:ascii="Arial" w:hAnsi="Arial" w:cs="Arial"/>
        </w:rPr>
        <w:t xml:space="preserve"> note</w:t>
      </w:r>
      <w:r>
        <w:rPr>
          <w:rFonts w:ascii="Arial" w:hAnsi="Arial" w:cs="Arial"/>
        </w:rPr>
        <w:t>:</w:t>
      </w:r>
    </w:p>
    <w:p w14:paraId="74CFBEE8" w14:textId="77777777" w:rsidR="00494FCA" w:rsidRDefault="00494FCA" w:rsidP="00494FCA">
      <w:pPr>
        <w:pStyle w:val="Para2"/>
        <w:numPr>
          <w:ilvl w:val="0"/>
          <w:numId w:val="20"/>
        </w:numPr>
        <w:spacing w:before="240" w:after="120"/>
        <w:rPr>
          <w:rFonts w:ascii="Arial" w:hAnsi="Arial" w:cs="Arial"/>
        </w:rPr>
      </w:pPr>
      <w:r>
        <w:rPr>
          <w:rFonts w:ascii="Arial" w:hAnsi="Arial" w:cs="Arial"/>
        </w:rPr>
        <w:t xml:space="preserve">the </w:t>
      </w:r>
      <w:r w:rsidR="002125C9">
        <w:rPr>
          <w:rFonts w:ascii="Arial" w:hAnsi="Arial" w:cs="Arial"/>
        </w:rPr>
        <w:t xml:space="preserve">Finance &amp; Corporate Services </w:t>
      </w:r>
      <w:r>
        <w:rPr>
          <w:rFonts w:ascii="Arial" w:hAnsi="Arial" w:cs="Arial"/>
        </w:rPr>
        <w:t>performance information presented at appendix 1</w:t>
      </w:r>
      <w:r w:rsidR="002125C9">
        <w:rPr>
          <w:rFonts w:ascii="Arial" w:hAnsi="Arial" w:cs="Arial"/>
        </w:rPr>
        <w:t>; and</w:t>
      </w:r>
    </w:p>
    <w:p w14:paraId="60DBC0AB" w14:textId="0E7DC733" w:rsidR="00B70BAF" w:rsidRDefault="003F30B3" w:rsidP="00494FCA">
      <w:pPr>
        <w:pStyle w:val="Para2"/>
        <w:numPr>
          <w:ilvl w:val="0"/>
          <w:numId w:val="20"/>
        </w:numPr>
        <w:spacing w:before="240" w:after="120"/>
        <w:rPr>
          <w:rFonts w:ascii="Arial" w:hAnsi="Arial" w:cs="Arial"/>
        </w:rPr>
      </w:pPr>
      <w:r>
        <w:rPr>
          <w:rFonts w:ascii="Arial" w:hAnsi="Arial" w:cs="Arial"/>
        </w:rPr>
        <w:t>Note the</w:t>
      </w:r>
      <w:r w:rsidR="00326B8A">
        <w:rPr>
          <w:rFonts w:ascii="Arial" w:hAnsi="Arial" w:cs="Arial"/>
        </w:rPr>
        <w:t xml:space="preserve"> arrangements set out in section 1 to fulfil the Council’s obligation to comply with Audit Scotland’s 201</w:t>
      </w:r>
      <w:r w:rsidR="00DE775A">
        <w:rPr>
          <w:rFonts w:ascii="Arial" w:hAnsi="Arial" w:cs="Arial"/>
        </w:rPr>
        <w:t>8</w:t>
      </w:r>
      <w:r w:rsidR="00326B8A">
        <w:rPr>
          <w:rFonts w:ascii="Arial" w:hAnsi="Arial" w:cs="Arial"/>
        </w:rPr>
        <w:t xml:space="preserve"> SPI Direction.</w:t>
      </w:r>
      <w:r>
        <w:rPr>
          <w:rFonts w:ascii="Arial" w:hAnsi="Arial" w:cs="Arial"/>
        </w:rPr>
        <w:t xml:space="preserve"> </w:t>
      </w:r>
      <w:r w:rsidR="00616D1F" w:rsidRPr="00BC294C">
        <w:rPr>
          <w:rFonts w:ascii="Arial" w:hAnsi="Arial" w:cs="Arial"/>
        </w:rPr>
        <w:t xml:space="preserve"> </w:t>
      </w:r>
    </w:p>
    <w:p w14:paraId="697B39A8" w14:textId="7F9ADAEF" w:rsidR="002F1B31" w:rsidRDefault="003414B8" w:rsidP="00494FCA">
      <w:pPr>
        <w:pStyle w:val="Para2"/>
        <w:numPr>
          <w:ilvl w:val="0"/>
          <w:numId w:val="20"/>
        </w:numPr>
        <w:spacing w:before="240" w:after="120"/>
        <w:rPr>
          <w:rFonts w:ascii="Arial" w:hAnsi="Arial" w:cs="Arial"/>
        </w:rPr>
      </w:pPr>
      <w:r>
        <w:rPr>
          <w:rFonts w:ascii="Arial" w:hAnsi="Arial" w:cs="Arial"/>
        </w:rPr>
        <w:t>I</w:t>
      </w:r>
      <w:r w:rsidR="002F1B31">
        <w:rPr>
          <w:rFonts w:ascii="Arial" w:hAnsi="Arial" w:cs="Arial"/>
        </w:rPr>
        <w:t>nformation regarding t</w:t>
      </w:r>
      <w:r>
        <w:rPr>
          <w:rFonts w:ascii="Arial" w:hAnsi="Arial" w:cs="Arial"/>
        </w:rPr>
        <w:t>h</w:t>
      </w:r>
      <w:r w:rsidR="002F1B31">
        <w:rPr>
          <w:rFonts w:ascii="Arial" w:hAnsi="Arial" w:cs="Arial"/>
        </w:rPr>
        <w:t>e Directorate’s workforce profile</w:t>
      </w:r>
      <w:r w:rsidR="00C022EB">
        <w:rPr>
          <w:rFonts w:ascii="Arial" w:hAnsi="Arial" w:cs="Arial"/>
        </w:rPr>
        <w:t>.</w:t>
      </w:r>
    </w:p>
    <w:p w14:paraId="233132B5" w14:textId="581F34F1" w:rsidR="003414B8" w:rsidRPr="00B70BAF" w:rsidRDefault="003414B8" w:rsidP="00494FCA">
      <w:pPr>
        <w:pStyle w:val="Para2"/>
        <w:numPr>
          <w:ilvl w:val="0"/>
          <w:numId w:val="20"/>
        </w:numPr>
        <w:spacing w:before="240" w:after="120"/>
        <w:rPr>
          <w:rFonts w:ascii="Arial" w:hAnsi="Arial" w:cs="Arial"/>
        </w:rPr>
      </w:pPr>
      <w:r>
        <w:rPr>
          <w:rFonts w:ascii="Arial" w:hAnsi="Arial" w:cs="Arial"/>
        </w:rPr>
        <w:t xml:space="preserve">Annual Workforce </w:t>
      </w:r>
      <w:r w:rsidR="00186C06">
        <w:rPr>
          <w:rFonts w:ascii="Arial" w:hAnsi="Arial" w:cs="Arial"/>
        </w:rPr>
        <w:t>Report d</w:t>
      </w:r>
      <w:r>
        <w:rPr>
          <w:rFonts w:ascii="Arial" w:hAnsi="Arial" w:cs="Arial"/>
        </w:rPr>
        <w:t>ata for Finance &amp; Corporate Services</w:t>
      </w:r>
    </w:p>
    <w:p w14:paraId="375FE48F"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Resource Implications</w:t>
      </w:r>
    </w:p>
    <w:p w14:paraId="74D00575" w14:textId="77777777" w:rsidR="00A90C08" w:rsidRDefault="00494FCA" w:rsidP="00BD7A97">
      <w:pPr>
        <w:spacing w:before="240"/>
        <w:ind w:left="720"/>
        <w:jc w:val="both"/>
        <w:rPr>
          <w:rFonts w:ascii="Arial" w:hAnsi="Arial" w:cs="Arial"/>
        </w:rPr>
      </w:pPr>
      <w:r>
        <w:rPr>
          <w:rFonts w:ascii="Arial" w:hAnsi="Arial" w:cs="Arial"/>
        </w:rPr>
        <w:t>None</w:t>
      </w:r>
    </w:p>
    <w:p w14:paraId="6B6E4C97"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 xml:space="preserve">Legal </w:t>
      </w:r>
      <w:r w:rsidR="00913EA4" w:rsidRPr="00500A72">
        <w:rPr>
          <w:rFonts w:ascii="Arial" w:hAnsi="Arial" w:cs="Arial"/>
        </w:rPr>
        <w:t>&amp;</w:t>
      </w:r>
      <w:r w:rsidRPr="00500A72">
        <w:rPr>
          <w:rFonts w:ascii="Arial" w:hAnsi="Arial" w:cs="Arial"/>
        </w:rPr>
        <w:t xml:space="preserve"> Risk Implications</w:t>
      </w:r>
    </w:p>
    <w:p w14:paraId="017D3D10" w14:textId="77777777" w:rsidR="006B2171" w:rsidRDefault="00494FCA" w:rsidP="00BD7A97">
      <w:pPr>
        <w:pStyle w:val="summarydetails"/>
        <w:spacing w:before="240" w:after="120"/>
        <w:jc w:val="both"/>
        <w:rPr>
          <w:rFonts w:ascii="Arial" w:hAnsi="Arial" w:cs="Arial"/>
        </w:rPr>
      </w:pPr>
      <w:r>
        <w:rPr>
          <w:rFonts w:ascii="Arial" w:hAnsi="Arial" w:cs="Arial"/>
        </w:rPr>
        <w:t>None</w:t>
      </w:r>
    </w:p>
    <w:p w14:paraId="3C9C3A32"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Impact Assessment</w:t>
      </w:r>
    </w:p>
    <w:p w14:paraId="50717086" w14:textId="77777777" w:rsidR="00E40EA6" w:rsidRDefault="005D6FDE" w:rsidP="005D6FDE">
      <w:pPr>
        <w:pStyle w:val="summarydetails"/>
        <w:spacing w:before="240" w:after="120"/>
        <w:jc w:val="both"/>
        <w:rPr>
          <w:rFonts w:ascii="Arial" w:hAnsi="Arial" w:cs="Arial"/>
        </w:rPr>
      </w:pPr>
      <w:r w:rsidRPr="005D6FDE">
        <w:rPr>
          <w:rFonts w:ascii="Arial" w:hAnsi="Arial" w:cs="Arial"/>
        </w:rPr>
        <w:t xml:space="preserve">An </w:t>
      </w:r>
      <w:proofErr w:type="spellStart"/>
      <w:r w:rsidRPr="005D6FDE">
        <w:rPr>
          <w:rFonts w:ascii="Arial" w:hAnsi="Arial" w:cs="Arial"/>
        </w:rPr>
        <w:t>EqIA</w:t>
      </w:r>
      <w:proofErr w:type="spellEnd"/>
      <w:r w:rsidRPr="005D6FDE">
        <w:rPr>
          <w:rFonts w:ascii="Arial" w:hAnsi="Arial" w:cs="Arial"/>
        </w:rPr>
        <w:t xml:space="preserve"> is not required because the report does not propose a change or revision to existing policies and practices</w:t>
      </w:r>
      <w:r>
        <w:rPr>
          <w:rFonts w:ascii="Arial" w:hAnsi="Arial" w:cs="Arial"/>
        </w:rPr>
        <w:t>.</w:t>
      </w:r>
    </w:p>
    <w:p w14:paraId="2AF69A40"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Consultation</w:t>
      </w:r>
    </w:p>
    <w:p w14:paraId="51884D5C" w14:textId="77777777" w:rsidR="008E74AD" w:rsidRPr="00500A72" w:rsidRDefault="00494FCA" w:rsidP="0038700D">
      <w:pPr>
        <w:pStyle w:val="Heading2"/>
        <w:spacing w:before="240" w:after="120"/>
        <w:rPr>
          <w:rFonts w:ascii="Arial" w:hAnsi="Arial" w:cs="Arial"/>
        </w:rPr>
      </w:pPr>
      <w:r>
        <w:rPr>
          <w:rFonts w:ascii="Arial" w:hAnsi="Arial" w:cs="Arial"/>
          <w:b w:val="0"/>
          <w:sz w:val="24"/>
          <w:szCs w:val="24"/>
        </w:rPr>
        <w:tab/>
        <w:t>None required</w:t>
      </w:r>
      <w:r w:rsidR="00BD7A97" w:rsidRPr="00BC6BF6">
        <w:rPr>
          <w:rFonts w:ascii="Arial" w:hAnsi="Arial" w:cs="Arial"/>
          <w:b w:val="0"/>
          <w:sz w:val="24"/>
          <w:szCs w:val="24"/>
        </w:rPr>
        <w:br w:type="column"/>
      </w:r>
      <w:r w:rsidR="00AD62CD">
        <w:rPr>
          <w:rFonts w:ascii="Arial" w:hAnsi="Arial" w:cs="Arial"/>
        </w:rPr>
        <w:lastRenderedPageBreak/>
        <w:t>1.</w:t>
      </w:r>
      <w:r w:rsidR="00BD7A97">
        <w:rPr>
          <w:rFonts w:ascii="Arial" w:hAnsi="Arial" w:cs="Arial"/>
        </w:rPr>
        <w:t>0</w:t>
      </w:r>
      <w:r w:rsidR="008E74AD" w:rsidRPr="00500A72">
        <w:rPr>
          <w:rFonts w:ascii="Arial" w:hAnsi="Arial" w:cs="Arial"/>
        </w:rPr>
        <w:tab/>
        <w:t>Background</w:t>
      </w:r>
    </w:p>
    <w:p w14:paraId="750CA087" w14:textId="30889B83" w:rsidR="00494FCA" w:rsidRDefault="00494FCA" w:rsidP="00B4134A">
      <w:pPr>
        <w:pStyle w:val="Default"/>
        <w:numPr>
          <w:ilvl w:val="1"/>
          <w:numId w:val="24"/>
        </w:numPr>
      </w:pPr>
      <w:r w:rsidRPr="00EB3829">
        <w:t xml:space="preserve">Audit Scotland </w:t>
      </w:r>
      <w:r w:rsidR="00B4134A">
        <w:t xml:space="preserve">published </w:t>
      </w:r>
      <w:r w:rsidRPr="00EB3829">
        <w:t>the S</w:t>
      </w:r>
      <w:r w:rsidR="0009444F">
        <w:t>tatutory Performance D</w:t>
      </w:r>
      <w:r w:rsidRPr="00EB3829">
        <w:t>irection in December 201</w:t>
      </w:r>
      <w:r w:rsidR="00DE775A">
        <w:t>8</w:t>
      </w:r>
      <w:r w:rsidRPr="00EB3829">
        <w:t>.</w:t>
      </w:r>
      <w:r w:rsidR="0009444F">
        <w:t xml:space="preserve"> </w:t>
      </w:r>
      <w:r w:rsidR="00DE775A">
        <w:t>2019/20</w:t>
      </w:r>
      <w:r w:rsidR="008243AC">
        <w:t xml:space="preserve"> is the </w:t>
      </w:r>
      <w:r w:rsidR="00DE775A">
        <w:t xml:space="preserve">first </w:t>
      </w:r>
      <w:r w:rsidR="008243AC">
        <w:t xml:space="preserve">year to which that direction applies. </w:t>
      </w:r>
      <w:r w:rsidR="00B4134A">
        <w:t>The Council is required to report a range of information setting out:</w:t>
      </w:r>
    </w:p>
    <w:p w14:paraId="007760A5" w14:textId="77777777" w:rsidR="00B4134A" w:rsidRDefault="00B4134A" w:rsidP="00B4134A">
      <w:pPr>
        <w:pStyle w:val="Default"/>
        <w:ind w:left="720"/>
      </w:pPr>
    </w:p>
    <w:p w14:paraId="7EC34852" w14:textId="15458EEC" w:rsidR="00B4134A" w:rsidRDefault="00B4134A" w:rsidP="00B4134A">
      <w:pPr>
        <w:pStyle w:val="Default"/>
        <w:numPr>
          <w:ilvl w:val="0"/>
          <w:numId w:val="25"/>
        </w:numPr>
      </w:pPr>
      <w:r>
        <w:t>Its performance in improving local public services</w:t>
      </w:r>
      <w:r w:rsidR="00C022EB">
        <w:t>, provided by both (</w:t>
      </w:r>
      <w:proofErr w:type="spellStart"/>
      <w:r w:rsidR="00C022EB">
        <w:t>i</w:t>
      </w:r>
      <w:proofErr w:type="spellEnd"/>
      <w:r w:rsidR="00C022EB">
        <w:t>) the council itself and (ii) by the council in conjunction with its partners and communities.</w:t>
      </w:r>
    </w:p>
    <w:p w14:paraId="24BA5C57" w14:textId="22651B41" w:rsidR="00B4134A" w:rsidRDefault="00C022EB" w:rsidP="00B4134A">
      <w:pPr>
        <w:pStyle w:val="Default"/>
        <w:numPr>
          <w:ilvl w:val="0"/>
          <w:numId w:val="25"/>
        </w:numPr>
      </w:pPr>
      <w:r>
        <w:t>Its progress against the desired outcomes agreed with its partners and communities.</w:t>
      </w:r>
    </w:p>
    <w:p w14:paraId="1C753FDD" w14:textId="4285E14E" w:rsidR="00B4134A" w:rsidRDefault="00C022EB" w:rsidP="00B4134A">
      <w:pPr>
        <w:pStyle w:val="Default"/>
        <w:numPr>
          <w:ilvl w:val="0"/>
          <w:numId w:val="25"/>
        </w:numPr>
      </w:pPr>
      <w:r>
        <w:t>Its performance in comparison (</w:t>
      </w:r>
      <w:proofErr w:type="spellStart"/>
      <w:r>
        <w:t>i</w:t>
      </w:r>
      <w:proofErr w:type="spellEnd"/>
      <w:r>
        <w:t>) over time and (ii) with other similar bodies including information drawn down from LGBF in particular and from other benchmarking activities</w:t>
      </w:r>
    </w:p>
    <w:p w14:paraId="591FB4FC" w14:textId="7C110DCD" w:rsidR="00B4134A" w:rsidRDefault="00B4134A" w:rsidP="00B4134A">
      <w:pPr>
        <w:pStyle w:val="Default"/>
        <w:numPr>
          <w:ilvl w:val="0"/>
          <w:numId w:val="25"/>
        </w:numPr>
      </w:pPr>
      <w:r>
        <w:t xml:space="preserve">Its </w:t>
      </w:r>
      <w:r w:rsidR="00C022EB">
        <w:t xml:space="preserve">assessment of how it is performing </w:t>
      </w:r>
      <w:proofErr w:type="spellStart"/>
      <w:r w:rsidR="00C022EB">
        <w:t>aginst</w:t>
      </w:r>
      <w:proofErr w:type="spellEnd"/>
      <w:r w:rsidR="00C022EB">
        <w:t xml:space="preserve"> its duty of Best Value, and how it plans to improve against this assessment</w:t>
      </w:r>
    </w:p>
    <w:p w14:paraId="306F0E20" w14:textId="77777777" w:rsidR="00C828EB" w:rsidRDefault="00494FCA" w:rsidP="0009444F">
      <w:pPr>
        <w:pStyle w:val="Default"/>
        <w:ind w:left="720" w:hanging="720"/>
      </w:pPr>
      <w:r w:rsidRPr="00EB3829">
        <w:t xml:space="preserve"> </w:t>
      </w:r>
    </w:p>
    <w:p w14:paraId="2F7DAEA7" w14:textId="31BEDFDC" w:rsidR="00C828EB" w:rsidRDefault="00C828EB" w:rsidP="008243AC">
      <w:pPr>
        <w:pStyle w:val="Default"/>
        <w:numPr>
          <w:ilvl w:val="1"/>
          <w:numId w:val="24"/>
        </w:numPr>
      </w:pPr>
      <w:r>
        <w:t xml:space="preserve">The </w:t>
      </w:r>
      <w:r w:rsidR="008243AC">
        <w:t xml:space="preserve">first </w:t>
      </w:r>
      <w:r>
        <w:t xml:space="preserve">requirement, to report the </w:t>
      </w:r>
      <w:r w:rsidR="008243AC">
        <w:t xml:space="preserve">Council’s </w:t>
      </w:r>
      <w:r>
        <w:t xml:space="preserve">performance </w:t>
      </w:r>
      <w:r w:rsidR="008243AC">
        <w:t xml:space="preserve">in improving local public services (including with partners) </w:t>
      </w:r>
      <w:r>
        <w:t xml:space="preserve">will be satisfied by the series of reports (of which this is one) that will be presented to the Council covering the whole of the Council’s performance for </w:t>
      </w:r>
      <w:r w:rsidR="00284D3B">
        <w:t>2019/20</w:t>
      </w:r>
      <w:r>
        <w:t xml:space="preserve">. </w:t>
      </w:r>
      <w:r w:rsidR="00A30604">
        <w:t xml:space="preserve">Where possible, comparative performance is given for </w:t>
      </w:r>
      <w:r w:rsidR="004049D8">
        <w:t>the Scottish average, top quartile, and peer group averages.</w:t>
      </w:r>
    </w:p>
    <w:p w14:paraId="03A20C05" w14:textId="77777777" w:rsidR="008243AC" w:rsidRDefault="008243AC" w:rsidP="008243AC">
      <w:pPr>
        <w:pStyle w:val="Default"/>
      </w:pPr>
    </w:p>
    <w:p w14:paraId="7AB3DD00" w14:textId="77777777" w:rsidR="008243AC" w:rsidRDefault="008243AC" w:rsidP="009C410D">
      <w:pPr>
        <w:pStyle w:val="Default"/>
        <w:numPr>
          <w:ilvl w:val="1"/>
          <w:numId w:val="24"/>
        </w:numPr>
      </w:pPr>
      <w:r>
        <w:t xml:space="preserve">The other requirements </w:t>
      </w:r>
      <w:r w:rsidR="009C410D">
        <w:t xml:space="preserve">of the Statutory Performance Direction </w:t>
      </w:r>
      <w:r>
        <w:t xml:space="preserve">will be satisfied by </w:t>
      </w:r>
      <w:r w:rsidR="009C410D">
        <w:t xml:space="preserve">a combination of </w:t>
      </w:r>
    </w:p>
    <w:p w14:paraId="61324A40" w14:textId="77777777" w:rsidR="009C410D" w:rsidRDefault="009C410D" w:rsidP="009C410D">
      <w:pPr>
        <w:pStyle w:val="Default"/>
      </w:pPr>
    </w:p>
    <w:p w14:paraId="61575FD3" w14:textId="77777777" w:rsidR="009C410D" w:rsidRDefault="009C410D" w:rsidP="009C410D">
      <w:pPr>
        <w:pStyle w:val="Default"/>
        <w:numPr>
          <w:ilvl w:val="0"/>
          <w:numId w:val="27"/>
        </w:numPr>
      </w:pPr>
      <w:r>
        <w:t xml:space="preserve">Update reports to the Fife Partnership regarding progress against the Plan for Fife, with reports also going to Policy and Co-ordination Committee. </w:t>
      </w:r>
    </w:p>
    <w:p w14:paraId="7004150A" w14:textId="77777777" w:rsidR="002F1B31" w:rsidRDefault="002F1B31" w:rsidP="002F1B31">
      <w:pPr>
        <w:pStyle w:val="Default"/>
        <w:ind w:left="1440"/>
      </w:pPr>
    </w:p>
    <w:p w14:paraId="67A81658" w14:textId="21562C35" w:rsidR="009C410D" w:rsidRDefault="009C410D" w:rsidP="009C410D">
      <w:pPr>
        <w:pStyle w:val="Default"/>
        <w:numPr>
          <w:ilvl w:val="0"/>
          <w:numId w:val="27"/>
        </w:numPr>
      </w:pPr>
      <w:r>
        <w:t>public performance reporting, assurance statements and governance arrangements.</w:t>
      </w:r>
    </w:p>
    <w:p w14:paraId="213916B4" w14:textId="77777777" w:rsidR="0044594A" w:rsidRDefault="0044594A" w:rsidP="0044594A">
      <w:pPr>
        <w:pStyle w:val="ListParagraph"/>
      </w:pPr>
    </w:p>
    <w:p w14:paraId="01EAA142" w14:textId="19FCDC1D" w:rsidR="0044594A" w:rsidRDefault="0044594A" w:rsidP="009C410D">
      <w:pPr>
        <w:pStyle w:val="Default"/>
        <w:numPr>
          <w:ilvl w:val="0"/>
          <w:numId w:val="27"/>
        </w:numPr>
      </w:pPr>
      <w:r>
        <w:t xml:space="preserve">Reviewing </w:t>
      </w:r>
      <w:r w:rsidR="00E24279">
        <w:t>the</w:t>
      </w:r>
      <w:r>
        <w:t xml:space="preserve"> External Audit Annual Report for </w:t>
      </w:r>
      <w:proofErr w:type="spellStart"/>
      <w:r>
        <w:t>it’s</w:t>
      </w:r>
      <w:proofErr w:type="spellEnd"/>
      <w:r>
        <w:t xml:space="preserve"> view on our Best Value performance and any action plans thereafter.</w:t>
      </w:r>
    </w:p>
    <w:p w14:paraId="274F7021" w14:textId="77777777" w:rsidR="0044594A" w:rsidRDefault="0044594A" w:rsidP="0044594A">
      <w:pPr>
        <w:pStyle w:val="ListParagraph"/>
      </w:pPr>
    </w:p>
    <w:p w14:paraId="5279D78F" w14:textId="55C063EB" w:rsidR="0044594A" w:rsidRDefault="00E24279" w:rsidP="009C410D">
      <w:pPr>
        <w:pStyle w:val="Default"/>
        <w:numPr>
          <w:ilvl w:val="0"/>
          <w:numId w:val="27"/>
        </w:numPr>
      </w:pPr>
      <w:r>
        <w:t xml:space="preserve">Carry out a Best Value </w:t>
      </w:r>
      <w:proofErr w:type="spellStart"/>
      <w:r>
        <w:t>Self Assessment</w:t>
      </w:r>
      <w:proofErr w:type="spellEnd"/>
      <w:r>
        <w:t xml:space="preserve"> using the updated Audit Scotland Guidance in conjunction with the Council’s Corporate Governance Statements.</w:t>
      </w:r>
    </w:p>
    <w:p w14:paraId="366E1598" w14:textId="77777777" w:rsidR="00C828EB" w:rsidRDefault="00C828EB" w:rsidP="0009444F">
      <w:pPr>
        <w:pStyle w:val="Default"/>
        <w:ind w:left="720" w:hanging="720"/>
      </w:pPr>
    </w:p>
    <w:p w14:paraId="383F4A13" w14:textId="77777777" w:rsidR="00490EFF" w:rsidRDefault="00C828EB" w:rsidP="0009444F">
      <w:pPr>
        <w:pStyle w:val="Default"/>
        <w:ind w:left="720" w:hanging="720"/>
      </w:pPr>
      <w:r>
        <w:t>1.</w:t>
      </w:r>
      <w:r w:rsidR="009C410D">
        <w:t>4</w:t>
      </w:r>
      <w:r>
        <w:t xml:space="preserve">. </w:t>
      </w:r>
      <w:r>
        <w:tab/>
        <w:t>Taken together, these reports will cover the whole of the Local Government Benchmarking Framework</w:t>
      </w:r>
      <w:r w:rsidR="003F30B3">
        <w:t>, plus selected service performance indicators that give a balanced picture of Council performance.</w:t>
      </w:r>
      <w:r>
        <w:t xml:space="preserve"> </w:t>
      </w:r>
    </w:p>
    <w:p w14:paraId="6F099D48" w14:textId="77777777" w:rsidR="00490EFF" w:rsidRDefault="00490EFF" w:rsidP="0009444F">
      <w:pPr>
        <w:pStyle w:val="Default"/>
        <w:ind w:left="720" w:hanging="720"/>
      </w:pPr>
    </w:p>
    <w:p w14:paraId="5EE3BFF3" w14:textId="77777777" w:rsidR="0009444F" w:rsidRDefault="00490EFF" w:rsidP="0009444F">
      <w:pPr>
        <w:pStyle w:val="Default"/>
        <w:ind w:left="720" w:hanging="720"/>
      </w:pPr>
      <w:r>
        <w:t>1.5</w:t>
      </w:r>
      <w:r>
        <w:tab/>
        <w:t>This report deals primarily</w:t>
      </w:r>
      <w:r w:rsidR="002C5813">
        <w:t xml:space="preserve"> with the performance of the Finance &amp; Corporate Services Directorate, however it also includes several Council-wide indicators that fit best within this report. These indicators are clearly marked in the relevant narrative.</w:t>
      </w:r>
      <w:r>
        <w:t xml:space="preserve"> </w:t>
      </w:r>
      <w:r w:rsidR="00C828EB">
        <w:t xml:space="preserve"> </w:t>
      </w:r>
    </w:p>
    <w:p w14:paraId="6247C396" w14:textId="77777777" w:rsidR="00986992" w:rsidRDefault="00986992" w:rsidP="0009444F">
      <w:pPr>
        <w:pStyle w:val="Default"/>
        <w:ind w:left="720" w:hanging="720"/>
      </w:pPr>
    </w:p>
    <w:p w14:paraId="76274A6C" w14:textId="61E277DD" w:rsidR="00986992" w:rsidRDefault="00986992" w:rsidP="0009444F">
      <w:pPr>
        <w:pStyle w:val="Default"/>
        <w:ind w:left="720" w:hanging="720"/>
      </w:pPr>
      <w:r>
        <w:t>1.</w:t>
      </w:r>
      <w:r w:rsidR="002C5813">
        <w:t>6</w:t>
      </w:r>
      <w:r>
        <w:t xml:space="preserve"> </w:t>
      </w:r>
      <w:r>
        <w:tab/>
        <w:t xml:space="preserve">The appendix to this report is presented in the form of a balanced scorecard covering the areas of Customer, People, Responsiveness and Cost results. This is </w:t>
      </w:r>
      <w:r>
        <w:lastRenderedPageBreak/>
        <w:t xml:space="preserve">consistent with the format used for the </w:t>
      </w:r>
      <w:r w:rsidR="00284D3B">
        <w:t>2018/19</w:t>
      </w:r>
      <w:r>
        <w:t xml:space="preserve"> Public Performance Report and mirrors the approach used for internal management reporting throughout the year.</w:t>
      </w:r>
    </w:p>
    <w:p w14:paraId="6D4A4512" w14:textId="77777777" w:rsidR="00E156C4" w:rsidRDefault="00E156C4" w:rsidP="005D6FDE">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t>Conclusion</w:t>
      </w:r>
      <w:r w:rsidR="00F70710">
        <w:rPr>
          <w:rStyle w:val="s1"/>
          <w:rFonts w:ascii="Arial" w:hAnsi="Arial"/>
          <w:b/>
          <w:color w:val="auto"/>
          <w:sz w:val="36"/>
          <w:szCs w:val="36"/>
        </w:rPr>
        <w:t>s</w:t>
      </w:r>
      <w:r>
        <w:rPr>
          <w:rStyle w:val="s1"/>
          <w:rFonts w:ascii="Arial" w:hAnsi="Arial"/>
          <w:b/>
          <w:color w:val="auto"/>
          <w:sz w:val="36"/>
          <w:szCs w:val="36"/>
        </w:rPr>
        <w:t xml:space="preserve"> </w:t>
      </w:r>
    </w:p>
    <w:p w14:paraId="5548AB04" w14:textId="77777777" w:rsidR="00F31797" w:rsidRDefault="00F31797" w:rsidP="00986992">
      <w:pPr>
        <w:spacing w:before="0" w:after="0"/>
        <w:ind w:left="709" w:hanging="709"/>
        <w:jc w:val="both"/>
        <w:rPr>
          <w:rFonts w:ascii="Arial" w:hAnsi="Arial" w:cs="Arial"/>
          <w:szCs w:val="24"/>
        </w:rPr>
      </w:pPr>
    </w:p>
    <w:p w14:paraId="5FD58C72"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2.1</w:t>
      </w:r>
      <w:r>
        <w:rPr>
          <w:rFonts w:ascii="Arial" w:hAnsi="Arial" w:cs="Arial"/>
          <w:szCs w:val="24"/>
        </w:rPr>
        <w:tab/>
        <w:t>This report is the first in a series covering the whole of the Council’s performance against key indicators, including the Local Government Benchmarking framework.</w:t>
      </w:r>
    </w:p>
    <w:p w14:paraId="1E79E302" w14:textId="77777777" w:rsidR="005D6FDE" w:rsidRDefault="005D6FDE" w:rsidP="005D6FDE">
      <w:pPr>
        <w:spacing w:before="0" w:after="0"/>
        <w:ind w:left="720" w:hanging="720"/>
        <w:jc w:val="both"/>
        <w:rPr>
          <w:rFonts w:ascii="Arial" w:hAnsi="Arial" w:cs="Arial"/>
          <w:szCs w:val="24"/>
        </w:rPr>
      </w:pPr>
    </w:p>
    <w:p w14:paraId="4506854A"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2.2</w:t>
      </w:r>
      <w:r>
        <w:rPr>
          <w:rFonts w:ascii="Arial" w:hAnsi="Arial" w:cs="Arial"/>
          <w:szCs w:val="24"/>
        </w:rPr>
        <w:tab/>
        <w:t>The overall performance of the Finance &amp; Corporate Services Directorate is positive</w:t>
      </w:r>
      <w:r w:rsidR="00547880">
        <w:rPr>
          <w:rFonts w:ascii="Arial" w:hAnsi="Arial" w:cs="Arial"/>
          <w:szCs w:val="24"/>
        </w:rPr>
        <w:t>; areas for improvement focus are identified in appendix 1</w:t>
      </w:r>
    </w:p>
    <w:p w14:paraId="26343F40" w14:textId="77777777" w:rsidR="005D6FDE" w:rsidRDefault="005D6FDE" w:rsidP="00986992">
      <w:pPr>
        <w:spacing w:before="0" w:after="0"/>
        <w:ind w:left="709" w:hanging="709"/>
        <w:jc w:val="both"/>
        <w:rPr>
          <w:rFonts w:ascii="Arial" w:hAnsi="Arial" w:cs="Arial"/>
          <w:szCs w:val="24"/>
        </w:rPr>
      </w:pPr>
    </w:p>
    <w:p w14:paraId="3D6B4C26" w14:textId="77777777" w:rsidR="00603139" w:rsidRPr="00910BBF" w:rsidRDefault="000532D5" w:rsidP="008B7AEF">
      <w:pPr>
        <w:spacing w:before="0" w:after="0"/>
        <w:rPr>
          <w:b/>
          <w:szCs w:val="24"/>
        </w:rPr>
      </w:pPr>
      <w:r w:rsidRPr="00910BBF">
        <w:rPr>
          <w:b/>
          <w:szCs w:val="24"/>
        </w:rPr>
        <w:t xml:space="preserve">List of </w:t>
      </w:r>
      <w:r w:rsidR="00603139" w:rsidRPr="00910BBF">
        <w:rPr>
          <w:b/>
          <w:szCs w:val="24"/>
        </w:rPr>
        <w:t>Appendices</w:t>
      </w:r>
      <w:r w:rsidR="00F85B98" w:rsidRPr="00910BBF">
        <w:rPr>
          <w:b/>
          <w:szCs w:val="24"/>
        </w:rPr>
        <w:t xml:space="preserve"> </w:t>
      </w:r>
    </w:p>
    <w:p w14:paraId="585515BC" w14:textId="77777777" w:rsidR="00603139" w:rsidRPr="00910BBF" w:rsidRDefault="00603139" w:rsidP="008B7AEF">
      <w:pPr>
        <w:spacing w:before="0" w:after="0"/>
        <w:rPr>
          <w:b/>
          <w:szCs w:val="24"/>
        </w:rPr>
      </w:pPr>
    </w:p>
    <w:p w14:paraId="532FB585" w14:textId="4FC2A981" w:rsidR="008B7AEF" w:rsidRDefault="003F30B3" w:rsidP="008B7AEF">
      <w:pPr>
        <w:spacing w:before="0" w:after="0"/>
        <w:jc w:val="both"/>
        <w:rPr>
          <w:szCs w:val="24"/>
        </w:rPr>
      </w:pPr>
      <w:r>
        <w:rPr>
          <w:szCs w:val="24"/>
        </w:rPr>
        <w:t>Appendix 1</w:t>
      </w:r>
      <w:r w:rsidR="00AA10C2">
        <w:rPr>
          <w:szCs w:val="24"/>
        </w:rPr>
        <w:t xml:space="preserve"> – Finance &amp; Corporate Services Performance Report </w:t>
      </w:r>
      <w:r w:rsidR="000F2A4C">
        <w:rPr>
          <w:szCs w:val="24"/>
        </w:rPr>
        <w:t>2019/20</w:t>
      </w:r>
    </w:p>
    <w:p w14:paraId="79EDA5E8" w14:textId="1BFF26AD" w:rsidR="000F2A4C" w:rsidRPr="00A82F98" w:rsidRDefault="000F2A4C" w:rsidP="008B7AEF">
      <w:pPr>
        <w:spacing w:before="0" w:after="0"/>
        <w:jc w:val="both"/>
        <w:rPr>
          <w:color w:val="FF0000"/>
          <w:szCs w:val="24"/>
        </w:rPr>
      </w:pPr>
      <w:r>
        <w:rPr>
          <w:szCs w:val="24"/>
        </w:rPr>
        <w:t xml:space="preserve">Appendix 2 – </w:t>
      </w:r>
      <w:r w:rsidR="00AC72E6">
        <w:rPr>
          <w:szCs w:val="24"/>
        </w:rPr>
        <w:t>Workforce Profile</w:t>
      </w:r>
    </w:p>
    <w:p w14:paraId="47D5840C" w14:textId="267B7DD6" w:rsidR="00AC72E6" w:rsidRPr="00A82F98" w:rsidRDefault="000F2A4C" w:rsidP="008B7AEF">
      <w:pPr>
        <w:spacing w:before="0" w:after="0"/>
        <w:jc w:val="both"/>
        <w:rPr>
          <w:color w:val="FF0000"/>
          <w:szCs w:val="24"/>
        </w:rPr>
      </w:pPr>
      <w:r>
        <w:rPr>
          <w:szCs w:val="24"/>
        </w:rPr>
        <w:t xml:space="preserve">Appendix 3 </w:t>
      </w:r>
      <w:r w:rsidR="00AC72E6">
        <w:rPr>
          <w:szCs w:val="24"/>
        </w:rPr>
        <w:t>–</w:t>
      </w:r>
      <w:r>
        <w:rPr>
          <w:szCs w:val="24"/>
        </w:rPr>
        <w:t xml:space="preserve"> </w:t>
      </w:r>
      <w:r w:rsidR="00AC72E6">
        <w:rPr>
          <w:szCs w:val="24"/>
        </w:rPr>
        <w:t>Annual Workforce Data</w:t>
      </w:r>
      <w:r w:rsidR="00A82F98">
        <w:rPr>
          <w:szCs w:val="24"/>
        </w:rPr>
        <w:t xml:space="preserve"> </w:t>
      </w:r>
    </w:p>
    <w:p w14:paraId="6853A28E" w14:textId="77777777" w:rsidR="00193B24" w:rsidRDefault="00193B24" w:rsidP="008B7AEF">
      <w:pPr>
        <w:pStyle w:val="Heading4"/>
        <w:spacing w:before="0" w:after="0"/>
        <w:rPr>
          <w:szCs w:val="24"/>
        </w:rPr>
      </w:pPr>
    </w:p>
    <w:p w14:paraId="6B90095C" w14:textId="77777777" w:rsidR="000532D5" w:rsidRDefault="008B7AEF" w:rsidP="00BF0181">
      <w:pPr>
        <w:pStyle w:val="Heading4"/>
        <w:spacing w:before="0" w:after="0"/>
        <w:rPr>
          <w:szCs w:val="24"/>
        </w:rPr>
      </w:pPr>
      <w:r w:rsidRPr="00910BBF">
        <w:rPr>
          <w:szCs w:val="24"/>
        </w:rPr>
        <w:t>Report Contact</w:t>
      </w:r>
    </w:p>
    <w:p w14:paraId="0FC3FE38" w14:textId="777EB511" w:rsidR="006B7E99" w:rsidRDefault="00AC72E6" w:rsidP="008B7AEF">
      <w:pPr>
        <w:spacing w:before="0" w:after="0"/>
        <w:rPr>
          <w:szCs w:val="24"/>
        </w:rPr>
      </w:pPr>
      <w:r>
        <w:rPr>
          <w:szCs w:val="24"/>
        </w:rPr>
        <w:t>Jacqui Prokes</w:t>
      </w:r>
    </w:p>
    <w:p w14:paraId="6CFC5E1E" w14:textId="3EE35F53" w:rsidR="003F30B3" w:rsidRDefault="003F30B3" w:rsidP="008B7AEF">
      <w:pPr>
        <w:spacing w:before="0" w:after="0"/>
        <w:rPr>
          <w:szCs w:val="24"/>
        </w:rPr>
      </w:pPr>
      <w:r>
        <w:rPr>
          <w:szCs w:val="24"/>
        </w:rPr>
        <w:t xml:space="preserve">Corporate Development </w:t>
      </w:r>
      <w:r w:rsidR="00AC72E6">
        <w:rPr>
          <w:szCs w:val="24"/>
        </w:rPr>
        <w:t>Lead Officer</w:t>
      </w:r>
    </w:p>
    <w:p w14:paraId="28B39272" w14:textId="77777777" w:rsidR="003F30B3" w:rsidRDefault="003F30B3" w:rsidP="008B7AEF">
      <w:pPr>
        <w:spacing w:before="0" w:after="0"/>
        <w:rPr>
          <w:szCs w:val="24"/>
        </w:rPr>
      </w:pPr>
      <w:r>
        <w:rPr>
          <w:szCs w:val="24"/>
        </w:rPr>
        <w:t>Communities Directorate</w:t>
      </w:r>
    </w:p>
    <w:p w14:paraId="0C05E879" w14:textId="18578F65" w:rsidR="002125C9" w:rsidRDefault="00EF434D" w:rsidP="008B7AEF">
      <w:pPr>
        <w:spacing w:before="0" w:after="0"/>
        <w:rPr>
          <w:szCs w:val="24"/>
        </w:rPr>
      </w:pPr>
      <w:hyperlink r:id="rId12" w:history="1">
        <w:r w:rsidR="003B7CE9" w:rsidRPr="0091410F">
          <w:rPr>
            <w:rStyle w:val="Hyperlink"/>
            <w:szCs w:val="24"/>
          </w:rPr>
          <w:t>Jacqui.prokes@fife.gov.uk</w:t>
        </w:r>
      </w:hyperlink>
    </w:p>
    <w:p w14:paraId="372DEAB7" w14:textId="7224E078" w:rsidR="003B7CE9" w:rsidRDefault="003B7CE9" w:rsidP="008B7AEF">
      <w:pPr>
        <w:spacing w:before="0" w:after="0"/>
        <w:rPr>
          <w:szCs w:val="24"/>
        </w:rPr>
      </w:pPr>
    </w:p>
    <w:p w14:paraId="0BC44013" w14:textId="02DAE2B6" w:rsidR="003B7CE9" w:rsidRDefault="003B7CE9" w:rsidP="008B7AEF">
      <w:pPr>
        <w:spacing w:before="0" w:after="0"/>
        <w:rPr>
          <w:szCs w:val="24"/>
        </w:rPr>
      </w:pPr>
    </w:p>
    <w:p w14:paraId="22381060" w14:textId="5BD8E574" w:rsidR="003B7CE9" w:rsidRDefault="003B7CE9" w:rsidP="008B7AEF">
      <w:pPr>
        <w:spacing w:before="0" w:after="0"/>
        <w:rPr>
          <w:szCs w:val="24"/>
        </w:rPr>
      </w:pPr>
    </w:p>
    <w:p w14:paraId="2AE774EC" w14:textId="0C7D5D26" w:rsidR="003B7CE9" w:rsidRDefault="003B7CE9" w:rsidP="008B7AEF">
      <w:pPr>
        <w:spacing w:before="0" w:after="0"/>
        <w:rPr>
          <w:szCs w:val="24"/>
        </w:rPr>
      </w:pPr>
    </w:p>
    <w:p w14:paraId="406B455C" w14:textId="6E50A9FE" w:rsidR="003B7CE9" w:rsidRDefault="003B7CE9" w:rsidP="008B7AEF">
      <w:pPr>
        <w:spacing w:before="0" w:after="0"/>
        <w:rPr>
          <w:szCs w:val="24"/>
        </w:rPr>
      </w:pPr>
    </w:p>
    <w:p w14:paraId="279671BB" w14:textId="5195E188" w:rsidR="003B7CE9" w:rsidRDefault="003B7CE9" w:rsidP="008B7AEF">
      <w:pPr>
        <w:spacing w:before="0" w:after="0"/>
        <w:rPr>
          <w:szCs w:val="24"/>
        </w:rPr>
      </w:pPr>
    </w:p>
    <w:p w14:paraId="7DFA0CFF" w14:textId="7CD196BB" w:rsidR="003B7CE9" w:rsidRDefault="003B7CE9" w:rsidP="008B7AEF">
      <w:pPr>
        <w:spacing w:before="0" w:after="0"/>
        <w:rPr>
          <w:szCs w:val="24"/>
        </w:rPr>
      </w:pPr>
    </w:p>
    <w:p w14:paraId="0F908D21" w14:textId="3782F4F1" w:rsidR="003B7CE9" w:rsidRDefault="003B7CE9" w:rsidP="008B7AEF">
      <w:pPr>
        <w:spacing w:before="0" w:after="0"/>
        <w:rPr>
          <w:szCs w:val="24"/>
        </w:rPr>
      </w:pPr>
    </w:p>
    <w:p w14:paraId="35FBA61B" w14:textId="12202A82" w:rsidR="003B7CE9" w:rsidRDefault="003B7CE9" w:rsidP="008B7AEF">
      <w:pPr>
        <w:spacing w:before="0" w:after="0"/>
        <w:rPr>
          <w:szCs w:val="24"/>
        </w:rPr>
      </w:pPr>
    </w:p>
    <w:p w14:paraId="770B88C0" w14:textId="108A318D" w:rsidR="003B7CE9" w:rsidRDefault="003B7CE9" w:rsidP="008B7AEF">
      <w:pPr>
        <w:spacing w:before="0" w:after="0"/>
        <w:rPr>
          <w:szCs w:val="24"/>
        </w:rPr>
      </w:pPr>
    </w:p>
    <w:p w14:paraId="209BB52F" w14:textId="10828014" w:rsidR="003B7CE9" w:rsidRDefault="003B7CE9" w:rsidP="008B7AEF">
      <w:pPr>
        <w:spacing w:before="0" w:after="0"/>
        <w:rPr>
          <w:szCs w:val="24"/>
        </w:rPr>
      </w:pPr>
    </w:p>
    <w:p w14:paraId="797834FC" w14:textId="1395B0D2" w:rsidR="003B7CE9" w:rsidRDefault="003B7CE9" w:rsidP="008B7AEF">
      <w:pPr>
        <w:spacing w:before="0" w:after="0"/>
        <w:rPr>
          <w:szCs w:val="24"/>
        </w:rPr>
      </w:pPr>
    </w:p>
    <w:p w14:paraId="70AD12C5" w14:textId="3AB60F65" w:rsidR="003B7CE9" w:rsidRDefault="003B7CE9" w:rsidP="008B7AEF">
      <w:pPr>
        <w:spacing w:before="0" w:after="0"/>
        <w:rPr>
          <w:szCs w:val="24"/>
        </w:rPr>
      </w:pPr>
    </w:p>
    <w:p w14:paraId="75796B08" w14:textId="4E0C0DD6" w:rsidR="003B7CE9" w:rsidRDefault="003B7CE9" w:rsidP="008B7AEF">
      <w:pPr>
        <w:spacing w:before="0" w:after="0"/>
        <w:rPr>
          <w:szCs w:val="24"/>
        </w:rPr>
      </w:pPr>
    </w:p>
    <w:p w14:paraId="3F7BB55E" w14:textId="07E99CD6" w:rsidR="003B7CE9" w:rsidRDefault="003B7CE9" w:rsidP="008B7AEF">
      <w:pPr>
        <w:spacing w:before="0" w:after="0"/>
        <w:rPr>
          <w:szCs w:val="24"/>
        </w:rPr>
      </w:pPr>
    </w:p>
    <w:p w14:paraId="28326E5F" w14:textId="31C107EE" w:rsidR="003B7CE9" w:rsidRDefault="003B7CE9" w:rsidP="008B7AEF">
      <w:pPr>
        <w:spacing w:before="0" w:after="0"/>
        <w:rPr>
          <w:szCs w:val="24"/>
        </w:rPr>
      </w:pPr>
    </w:p>
    <w:p w14:paraId="555A11FF" w14:textId="7B7149FC" w:rsidR="003B7CE9" w:rsidRDefault="003B7CE9" w:rsidP="008B7AEF">
      <w:pPr>
        <w:spacing w:before="0" w:after="0"/>
        <w:rPr>
          <w:szCs w:val="24"/>
        </w:rPr>
      </w:pPr>
    </w:p>
    <w:p w14:paraId="44304D65" w14:textId="0C15F77B" w:rsidR="003B7CE9" w:rsidRDefault="003B7CE9" w:rsidP="008B7AEF">
      <w:pPr>
        <w:spacing w:before="0" w:after="0"/>
        <w:rPr>
          <w:szCs w:val="24"/>
        </w:rPr>
      </w:pPr>
    </w:p>
    <w:p w14:paraId="41C3F0B7" w14:textId="14F67DD1" w:rsidR="003B7CE9" w:rsidRDefault="003B7CE9" w:rsidP="008B7AEF">
      <w:pPr>
        <w:spacing w:before="0" w:after="0"/>
        <w:rPr>
          <w:szCs w:val="24"/>
        </w:rPr>
      </w:pPr>
    </w:p>
    <w:p w14:paraId="4F456C87" w14:textId="35615A53" w:rsidR="003B7CE9" w:rsidRDefault="003B7CE9" w:rsidP="008B7AEF">
      <w:pPr>
        <w:spacing w:before="0" w:after="0"/>
        <w:rPr>
          <w:szCs w:val="24"/>
        </w:rPr>
      </w:pPr>
    </w:p>
    <w:p w14:paraId="72D2EF7A" w14:textId="213A068B" w:rsidR="003B7CE9" w:rsidRDefault="003B7CE9" w:rsidP="008B7AEF">
      <w:pPr>
        <w:spacing w:before="0" w:after="0"/>
        <w:rPr>
          <w:szCs w:val="24"/>
        </w:rPr>
      </w:pPr>
    </w:p>
    <w:p w14:paraId="4A19D9A3" w14:textId="5CBF2591" w:rsidR="003B7CE9" w:rsidRDefault="003B7CE9" w:rsidP="008B7AEF">
      <w:pPr>
        <w:spacing w:before="0" w:after="0"/>
        <w:rPr>
          <w:szCs w:val="24"/>
        </w:rPr>
      </w:pPr>
    </w:p>
    <w:p w14:paraId="2C112656" w14:textId="28F871FB" w:rsidR="003B7CE9" w:rsidRDefault="003B7CE9" w:rsidP="008B7AEF">
      <w:pPr>
        <w:spacing w:before="0" w:after="0"/>
        <w:rPr>
          <w:szCs w:val="24"/>
        </w:rPr>
      </w:pPr>
    </w:p>
    <w:p w14:paraId="5E3981A0" w14:textId="5F2EAFFD" w:rsidR="003B7CE9" w:rsidRDefault="003B7CE9" w:rsidP="008B7AEF">
      <w:pPr>
        <w:spacing w:before="0" w:after="0"/>
        <w:rPr>
          <w:szCs w:val="24"/>
        </w:rPr>
      </w:pPr>
    </w:p>
    <w:p w14:paraId="1D226716" w14:textId="4BD9793A" w:rsidR="003B7CE9" w:rsidRDefault="003B7CE9" w:rsidP="008B7AEF">
      <w:pPr>
        <w:spacing w:before="0" w:after="0"/>
        <w:rPr>
          <w:szCs w:val="24"/>
        </w:rPr>
      </w:pPr>
    </w:p>
    <w:p w14:paraId="710C95C9" w14:textId="0ADB398F" w:rsidR="003B7CE9" w:rsidRDefault="003B7CE9" w:rsidP="008B7AEF">
      <w:pPr>
        <w:spacing w:before="0" w:after="0"/>
        <w:rPr>
          <w:szCs w:val="24"/>
        </w:rPr>
      </w:pPr>
    </w:p>
    <w:p w14:paraId="173BC80B" w14:textId="6B75FE19" w:rsidR="003B7CE9" w:rsidRDefault="003B7CE9" w:rsidP="008B7AEF">
      <w:pPr>
        <w:spacing w:before="0" w:after="0"/>
        <w:rPr>
          <w:szCs w:val="24"/>
        </w:rPr>
      </w:pPr>
    </w:p>
    <w:p w14:paraId="28A1F673" w14:textId="68786CDF" w:rsidR="003B7CE9" w:rsidRDefault="003B7CE9" w:rsidP="008B7AEF">
      <w:pPr>
        <w:spacing w:before="0" w:after="0"/>
        <w:rPr>
          <w:szCs w:val="24"/>
        </w:rPr>
      </w:pPr>
    </w:p>
    <w:p w14:paraId="6EF591B5" w14:textId="5DE3BFC4" w:rsidR="003B7CE9" w:rsidRDefault="003B7CE9" w:rsidP="008B7AEF">
      <w:pPr>
        <w:spacing w:before="0" w:after="0"/>
        <w:rPr>
          <w:szCs w:val="24"/>
        </w:rPr>
      </w:pPr>
    </w:p>
    <w:p w14:paraId="75B7BA9E" w14:textId="77777777" w:rsidR="00D01A59" w:rsidRPr="00D01A59" w:rsidRDefault="00D01A59" w:rsidP="00D01A59">
      <w:pPr>
        <w:rPr>
          <w:rFonts w:asciiTheme="minorBidi" w:eastAsiaTheme="minorHAnsi" w:hAnsiTheme="minorBidi" w:cstheme="minorBidi"/>
          <w:color w:val="1F4E79" w:themeColor="accent5" w:themeShade="80"/>
          <w:szCs w:val="24"/>
          <w:lang w:eastAsia="en-US"/>
        </w:rPr>
      </w:pPr>
    </w:p>
    <w:p w14:paraId="247F4886" w14:textId="77777777" w:rsidR="00D01A59" w:rsidRPr="00D01A59" w:rsidRDefault="00D01A59" w:rsidP="00D01A59">
      <w:pPr>
        <w:ind w:left="426"/>
        <w:rPr>
          <w:rFonts w:asciiTheme="minorBidi" w:eastAsiaTheme="minorHAnsi" w:hAnsiTheme="minorBidi" w:cstheme="minorBidi"/>
          <w:color w:val="1F4E79" w:themeColor="accent5" w:themeShade="80"/>
          <w:szCs w:val="24"/>
          <w:lang w:eastAsia="en-US"/>
        </w:rPr>
      </w:pPr>
      <w:r w:rsidRPr="00D01A59">
        <w:rPr>
          <w:rFonts w:asciiTheme="minorBidi" w:eastAsiaTheme="minorHAnsi" w:hAnsiTheme="minorBidi" w:cstheme="minorBidi"/>
          <w:noProof/>
          <w:color w:val="1F4E79" w:themeColor="accent5" w:themeShade="80"/>
          <w:szCs w:val="24"/>
        </w:rPr>
        <w:drawing>
          <wp:inline distT="0" distB="0" distL="0" distR="0" wp14:anchorId="2E311772" wp14:editId="2C5D4A1B">
            <wp:extent cx="2215166" cy="1003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_Logo_co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317" cy="1070426"/>
                    </a:xfrm>
                    <a:prstGeom prst="rect">
                      <a:avLst/>
                    </a:prstGeom>
                  </pic:spPr>
                </pic:pic>
              </a:graphicData>
            </a:graphic>
          </wp:inline>
        </w:drawing>
      </w:r>
    </w:p>
    <w:p w14:paraId="420DF04E" w14:textId="77777777" w:rsidR="00D01A59" w:rsidRPr="00D01A59" w:rsidRDefault="00D01A59" w:rsidP="00D01A59">
      <w:pPr>
        <w:rPr>
          <w:rFonts w:asciiTheme="minorBidi" w:eastAsiaTheme="minorHAnsi" w:hAnsiTheme="minorBidi" w:cstheme="minorBidi"/>
          <w:color w:val="1F4E79" w:themeColor="accent5" w:themeShade="80"/>
          <w:szCs w:val="24"/>
          <w:lang w:eastAsia="en-US"/>
        </w:rPr>
      </w:pPr>
    </w:p>
    <w:p w14:paraId="2BC8BFF2" w14:textId="77777777" w:rsidR="00D01A59" w:rsidRPr="00D01A59" w:rsidRDefault="00D01A59" w:rsidP="00D01A59">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D01A59">
        <w:rPr>
          <w:rFonts w:ascii="Arial" w:eastAsiaTheme="majorEastAsia" w:hAnsi="Arial" w:cstheme="majorBidi"/>
          <w:color w:val="1F4E79" w:themeColor="accent5" w:themeShade="80"/>
          <w:sz w:val="56"/>
          <w:szCs w:val="96"/>
          <w:lang w:eastAsia="en-US"/>
        </w:rPr>
        <w:t>Finance &amp; Corporate Services</w:t>
      </w:r>
    </w:p>
    <w:p w14:paraId="4F787810" w14:textId="77777777" w:rsidR="00D01A59" w:rsidRPr="00D01A59" w:rsidRDefault="00D01A59" w:rsidP="00D01A59">
      <w:pPr>
        <w:keepNext/>
        <w:keepLines/>
        <w:spacing w:before="240" w:after="0"/>
        <w:ind w:right="821"/>
        <w:outlineLvl w:val="0"/>
        <w:rPr>
          <w:rFonts w:ascii="Arial" w:eastAsiaTheme="majorEastAsia" w:hAnsi="Arial" w:cstheme="majorBidi"/>
          <w:color w:val="1F4E79" w:themeColor="accent5" w:themeShade="80"/>
          <w:sz w:val="56"/>
          <w:szCs w:val="56"/>
          <w:lang w:eastAsia="en-US"/>
        </w:rPr>
      </w:pPr>
      <w:r w:rsidRPr="00D01A59">
        <w:rPr>
          <w:rFonts w:ascii="Arial" w:eastAsiaTheme="majorEastAsia" w:hAnsi="Arial" w:cstheme="majorBidi"/>
          <w:color w:val="1F4E79" w:themeColor="accent5" w:themeShade="80"/>
          <w:sz w:val="56"/>
          <w:szCs w:val="56"/>
          <w:lang w:eastAsia="en-US"/>
        </w:rPr>
        <w:t>Performance Report 2019/20</w:t>
      </w:r>
    </w:p>
    <w:p w14:paraId="5BA2CCC9" w14:textId="77777777" w:rsidR="00D01A59" w:rsidRPr="00D01A59" w:rsidRDefault="00D01A59" w:rsidP="00D01A59">
      <w:pPr>
        <w:rPr>
          <w:rFonts w:asciiTheme="minorBidi" w:eastAsiaTheme="minorHAnsi" w:hAnsiTheme="minorBidi" w:cstheme="minorBidi"/>
          <w:color w:val="1F4E79" w:themeColor="accent5" w:themeShade="80"/>
          <w:szCs w:val="24"/>
          <w:lang w:eastAsia="en-US"/>
        </w:rPr>
      </w:pPr>
    </w:p>
    <w:p w14:paraId="0F972618" w14:textId="77777777" w:rsidR="00D01A59" w:rsidRPr="00D01A59" w:rsidRDefault="00D01A59" w:rsidP="00D01A59">
      <w:pPr>
        <w:rPr>
          <w:rFonts w:asciiTheme="minorBidi" w:eastAsiaTheme="minorHAnsi" w:hAnsiTheme="minorBidi" w:cstheme="minorBidi"/>
          <w:color w:val="1F4E79" w:themeColor="accent5" w:themeShade="80"/>
          <w:szCs w:val="24"/>
          <w:lang w:eastAsia="en-US"/>
        </w:rPr>
      </w:pPr>
    </w:p>
    <w:p w14:paraId="349D2FDA" w14:textId="77777777" w:rsidR="00D01A59" w:rsidRPr="00D01A59" w:rsidRDefault="00D01A59" w:rsidP="00D01A59">
      <w:pPr>
        <w:rPr>
          <w:rFonts w:asciiTheme="minorBidi" w:eastAsiaTheme="minorHAnsi" w:hAnsiTheme="minorBidi" w:cstheme="minorBidi"/>
          <w:color w:val="1F4E79"/>
          <w:sz w:val="36"/>
          <w:szCs w:val="36"/>
          <w:lang w:eastAsia="en-US"/>
        </w:rPr>
      </w:pPr>
    </w:p>
    <w:tbl>
      <w:tblPr>
        <w:tblStyle w:val="TableGrid1"/>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811"/>
        <w:gridCol w:w="4811"/>
      </w:tblGrid>
      <w:tr w:rsidR="00D01A59" w:rsidRPr="00D01A59" w14:paraId="4FBAF467" w14:textId="77777777" w:rsidTr="00F42B89">
        <w:trPr>
          <w:trHeight w:val="7580"/>
        </w:trPr>
        <w:tc>
          <w:tcPr>
            <w:tcW w:w="2500" w:type="pct"/>
          </w:tcPr>
          <w:p w14:paraId="0D417C77"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This report provides a strategic overview of performance against key indicators. We’ve worked hard to maintain and improve performance, and this year has seen a number of important achievements for Finance &amp; Corporate Services:</w:t>
            </w:r>
          </w:p>
          <w:p w14:paraId="24509289" w14:textId="77777777" w:rsidR="00D01A59" w:rsidRPr="00D01A59" w:rsidRDefault="00D01A59" w:rsidP="00D01A59">
            <w:pPr>
              <w:rPr>
                <w:rFonts w:ascii="Arial" w:eastAsiaTheme="minorHAnsi" w:hAnsi="Arial" w:cs="Arial"/>
                <w:color w:val="1F4E79" w:themeColor="accent5" w:themeShade="80"/>
              </w:rPr>
            </w:pPr>
          </w:p>
          <w:p w14:paraId="4212592D" w14:textId="77777777" w:rsidR="00D01A59" w:rsidRPr="00D01A59" w:rsidRDefault="00D01A59" w:rsidP="00D01A59">
            <w:pPr>
              <w:numPr>
                <w:ilvl w:val="0"/>
                <w:numId w:val="29"/>
              </w:numPr>
              <w:contextualSpacing/>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The gender pay gap shows that for the first time, women are paid, on average, a higher hourly rate </w:t>
            </w:r>
          </w:p>
          <w:p w14:paraId="54F3F128" w14:textId="77777777" w:rsidR="00D01A59" w:rsidRPr="00D01A59" w:rsidRDefault="00D01A59" w:rsidP="00D01A59">
            <w:pPr>
              <w:numPr>
                <w:ilvl w:val="0"/>
                <w:numId w:val="28"/>
              </w:numPr>
              <w:ind w:left="720"/>
              <w:contextualSpacing/>
              <w:rPr>
                <w:rFonts w:ascii="Arial" w:eastAsiaTheme="minorHAnsi" w:hAnsi="Arial" w:cs="Arial"/>
                <w:color w:val="1F4E79" w:themeColor="accent5" w:themeShade="80"/>
                <w:highlight w:val="yellow"/>
              </w:rPr>
            </w:pPr>
          </w:p>
          <w:p w14:paraId="2D777542" w14:textId="77777777" w:rsidR="00D01A59" w:rsidRPr="00D01A59" w:rsidRDefault="00D01A59" w:rsidP="00D01A59">
            <w:pPr>
              <w:numPr>
                <w:ilvl w:val="0"/>
                <w:numId w:val="29"/>
              </w:numPr>
              <w:contextualSpacing/>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We are still the best council in Scotland for the cost of collecting council tax.</w:t>
            </w:r>
          </w:p>
          <w:p w14:paraId="5ADA23C4" w14:textId="77777777" w:rsidR="00D01A59" w:rsidRPr="00D01A59" w:rsidRDefault="00D01A59" w:rsidP="00D01A59">
            <w:pPr>
              <w:numPr>
                <w:ilvl w:val="0"/>
                <w:numId w:val="28"/>
              </w:numPr>
              <w:ind w:left="720"/>
              <w:contextualSpacing/>
              <w:rPr>
                <w:rFonts w:ascii="Arial" w:eastAsiaTheme="minorHAnsi" w:hAnsi="Arial" w:cs="Arial"/>
                <w:color w:val="1F4E79" w:themeColor="accent5" w:themeShade="80"/>
                <w:highlight w:val="yellow"/>
              </w:rPr>
            </w:pPr>
          </w:p>
          <w:p w14:paraId="7D9AF848" w14:textId="77777777" w:rsidR="00D01A59" w:rsidRPr="00D01A59" w:rsidRDefault="00D01A59" w:rsidP="00D01A59">
            <w:pPr>
              <w:numPr>
                <w:ilvl w:val="0"/>
                <w:numId w:val="28"/>
              </w:numPr>
              <w:ind w:left="720"/>
              <w:contextualSpacing/>
              <w:rPr>
                <w:rFonts w:ascii="Arial" w:eastAsiaTheme="minorHAnsi" w:hAnsi="Arial" w:cs="Arial"/>
                <w:color w:val="1F4E79" w:themeColor="accent5" w:themeShade="80"/>
                <w:highlight w:val="yellow"/>
              </w:rPr>
            </w:pPr>
          </w:p>
          <w:p w14:paraId="3D33D971" w14:textId="77777777" w:rsidR="00D01A59" w:rsidRPr="00D01A59" w:rsidRDefault="00D01A59" w:rsidP="00D01A59">
            <w:pPr>
              <w:numPr>
                <w:ilvl w:val="0"/>
                <w:numId w:val="29"/>
              </w:numPr>
              <w:contextualSpacing/>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We demonstrate a very good track record of budgetary control, as measured by final outturn compared to budget. </w:t>
            </w:r>
          </w:p>
          <w:p w14:paraId="0929A47D" w14:textId="77777777" w:rsidR="00D01A59" w:rsidRPr="00D01A59" w:rsidRDefault="00D01A59" w:rsidP="00D01A59">
            <w:pPr>
              <w:rPr>
                <w:rFonts w:ascii="Arial" w:eastAsiaTheme="minorHAnsi" w:hAnsi="Arial" w:cs="Arial"/>
                <w:color w:val="1F4E79" w:themeColor="accent5" w:themeShade="80"/>
              </w:rPr>
            </w:pPr>
          </w:p>
        </w:tc>
        <w:tc>
          <w:tcPr>
            <w:tcW w:w="2500" w:type="pct"/>
          </w:tcPr>
          <w:p w14:paraId="1D97FA1F"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However, we continue to face significant challenges:</w:t>
            </w:r>
          </w:p>
          <w:p w14:paraId="6A633F44" w14:textId="77777777" w:rsidR="00D01A59" w:rsidRPr="00D01A59" w:rsidRDefault="00D01A59" w:rsidP="00D01A59">
            <w:pPr>
              <w:rPr>
                <w:rFonts w:ascii="Arial" w:eastAsiaTheme="minorHAnsi" w:hAnsi="Arial" w:cs="Arial"/>
                <w:color w:val="1F4E79" w:themeColor="accent5" w:themeShade="80"/>
              </w:rPr>
            </w:pPr>
          </w:p>
          <w:p w14:paraId="7C7F02E5" w14:textId="77777777" w:rsidR="00D01A59" w:rsidRPr="00D01A59" w:rsidRDefault="00D01A59" w:rsidP="00D01A59">
            <w:pPr>
              <w:rPr>
                <w:rFonts w:ascii="Arial" w:eastAsiaTheme="minorHAnsi" w:hAnsi="Arial" w:cs="Arial"/>
                <w:color w:val="1F4E79" w:themeColor="accent5" w:themeShade="80"/>
              </w:rPr>
            </w:pPr>
          </w:p>
          <w:p w14:paraId="2F9EFA50" w14:textId="77777777" w:rsidR="00D01A59" w:rsidRPr="00D01A59" w:rsidRDefault="00D01A59" w:rsidP="00D01A59">
            <w:pPr>
              <w:rPr>
                <w:rFonts w:ascii="Arial" w:eastAsiaTheme="minorHAnsi" w:hAnsi="Arial" w:cs="Arial"/>
                <w:color w:val="1F4E79" w:themeColor="accent5" w:themeShade="80"/>
              </w:rPr>
            </w:pPr>
          </w:p>
          <w:p w14:paraId="00F590EE" w14:textId="77777777" w:rsidR="00D01A59" w:rsidRPr="00D01A59" w:rsidRDefault="00D01A59" w:rsidP="00D01A59">
            <w:pPr>
              <w:rPr>
                <w:rFonts w:ascii="Arial" w:eastAsiaTheme="minorHAnsi" w:hAnsi="Arial" w:cs="Arial"/>
                <w:color w:val="1F4E79" w:themeColor="accent5" w:themeShade="80"/>
              </w:rPr>
            </w:pPr>
          </w:p>
          <w:p w14:paraId="67C5A0F9" w14:textId="77777777" w:rsidR="00D01A59" w:rsidRPr="00D01A59" w:rsidRDefault="00D01A59" w:rsidP="00D01A59">
            <w:pPr>
              <w:numPr>
                <w:ilvl w:val="0"/>
                <w:numId w:val="30"/>
              </w:numPr>
              <w:contextualSpacing/>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Attendance figures continue to improve but absence still remains a challenge. </w:t>
            </w:r>
          </w:p>
          <w:p w14:paraId="23BD583C" w14:textId="77777777" w:rsidR="00D01A59" w:rsidRPr="00D01A59" w:rsidRDefault="00D01A59" w:rsidP="00D01A59">
            <w:pPr>
              <w:numPr>
                <w:ilvl w:val="0"/>
                <w:numId w:val="28"/>
              </w:numPr>
              <w:ind w:left="720"/>
              <w:contextualSpacing/>
              <w:rPr>
                <w:rFonts w:ascii="Arial" w:eastAsiaTheme="minorHAnsi" w:hAnsi="Arial" w:cs="Arial"/>
                <w:color w:val="1F4E79" w:themeColor="accent5" w:themeShade="80"/>
              </w:rPr>
            </w:pPr>
          </w:p>
          <w:p w14:paraId="31EECAB1" w14:textId="77777777" w:rsidR="00D01A59" w:rsidRPr="00D01A59" w:rsidRDefault="00D01A59" w:rsidP="00D01A59">
            <w:pPr>
              <w:numPr>
                <w:ilvl w:val="0"/>
                <w:numId w:val="28"/>
              </w:numPr>
              <w:ind w:left="720"/>
              <w:contextualSpacing/>
              <w:rPr>
                <w:rFonts w:ascii="Arial" w:eastAsiaTheme="minorHAnsi" w:hAnsi="Arial" w:cs="Arial"/>
                <w:color w:val="1F4E79" w:themeColor="accent5" w:themeShade="80"/>
              </w:rPr>
            </w:pPr>
          </w:p>
          <w:p w14:paraId="30E2BA6C" w14:textId="77777777" w:rsidR="00D01A59" w:rsidRPr="00D01A59" w:rsidRDefault="00D01A59" w:rsidP="00D01A59">
            <w:pPr>
              <w:numPr>
                <w:ilvl w:val="0"/>
                <w:numId w:val="30"/>
              </w:numPr>
              <w:contextualSpacing/>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Pressure on Council balances is increasing, particularly in response to the COVID-19 pandemic. Strong budgetary control in response to the pandemic is more important than ever.</w:t>
            </w:r>
          </w:p>
          <w:p w14:paraId="05169E13" w14:textId="77777777" w:rsidR="00D01A59" w:rsidRPr="00D01A59" w:rsidRDefault="00D01A59" w:rsidP="00D01A59">
            <w:pPr>
              <w:rPr>
                <w:rFonts w:ascii="Arial" w:eastAsiaTheme="minorHAnsi" w:hAnsi="Arial" w:cs="Arial"/>
                <w:color w:val="1F4E79" w:themeColor="accent5" w:themeShade="80"/>
              </w:rPr>
            </w:pPr>
          </w:p>
        </w:tc>
      </w:tr>
    </w:tbl>
    <w:p w14:paraId="523EE16B" w14:textId="77777777" w:rsidR="00D01A59" w:rsidRPr="00D01A59" w:rsidRDefault="00D01A59" w:rsidP="00D01A59">
      <w:pPr>
        <w:rPr>
          <w:rFonts w:asciiTheme="minorBidi" w:eastAsiaTheme="minorHAnsi" w:hAnsiTheme="minorBidi" w:cstheme="minorBidi"/>
          <w:color w:val="1F4E79" w:themeColor="accent5" w:themeShade="80"/>
          <w:szCs w:val="24"/>
          <w:lang w:eastAsia="en-US"/>
        </w:rPr>
      </w:pPr>
    </w:p>
    <w:p w14:paraId="515AA315" w14:textId="77777777" w:rsidR="00D01A59" w:rsidRPr="00D01A59" w:rsidRDefault="00D01A59" w:rsidP="00D01A59">
      <w:pPr>
        <w:spacing w:before="0" w:after="0"/>
        <w:rPr>
          <w:rFonts w:ascii="Arial" w:eastAsiaTheme="minorHAnsi" w:hAnsi="Arial" w:cs="Arial"/>
          <w:color w:val="1F4E79" w:themeColor="accent5" w:themeShade="80"/>
          <w:szCs w:val="24"/>
          <w:lang w:eastAsia="en-US"/>
        </w:rPr>
      </w:pPr>
      <w:r w:rsidRPr="00D01A59">
        <w:rPr>
          <w:rFonts w:asciiTheme="minorBidi" w:eastAsiaTheme="minorHAnsi" w:hAnsiTheme="minorBidi" w:cstheme="minorBidi"/>
          <w:color w:val="1F4E79" w:themeColor="accent5" w:themeShade="80"/>
          <w:szCs w:val="24"/>
          <w:lang w:eastAsia="en-US"/>
        </w:rPr>
        <w:br w:type="page"/>
      </w:r>
      <w:bookmarkStart w:id="0" w:name="_Hlk14182235"/>
      <w:r w:rsidRPr="00D01A59">
        <w:rPr>
          <w:rFonts w:ascii="Arial" w:eastAsiaTheme="minorHAnsi" w:hAnsi="Arial" w:cs="Arial"/>
          <w:color w:val="1F4E79" w:themeColor="accent5" w:themeShade="80"/>
          <w:sz w:val="56"/>
          <w:szCs w:val="56"/>
          <w:lang w:eastAsia="en-US"/>
        </w:rPr>
        <w:lastRenderedPageBreak/>
        <w:t>Customer</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D01A59" w:rsidRPr="00D01A59" w14:paraId="7924A347" w14:textId="77777777" w:rsidTr="00F42B89">
        <w:tc>
          <w:tcPr>
            <w:tcW w:w="6237" w:type="dxa"/>
            <w:shd w:val="clear" w:color="auto" w:fill="1F4E79" w:themeFill="accent5" w:themeFillShade="80"/>
            <w:vAlign w:val="center"/>
          </w:tcPr>
          <w:p w14:paraId="1D2F34F9" w14:textId="77777777" w:rsidR="00D01A59" w:rsidRPr="00D01A59" w:rsidRDefault="00D01A59" w:rsidP="00D01A59">
            <w:pPr>
              <w:jc w:val="center"/>
              <w:rPr>
                <w:rFonts w:ascii="Arial" w:eastAsiaTheme="minorHAnsi" w:hAnsi="Arial" w:cs="Arial"/>
                <w:b/>
                <w:bCs/>
                <w:color w:val="FFFFFF" w:themeColor="background1"/>
              </w:rPr>
            </w:pPr>
            <w:bookmarkStart w:id="1" w:name="_Hlk14170503"/>
            <w:bookmarkEnd w:id="0"/>
            <w:r w:rsidRPr="00D01A59">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370FEDDA"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bookmarkEnd w:id="1"/>
      <w:tr w:rsidR="00D01A59" w:rsidRPr="00D01A59" w14:paraId="127F33C4" w14:textId="77777777" w:rsidTr="00F42B89">
        <w:trPr>
          <w:trHeight w:val="2661"/>
        </w:trPr>
        <w:tc>
          <w:tcPr>
            <w:tcW w:w="6237" w:type="dxa"/>
            <w:shd w:val="clear" w:color="auto" w:fill="auto"/>
          </w:tcPr>
          <w:p w14:paraId="0D98C7E4"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11F0B18C" wp14:editId="59D80320">
                  <wp:extent cx="3652838" cy="2290763"/>
                  <wp:effectExtent l="0" t="0" r="5080" b="14605"/>
                  <wp:docPr id="35" name="Chart 35">
                    <a:extLst xmlns:a="http://schemas.openxmlformats.org/drawingml/2006/main">
                      <a:ext uri="{FF2B5EF4-FFF2-40B4-BE49-F238E27FC236}">
                        <a16:creationId xmlns:a16="http://schemas.microsoft.com/office/drawing/2014/main" id="{0934577E-C0CA-4C68-A639-D18C55EDE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395" w:type="dxa"/>
            <w:vMerge w:val="restart"/>
            <w:shd w:val="clear" w:color="auto" w:fill="auto"/>
          </w:tcPr>
          <w:p w14:paraId="39393B4A"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 overall combined number of stage 1 and 2 complaints received by Finance &amp; Corporate Services fell sharply in 2019/20.  Finance and Corporate Services continue to maintain a reasonable level of compliance when dealing with complaints within timescales and were broadly on target for 19/20. </w:t>
            </w:r>
          </w:p>
          <w:p w14:paraId="63A447F8" w14:textId="77777777" w:rsidR="00D01A59" w:rsidRPr="00D01A59" w:rsidRDefault="00D01A59" w:rsidP="00D01A59">
            <w:pPr>
              <w:rPr>
                <w:rFonts w:ascii="Arial" w:eastAsiaTheme="minorHAnsi" w:hAnsi="Arial" w:cs="Arial"/>
                <w:color w:val="1F4E79" w:themeColor="accent5" w:themeShade="80"/>
              </w:rPr>
            </w:pPr>
          </w:p>
          <w:p w14:paraId="3069D6E0"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All complaints are analysed by service management and lessons learned to improve ongoing service delivery. The full analysis and steps taken to rectify the complaint along with all corrective actions are recorded on our Customer Management System and reviewed by the service senior management team.</w:t>
            </w:r>
          </w:p>
          <w:p w14:paraId="67652AC9" w14:textId="77777777" w:rsidR="00D01A59" w:rsidRPr="00D01A59" w:rsidRDefault="00D01A59" w:rsidP="00D01A59">
            <w:pPr>
              <w:rPr>
                <w:rFonts w:asciiTheme="minorBidi" w:eastAsiaTheme="minorHAnsi" w:hAnsiTheme="minorBidi"/>
                <w:color w:val="1F4E79" w:themeColor="accent5" w:themeShade="80"/>
              </w:rPr>
            </w:pPr>
          </w:p>
          <w:p w14:paraId="2F2751F0" w14:textId="77777777" w:rsidR="00D01A59" w:rsidRPr="00D01A59" w:rsidRDefault="00D01A59" w:rsidP="00D01A59">
            <w:pPr>
              <w:rPr>
                <w:rFonts w:asciiTheme="minorBidi" w:eastAsiaTheme="minorHAnsi" w:hAnsiTheme="minorBidi"/>
                <w:b/>
                <w:color w:val="1F4E79" w:themeColor="accent5" w:themeShade="80"/>
              </w:rPr>
            </w:pPr>
          </w:p>
        </w:tc>
      </w:tr>
      <w:tr w:rsidR="00D01A59" w:rsidRPr="00D01A59" w14:paraId="4B0CFDF5" w14:textId="77777777" w:rsidTr="00F42B89">
        <w:tc>
          <w:tcPr>
            <w:tcW w:w="6237" w:type="dxa"/>
            <w:shd w:val="clear" w:color="auto" w:fill="auto"/>
          </w:tcPr>
          <w:p w14:paraId="34F195EF"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4EFCD677" wp14:editId="54BC6606">
                  <wp:extent cx="3652838" cy="2281238"/>
                  <wp:effectExtent l="0" t="0" r="5080" b="5080"/>
                  <wp:docPr id="36" name="Chart 36">
                    <a:extLst xmlns:a="http://schemas.openxmlformats.org/drawingml/2006/main">
                      <a:ext uri="{FF2B5EF4-FFF2-40B4-BE49-F238E27FC236}">
                        <a16:creationId xmlns:a16="http://schemas.microsoft.com/office/drawing/2014/main" id="{6A1BA264-5C44-455E-8999-03C1FBE65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395" w:type="dxa"/>
            <w:vMerge/>
            <w:shd w:val="clear" w:color="auto" w:fill="auto"/>
          </w:tcPr>
          <w:p w14:paraId="3311C05A" w14:textId="77777777" w:rsidR="00D01A59" w:rsidRPr="00D01A59" w:rsidRDefault="00D01A59" w:rsidP="00D01A59">
            <w:pPr>
              <w:rPr>
                <w:rFonts w:asciiTheme="minorBidi" w:eastAsiaTheme="minorHAnsi" w:hAnsiTheme="minorBidi"/>
                <w:color w:val="1F4E79" w:themeColor="accent5" w:themeShade="80"/>
              </w:rPr>
            </w:pPr>
          </w:p>
        </w:tc>
      </w:tr>
      <w:tr w:rsidR="00D01A59" w:rsidRPr="00D01A59" w14:paraId="4C2DF1C5" w14:textId="77777777" w:rsidTr="00F42B89">
        <w:tc>
          <w:tcPr>
            <w:tcW w:w="6237" w:type="dxa"/>
            <w:shd w:val="clear" w:color="auto" w:fill="auto"/>
          </w:tcPr>
          <w:p w14:paraId="4C7781DC" w14:textId="77777777" w:rsidR="00D01A59" w:rsidRPr="00D01A59" w:rsidRDefault="00D01A59" w:rsidP="00D01A59">
            <w:pPr>
              <w:jc w:val="center"/>
              <w:rPr>
                <w:rFonts w:asciiTheme="minorBidi" w:eastAsiaTheme="minorHAnsi" w:hAnsiTheme="minorBidi"/>
                <w:noProof/>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5AA2E95E" wp14:editId="36DF9849">
                  <wp:extent cx="3662363" cy="2290763"/>
                  <wp:effectExtent l="0" t="0" r="14605" b="14605"/>
                  <wp:docPr id="29" name="Chart 29">
                    <a:extLst xmlns:a="http://schemas.openxmlformats.org/drawingml/2006/main">
                      <a:ext uri="{FF2B5EF4-FFF2-40B4-BE49-F238E27FC236}">
                        <a16:creationId xmlns:a16="http://schemas.microsoft.com/office/drawing/2014/main" id="{DBC30B84-597D-497B-8F4D-B02903309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395" w:type="dxa"/>
            <w:vMerge/>
            <w:shd w:val="clear" w:color="auto" w:fill="auto"/>
          </w:tcPr>
          <w:p w14:paraId="1FBDB74E" w14:textId="77777777" w:rsidR="00D01A59" w:rsidRPr="00D01A59" w:rsidRDefault="00D01A59" w:rsidP="00D01A59">
            <w:pPr>
              <w:rPr>
                <w:rFonts w:asciiTheme="minorBidi" w:eastAsiaTheme="minorHAnsi" w:hAnsiTheme="minorBidi"/>
                <w:color w:val="1F4E79"/>
              </w:rPr>
            </w:pPr>
          </w:p>
        </w:tc>
      </w:tr>
    </w:tbl>
    <w:p w14:paraId="19A0E284" w14:textId="77777777" w:rsidR="00D01A59" w:rsidRPr="00D01A59" w:rsidRDefault="00D01A59" w:rsidP="00D01A59">
      <w:pPr>
        <w:spacing w:before="0" w:after="0"/>
        <w:rPr>
          <w:rFonts w:asciiTheme="minorBidi" w:eastAsiaTheme="minorHAnsi" w:hAnsiTheme="minorBidi" w:cstheme="minorBidi"/>
          <w:color w:val="1F4E79" w:themeColor="accent5" w:themeShade="80"/>
          <w:sz w:val="56"/>
          <w:szCs w:val="56"/>
          <w:lang w:eastAsia="en-US"/>
        </w:rPr>
      </w:pPr>
      <w:bookmarkStart w:id="2" w:name="_Hlk14170694"/>
      <w:bookmarkStart w:id="3" w:name="_Hlk14439911"/>
      <w:bookmarkStart w:id="4" w:name="_Hlk14170914"/>
      <w:r w:rsidRPr="00D01A59">
        <w:rPr>
          <w:rFonts w:asciiTheme="minorBidi" w:eastAsiaTheme="minorHAnsi" w:hAnsiTheme="minorBidi" w:cstheme="minorBidi"/>
          <w:color w:val="1F4E79" w:themeColor="accent5" w:themeShade="80"/>
          <w:sz w:val="56"/>
          <w:szCs w:val="56"/>
          <w:lang w:eastAsia="en-US"/>
        </w:rPr>
        <w:br w:type="page"/>
      </w:r>
    </w:p>
    <w:p w14:paraId="4C1EB486" w14:textId="77777777" w:rsidR="00D01A59" w:rsidRPr="00D01A59" w:rsidRDefault="00D01A59" w:rsidP="00D01A59">
      <w:pPr>
        <w:rPr>
          <w:rFonts w:asciiTheme="minorBidi" w:eastAsiaTheme="minorHAnsi" w:hAnsiTheme="minorBidi" w:cstheme="minorBidi"/>
          <w:color w:val="1F4E79" w:themeColor="accent5" w:themeShade="80"/>
          <w:sz w:val="56"/>
          <w:szCs w:val="56"/>
          <w:lang w:eastAsia="en-US"/>
        </w:rPr>
      </w:pPr>
      <w:r w:rsidRPr="00D01A59">
        <w:rPr>
          <w:rFonts w:asciiTheme="minorBidi" w:eastAsiaTheme="minorHAnsi" w:hAnsiTheme="minorBidi" w:cstheme="minorBidi"/>
          <w:color w:val="1F4E79" w:themeColor="accent5" w:themeShade="80"/>
          <w:sz w:val="56"/>
          <w:szCs w:val="56"/>
          <w:lang w:eastAsia="en-US"/>
        </w:rPr>
        <w:lastRenderedPageBreak/>
        <w:t>People</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D01A59" w:rsidRPr="00D01A59" w14:paraId="61E41AE5" w14:textId="77777777" w:rsidTr="00F42B89">
        <w:tc>
          <w:tcPr>
            <w:tcW w:w="6237" w:type="dxa"/>
            <w:shd w:val="clear" w:color="auto" w:fill="1F4E79" w:themeFill="accent5" w:themeFillShade="80"/>
            <w:vAlign w:val="center"/>
          </w:tcPr>
          <w:bookmarkEnd w:id="2"/>
          <w:p w14:paraId="510058F6" w14:textId="77777777" w:rsidR="00D01A59" w:rsidRPr="00D01A59" w:rsidRDefault="00D01A59" w:rsidP="00D01A59">
            <w:pPr>
              <w:jc w:val="center"/>
              <w:rPr>
                <w:rFonts w:asciiTheme="minorBidi" w:eastAsiaTheme="minorHAnsi" w:hAnsiTheme="minorBidi"/>
                <w:b/>
                <w:bCs/>
                <w:color w:val="FFFFFF" w:themeColor="background1"/>
              </w:rPr>
            </w:pPr>
            <w:r w:rsidRPr="00D01A59">
              <w:rPr>
                <w:rFonts w:asciiTheme="minorBidi" w:eastAsiaTheme="minorHAnsi" w:hAnsiTheme="minorBidi"/>
                <w:b/>
                <w:bCs/>
                <w:color w:val="FFFFFF" w:themeColor="background1"/>
              </w:rPr>
              <w:t>Performance</w:t>
            </w:r>
          </w:p>
        </w:tc>
        <w:tc>
          <w:tcPr>
            <w:tcW w:w="4395" w:type="dxa"/>
            <w:shd w:val="clear" w:color="auto" w:fill="1F4E79" w:themeFill="accent5" w:themeFillShade="80"/>
            <w:vAlign w:val="center"/>
          </w:tcPr>
          <w:p w14:paraId="1561BEDF" w14:textId="77777777" w:rsidR="00D01A59" w:rsidRPr="00D01A59" w:rsidRDefault="00D01A59" w:rsidP="00D01A59">
            <w:pPr>
              <w:jc w:val="center"/>
              <w:rPr>
                <w:rFonts w:asciiTheme="minorBidi" w:eastAsiaTheme="minorHAnsi" w:hAnsiTheme="minorBidi"/>
                <w:b/>
                <w:bCs/>
                <w:color w:val="FFFFFF" w:themeColor="background1"/>
              </w:rPr>
            </w:pPr>
            <w:r w:rsidRPr="00D01A59">
              <w:rPr>
                <w:rFonts w:asciiTheme="minorBidi" w:eastAsiaTheme="minorHAnsi" w:hAnsiTheme="minorBidi"/>
                <w:b/>
                <w:bCs/>
                <w:color w:val="FFFFFF" w:themeColor="background1"/>
              </w:rPr>
              <w:t>Progress</w:t>
            </w:r>
          </w:p>
        </w:tc>
      </w:tr>
      <w:bookmarkEnd w:id="3"/>
      <w:tr w:rsidR="00D01A59" w:rsidRPr="00D01A59" w14:paraId="1F5114AF" w14:textId="77777777" w:rsidTr="00F42B89">
        <w:tc>
          <w:tcPr>
            <w:tcW w:w="6237" w:type="dxa"/>
            <w:shd w:val="clear" w:color="auto" w:fill="auto"/>
          </w:tcPr>
          <w:p w14:paraId="06E8B1A4"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3AE1F9E4" wp14:editId="0A3C83B6">
                  <wp:extent cx="3643313" cy="2281238"/>
                  <wp:effectExtent l="0" t="0" r="14605" b="5080"/>
                  <wp:docPr id="40" name="Chart 40">
                    <a:extLst xmlns:a="http://schemas.openxmlformats.org/drawingml/2006/main">
                      <a:ext uri="{FF2B5EF4-FFF2-40B4-BE49-F238E27FC236}">
                        <a16:creationId xmlns:a16="http://schemas.microsoft.com/office/drawing/2014/main" id="{3B4EC897-50F1-4720-87B0-5F88DB529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95" w:type="dxa"/>
            <w:vMerge w:val="restart"/>
            <w:shd w:val="clear" w:color="auto" w:fill="auto"/>
          </w:tcPr>
          <w:p w14:paraId="27F38A04"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The overall sickness absence figure for the directorate has reduced for the second year in succession, whereas the council overall levels increased. In 2019/20 levels dropped by 0.66 working days lost (WDL) per FTE (a 5.9% reduction). </w:t>
            </w:r>
          </w:p>
          <w:p w14:paraId="45028016"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Close management of absence levels will continue to be required to sustain levels at a lower rate. The current pandemic may play a part in this year’s absence figures and at present the impact is unknown. </w:t>
            </w:r>
          </w:p>
          <w:p w14:paraId="0BF8B485"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Long term sickness absence levels have also dropped for a second successive year for the directorate. In 2019/20 levels dropped by 0.60 WDL per FTE (an 8.6% reduction). </w:t>
            </w:r>
          </w:p>
          <w:p w14:paraId="5F3214B4" w14:textId="77777777" w:rsidR="00D01A59" w:rsidRPr="00D01A59" w:rsidRDefault="00D01A59" w:rsidP="00D01A59">
            <w:pPr>
              <w:rPr>
                <w:rFonts w:asciiTheme="minorBidi" w:eastAsiaTheme="minorHAnsi" w:hAnsiTheme="minorBidi"/>
                <w:b/>
                <w:color w:val="1F4E79"/>
              </w:rPr>
            </w:pPr>
            <w:r w:rsidRPr="00D01A59">
              <w:rPr>
                <w:rFonts w:ascii="Arial" w:eastAsiaTheme="minorHAnsi" w:hAnsi="Arial" w:cs="Arial"/>
                <w:color w:val="1F4E79" w:themeColor="accent5" w:themeShade="80"/>
              </w:rPr>
              <w:t>The overall percentage absence level for the directorate reduced for a second year in succession as above. In 2019/20 levels dropped by 0.3 percentage points.</w:t>
            </w:r>
          </w:p>
        </w:tc>
      </w:tr>
      <w:tr w:rsidR="00D01A59" w:rsidRPr="00D01A59" w14:paraId="466720DC" w14:textId="77777777" w:rsidTr="00F42B89">
        <w:tc>
          <w:tcPr>
            <w:tcW w:w="6237" w:type="dxa"/>
            <w:shd w:val="clear" w:color="auto" w:fill="auto"/>
          </w:tcPr>
          <w:p w14:paraId="04934882"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4E959576" wp14:editId="5B93C07C">
                  <wp:extent cx="3671888" cy="2281238"/>
                  <wp:effectExtent l="0" t="0" r="5080" b="5080"/>
                  <wp:docPr id="41" name="Chart 41">
                    <a:extLst xmlns:a="http://schemas.openxmlformats.org/drawingml/2006/main">
                      <a:ext uri="{FF2B5EF4-FFF2-40B4-BE49-F238E27FC236}">
                        <a16:creationId xmlns:a16="http://schemas.microsoft.com/office/drawing/2014/main" id="{5312498D-32CD-46DE-AF93-8930342B7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95" w:type="dxa"/>
            <w:vMerge/>
            <w:shd w:val="clear" w:color="auto" w:fill="auto"/>
          </w:tcPr>
          <w:p w14:paraId="215148EB" w14:textId="77777777" w:rsidR="00D01A59" w:rsidRPr="00D01A59" w:rsidRDefault="00D01A59" w:rsidP="00D01A59">
            <w:pPr>
              <w:rPr>
                <w:rFonts w:asciiTheme="minorBidi" w:eastAsiaTheme="minorHAnsi" w:hAnsiTheme="minorBidi"/>
                <w:color w:val="1F4E79"/>
              </w:rPr>
            </w:pPr>
          </w:p>
        </w:tc>
      </w:tr>
      <w:tr w:rsidR="00D01A59" w:rsidRPr="00D01A59" w14:paraId="5A83B7C1" w14:textId="77777777" w:rsidTr="00F42B89">
        <w:tc>
          <w:tcPr>
            <w:tcW w:w="6237" w:type="dxa"/>
            <w:shd w:val="clear" w:color="auto" w:fill="auto"/>
          </w:tcPr>
          <w:p w14:paraId="7D646851"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4E4C2F1C" wp14:editId="5BB82BBF">
                  <wp:extent cx="3648075" cy="2290763"/>
                  <wp:effectExtent l="0" t="0" r="9525" b="14605"/>
                  <wp:docPr id="5" name="Chart 5">
                    <a:extLst xmlns:a="http://schemas.openxmlformats.org/drawingml/2006/main">
                      <a:ext uri="{FF2B5EF4-FFF2-40B4-BE49-F238E27FC236}">
                        <a16:creationId xmlns:a16="http://schemas.microsoft.com/office/drawing/2014/main" id="{41AFD9B3-575C-4D2F-988C-9ABBA2B33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95" w:type="dxa"/>
            <w:vMerge/>
            <w:shd w:val="clear" w:color="auto" w:fill="auto"/>
          </w:tcPr>
          <w:p w14:paraId="1002E7CF" w14:textId="77777777" w:rsidR="00D01A59" w:rsidRPr="00D01A59" w:rsidRDefault="00D01A59" w:rsidP="00D01A59">
            <w:pPr>
              <w:rPr>
                <w:rFonts w:asciiTheme="minorBidi" w:eastAsiaTheme="minorHAnsi" w:hAnsiTheme="minorBidi"/>
                <w:color w:val="1F4E79"/>
              </w:rPr>
            </w:pPr>
          </w:p>
        </w:tc>
      </w:tr>
    </w:tbl>
    <w:p w14:paraId="0A2D52DD" w14:textId="77777777" w:rsidR="00D01A59" w:rsidRPr="00D01A59" w:rsidRDefault="00D01A59" w:rsidP="00D01A59">
      <w:pPr>
        <w:spacing w:before="0" w:after="0"/>
        <w:rPr>
          <w:rFonts w:asciiTheme="minorBidi" w:eastAsiaTheme="minorHAnsi" w:hAnsiTheme="minorBidi" w:cstheme="minorBidi"/>
          <w:color w:val="1F4E79" w:themeColor="accent5" w:themeShade="80"/>
          <w:szCs w:val="24"/>
          <w:lang w:eastAsia="en-US"/>
        </w:rPr>
      </w:pPr>
      <w:r w:rsidRPr="00D01A59">
        <w:rPr>
          <w:rFonts w:asciiTheme="minorBidi" w:eastAsiaTheme="minorHAnsi" w:hAnsiTheme="minorBidi" w:cstheme="minorBidi"/>
          <w:color w:val="1F4E79" w:themeColor="accent5" w:themeShade="80"/>
          <w:szCs w:val="24"/>
          <w:lang w:eastAsia="en-US"/>
        </w:rPr>
        <w:br w:type="page"/>
      </w:r>
    </w:p>
    <w:p w14:paraId="07D0A368" w14:textId="77777777" w:rsidR="00D01A59" w:rsidRPr="00D01A59" w:rsidRDefault="00D01A59" w:rsidP="00D01A59">
      <w:pPr>
        <w:rPr>
          <w:rFonts w:asciiTheme="minorBidi" w:eastAsiaTheme="minorHAnsi" w:hAnsiTheme="minorBidi" w:cstheme="minorBidi"/>
          <w:color w:val="1F4E79" w:themeColor="accent5" w:themeShade="80"/>
          <w:sz w:val="56"/>
          <w:szCs w:val="56"/>
          <w:lang w:eastAsia="en-US"/>
        </w:rPr>
      </w:pPr>
      <w:r w:rsidRPr="00D01A59">
        <w:rPr>
          <w:rFonts w:asciiTheme="minorBidi" w:eastAsiaTheme="minorHAnsi" w:hAnsiTheme="minorBidi" w:cstheme="minorBidi"/>
          <w:color w:val="1F4E79" w:themeColor="accent5" w:themeShade="80"/>
          <w:sz w:val="56"/>
          <w:szCs w:val="56"/>
          <w:lang w:eastAsia="en-US"/>
        </w:rPr>
        <w:lastRenderedPageBreak/>
        <w:t>People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D01A59" w:rsidRPr="00D01A59" w14:paraId="4D119317" w14:textId="77777777" w:rsidTr="00F42B89">
        <w:tc>
          <w:tcPr>
            <w:tcW w:w="6237" w:type="dxa"/>
            <w:shd w:val="clear" w:color="auto" w:fill="1F4E79" w:themeFill="accent5" w:themeFillShade="80"/>
            <w:vAlign w:val="center"/>
          </w:tcPr>
          <w:p w14:paraId="6A198C51" w14:textId="77777777" w:rsidR="00D01A59" w:rsidRPr="00D01A59" w:rsidRDefault="00D01A59" w:rsidP="00D01A59">
            <w:pPr>
              <w:jc w:val="center"/>
              <w:rPr>
                <w:rFonts w:asciiTheme="minorBidi" w:eastAsiaTheme="minorHAnsi" w:hAnsiTheme="minorBidi"/>
                <w:b/>
                <w:bCs/>
                <w:color w:val="FFFFFF" w:themeColor="background1"/>
              </w:rPr>
            </w:pPr>
            <w:r w:rsidRPr="00D01A59">
              <w:rPr>
                <w:rFonts w:asciiTheme="minorBidi" w:eastAsiaTheme="minorHAnsi" w:hAnsiTheme="minorBidi"/>
                <w:b/>
                <w:bCs/>
                <w:color w:val="FFFFFF" w:themeColor="background1"/>
              </w:rPr>
              <w:t>Performance</w:t>
            </w:r>
          </w:p>
        </w:tc>
        <w:tc>
          <w:tcPr>
            <w:tcW w:w="4395" w:type="dxa"/>
            <w:shd w:val="clear" w:color="auto" w:fill="1F4E79" w:themeFill="accent5" w:themeFillShade="80"/>
            <w:vAlign w:val="center"/>
          </w:tcPr>
          <w:p w14:paraId="712900D3" w14:textId="77777777" w:rsidR="00D01A59" w:rsidRPr="00D01A59" w:rsidRDefault="00D01A59" w:rsidP="00D01A59">
            <w:pPr>
              <w:jc w:val="center"/>
              <w:rPr>
                <w:rFonts w:asciiTheme="minorBidi" w:eastAsiaTheme="minorHAnsi" w:hAnsiTheme="minorBidi"/>
                <w:b/>
                <w:bCs/>
                <w:color w:val="FFFFFF" w:themeColor="background1"/>
              </w:rPr>
            </w:pPr>
            <w:r w:rsidRPr="00D01A59">
              <w:rPr>
                <w:rFonts w:asciiTheme="minorBidi" w:eastAsiaTheme="minorHAnsi" w:hAnsiTheme="minorBidi"/>
                <w:b/>
                <w:bCs/>
                <w:color w:val="FFFFFF" w:themeColor="background1"/>
              </w:rPr>
              <w:t>Progress</w:t>
            </w:r>
          </w:p>
        </w:tc>
      </w:tr>
      <w:tr w:rsidR="00D01A59" w:rsidRPr="00D01A59" w14:paraId="6975A7F6" w14:textId="77777777" w:rsidTr="00F42B89">
        <w:tc>
          <w:tcPr>
            <w:tcW w:w="6237" w:type="dxa"/>
            <w:shd w:val="clear" w:color="auto" w:fill="auto"/>
          </w:tcPr>
          <w:p w14:paraId="3644BDAF"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437331C7" wp14:editId="35496EA5">
                  <wp:extent cx="3662363" cy="2271713"/>
                  <wp:effectExtent l="0" t="0" r="14605" b="14605"/>
                  <wp:docPr id="7" name="Chart 7">
                    <a:extLst xmlns:a="http://schemas.openxmlformats.org/drawingml/2006/main">
                      <a:ext uri="{FF2B5EF4-FFF2-40B4-BE49-F238E27FC236}">
                        <a16:creationId xmlns:a16="http://schemas.microsoft.com/office/drawing/2014/main" id="{D2E68B3B-F83E-4C50-93B3-30F50BBA9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95" w:type="dxa"/>
            <w:shd w:val="clear" w:color="auto" w:fill="auto"/>
          </w:tcPr>
          <w:p w14:paraId="062DC4BC"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 levels of employees aged 24 and under continues to rise. In 2019/20 the levels increased by 0.42 percentage points (an increase of just under 8.6%).</w:t>
            </w:r>
          </w:p>
          <w:p w14:paraId="24E111D4"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 We continue to seek ways in which to attract young people into work with Fife Council in general and explore opportunities of different types across the Directorate.</w:t>
            </w:r>
          </w:p>
        </w:tc>
      </w:tr>
      <w:tr w:rsidR="00D01A59" w:rsidRPr="00D01A59" w14:paraId="0A743DC2" w14:textId="77777777" w:rsidTr="00F42B89">
        <w:trPr>
          <w:trHeight w:val="4473"/>
        </w:trPr>
        <w:tc>
          <w:tcPr>
            <w:tcW w:w="6237" w:type="dxa"/>
            <w:shd w:val="clear" w:color="auto" w:fill="auto"/>
          </w:tcPr>
          <w:p w14:paraId="61B9802D"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5D267121" wp14:editId="26CED9E1">
                  <wp:extent cx="3652838" cy="2290763"/>
                  <wp:effectExtent l="0" t="0" r="5080" b="14605"/>
                  <wp:docPr id="4" name="Chart 4">
                    <a:extLst xmlns:a="http://schemas.openxmlformats.org/drawingml/2006/main">
                      <a:ext uri="{FF2B5EF4-FFF2-40B4-BE49-F238E27FC236}">
                        <a16:creationId xmlns:a16="http://schemas.microsoft.com/office/drawing/2014/main" id="{67EC3CA5-5594-4E5F-A1CA-40E8C7D88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5" w:type="dxa"/>
            <w:shd w:val="clear" w:color="auto" w:fill="auto"/>
          </w:tcPr>
          <w:p w14:paraId="24772933"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We continue to see progress in the percentage of women in the highest paid 5% of employees. Women account for 73% of our workforce therefore we would hope to see this upward trend continue facilitated by flexible working practices, career development opportunities and the breaking down of occupational segregation and stereotypes.</w:t>
            </w:r>
          </w:p>
        </w:tc>
      </w:tr>
      <w:tr w:rsidR="00D01A59" w:rsidRPr="00D01A59" w14:paraId="4EE956A6" w14:textId="77777777" w:rsidTr="00F42B89">
        <w:trPr>
          <w:trHeight w:val="3959"/>
        </w:trPr>
        <w:tc>
          <w:tcPr>
            <w:tcW w:w="6237" w:type="dxa"/>
            <w:shd w:val="clear" w:color="auto" w:fill="auto"/>
          </w:tcPr>
          <w:p w14:paraId="2871DFBE"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68894CE0" wp14:editId="765719CB">
                  <wp:extent cx="3657600" cy="2281238"/>
                  <wp:effectExtent l="0" t="0" r="0" b="5080"/>
                  <wp:docPr id="6" name="Chart 6">
                    <a:extLst xmlns:a="http://schemas.openxmlformats.org/drawingml/2006/main">
                      <a:ext uri="{FF2B5EF4-FFF2-40B4-BE49-F238E27FC236}">
                        <a16:creationId xmlns:a16="http://schemas.microsoft.com/office/drawing/2014/main" id="{45EA61D3-C548-41AD-BA3D-2648D758C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395" w:type="dxa"/>
            <w:shd w:val="clear" w:color="auto" w:fill="auto"/>
          </w:tcPr>
          <w:p w14:paraId="33A15291"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19/20 is the first year the gender pay gap shows a minus result, this means that females on average receive a higher hourly rate than males in the Council. </w:t>
            </w:r>
          </w:p>
        </w:tc>
      </w:tr>
    </w:tbl>
    <w:p w14:paraId="68ADED34" w14:textId="77777777" w:rsidR="00D01A59" w:rsidRPr="00D01A59" w:rsidRDefault="00D01A59" w:rsidP="00D01A59">
      <w:pPr>
        <w:rPr>
          <w:rFonts w:asciiTheme="minorBidi" w:eastAsiaTheme="minorHAnsi" w:hAnsiTheme="minorBidi" w:cstheme="minorBidi"/>
          <w:color w:val="1F4E79" w:themeColor="accent5" w:themeShade="80"/>
          <w:sz w:val="56"/>
          <w:szCs w:val="56"/>
          <w:lang w:eastAsia="en-US"/>
        </w:rPr>
      </w:pPr>
      <w:bookmarkStart w:id="5" w:name="_Hlk14182278"/>
      <w:bookmarkEnd w:id="4"/>
    </w:p>
    <w:p w14:paraId="6F124EE3" w14:textId="77777777" w:rsidR="00D01A59" w:rsidRPr="00D01A59" w:rsidRDefault="00D01A59" w:rsidP="00D01A59">
      <w:pPr>
        <w:rPr>
          <w:rFonts w:ascii="Arial" w:eastAsiaTheme="minorHAnsi" w:hAnsi="Arial" w:cs="Arial"/>
          <w:color w:val="1F4E79" w:themeColor="accent5" w:themeShade="80"/>
          <w:sz w:val="56"/>
          <w:szCs w:val="56"/>
          <w:lang w:eastAsia="en-US"/>
        </w:rPr>
      </w:pPr>
      <w:r w:rsidRPr="00D01A59">
        <w:rPr>
          <w:rFonts w:ascii="Arial" w:eastAsiaTheme="minorHAnsi" w:hAnsi="Arial" w:cs="Arial"/>
          <w:color w:val="1F4E79" w:themeColor="accent5" w:themeShade="80"/>
          <w:sz w:val="56"/>
          <w:szCs w:val="56"/>
          <w:lang w:eastAsia="en-US"/>
        </w:rPr>
        <w:lastRenderedPageBreak/>
        <w:t>Responsiveness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D01A59" w:rsidRPr="00D01A59" w14:paraId="3AC2FCAE" w14:textId="77777777" w:rsidTr="00F42B89">
        <w:tc>
          <w:tcPr>
            <w:tcW w:w="6237" w:type="dxa"/>
            <w:shd w:val="clear" w:color="auto" w:fill="1F4E79" w:themeFill="accent5" w:themeFillShade="80"/>
            <w:vAlign w:val="center"/>
          </w:tcPr>
          <w:p w14:paraId="2C693ECC" w14:textId="77777777" w:rsidR="00D01A59" w:rsidRPr="00D01A59" w:rsidRDefault="00D01A59" w:rsidP="00D01A59">
            <w:pPr>
              <w:jc w:val="center"/>
              <w:rPr>
                <w:rFonts w:ascii="Arial" w:eastAsiaTheme="minorHAnsi" w:hAnsi="Arial" w:cs="Arial"/>
                <w:b/>
                <w:bCs/>
                <w:color w:val="FFFFFF" w:themeColor="background1"/>
              </w:rPr>
            </w:pPr>
            <w:bookmarkStart w:id="6" w:name="_Hlk14171017"/>
            <w:bookmarkEnd w:id="5"/>
            <w:r w:rsidRPr="00D01A59">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5C9AD3FA"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bookmarkEnd w:id="6"/>
      <w:tr w:rsidR="00D01A59" w:rsidRPr="00D01A59" w14:paraId="36BC177D" w14:textId="77777777" w:rsidTr="00F42B89">
        <w:trPr>
          <w:trHeight w:val="5212"/>
        </w:trPr>
        <w:tc>
          <w:tcPr>
            <w:tcW w:w="6237" w:type="dxa"/>
            <w:shd w:val="clear" w:color="auto" w:fill="auto"/>
          </w:tcPr>
          <w:p w14:paraId="65647766"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06857A95" wp14:editId="49BC6717">
                  <wp:extent cx="3667125" cy="2281238"/>
                  <wp:effectExtent l="0" t="0" r="9525" b="5080"/>
                  <wp:docPr id="11" name="Chart 11">
                    <a:extLst xmlns:a="http://schemas.openxmlformats.org/drawingml/2006/main">
                      <a:ext uri="{FF2B5EF4-FFF2-40B4-BE49-F238E27FC236}">
                        <a16:creationId xmlns:a16="http://schemas.microsoft.com/office/drawing/2014/main" id="{6FC81EE6-9F34-4A7B-A876-635A182C7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395" w:type="dxa"/>
            <w:shd w:val="clear" w:color="auto" w:fill="auto"/>
          </w:tcPr>
          <w:p w14:paraId="5A457C3D"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Our collection figure has significantly improved this year.  This was partly due to the cycle of receiving UC files in the year which provided an extra payment, boosting collection by around £1.3million.  The end of the financial year saw the first impacts of Covid-19 on rent collection.</w:t>
            </w:r>
          </w:p>
        </w:tc>
      </w:tr>
      <w:tr w:rsidR="00D01A59" w:rsidRPr="00D01A59" w14:paraId="60F5E71E" w14:textId="77777777" w:rsidTr="00F42B89">
        <w:trPr>
          <w:trHeight w:val="3685"/>
        </w:trPr>
        <w:tc>
          <w:tcPr>
            <w:tcW w:w="6237" w:type="dxa"/>
            <w:shd w:val="clear" w:color="auto" w:fill="auto"/>
          </w:tcPr>
          <w:p w14:paraId="68DDDC64"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5BCBC9B3" wp14:editId="3405CAE5">
                  <wp:extent cx="3652838" cy="2281238"/>
                  <wp:effectExtent l="0" t="0" r="5080" b="5080"/>
                  <wp:docPr id="17" name="Chart 17">
                    <a:extLst xmlns:a="http://schemas.openxmlformats.org/drawingml/2006/main">
                      <a:ext uri="{FF2B5EF4-FFF2-40B4-BE49-F238E27FC236}">
                        <a16:creationId xmlns:a16="http://schemas.microsoft.com/office/drawing/2014/main" id="{664C5CD5-1027-48D8-8376-2591988B8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395" w:type="dxa"/>
            <w:shd w:val="clear" w:color="auto" w:fill="auto"/>
          </w:tcPr>
          <w:p w14:paraId="225CDB32"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 value of payments was up slightly on last year, but our net charges were higher. </w:t>
            </w:r>
          </w:p>
          <w:p w14:paraId="5F51D219"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Last year we were able to deduct the value of unbilled rates where we had not had a chance to bill, but because of the ongoing pandemic, the team’s main focus has been on processing business grants and we were unable to provide this figure. </w:t>
            </w:r>
          </w:p>
        </w:tc>
      </w:tr>
      <w:tr w:rsidR="00D01A59" w:rsidRPr="00D01A59" w14:paraId="25789591" w14:textId="77777777" w:rsidTr="00F42B89">
        <w:trPr>
          <w:trHeight w:val="4072"/>
        </w:trPr>
        <w:tc>
          <w:tcPr>
            <w:tcW w:w="6237" w:type="dxa"/>
            <w:shd w:val="clear" w:color="auto" w:fill="auto"/>
          </w:tcPr>
          <w:p w14:paraId="54B0422A" w14:textId="77777777" w:rsidR="00D01A59" w:rsidRPr="00D01A59" w:rsidRDefault="00D01A59" w:rsidP="00D01A59">
            <w:pPr>
              <w:jc w:val="center"/>
              <w:rPr>
                <w:rFonts w:asciiTheme="minorBidi" w:eastAsiaTheme="minorHAnsi" w:hAnsiTheme="minorBidi"/>
                <w:noProof/>
                <w:color w:val="1F4E79" w:themeColor="accent5" w:themeShade="80"/>
              </w:rPr>
            </w:pPr>
            <w:bookmarkStart w:id="7" w:name="_Hlk46494669"/>
            <w:r w:rsidRPr="00D01A59">
              <w:rPr>
                <w:rFonts w:asciiTheme="minorBidi" w:eastAsiaTheme="minorHAnsi" w:hAnsiTheme="minorBidi"/>
                <w:noProof/>
                <w:color w:val="1F4E79" w:themeColor="accent5" w:themeShade="80"/>
              </w:rPr>
              <w:drawing>
                <wp:inline distT="0" distB="0" distL="0" distR="0" wp14:anchorId="5D457820" wp14:editId="4D1E41A9">
                  <wp:extent cx="3652838" cy="2281238"/>
                  <wp:effectExtent l="0" t="0" r="5080" b="5080"/>
                  <wp:docPr id="20" name="Chart 20">
                    <a:extLst xmlns:a="http://schemas.openxmlformats.org/drawingml/2006/main">
                      <a:ext uri="{FF2B5EF4-FFF2-40B4-BE49-F238E27FC236}">
                        <a16:creationId xmlns:a16="http://schemas.microsoft.com/office/drawing/2014/main" id="{9C9C87C7-1ECC-4FBE-9A05-02F3670EE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395" w:type="dxa"/>
            <w:shd w:val="clear" w:color="auto" w:fill="FFFFFF" w:themeFill="background1"/>
          </w:tcPr>
          <w:p w14:paraId="08E71E0D" w14:textId="77777777" w:rsidR="00D01A59" w:rsidRPr="00D01A59" w:rsidRDefault="00D01A59" w:rsidP="00D01A59">
            <w:pPr>
              <w:rPr>
                <w:rFonts w:asciiTheme="minorBidi" w:eastAsiaTheme="minorHAnsi" w:hAnsiTheme="minorBidi"/>
                <w:color w:val="1F4E79" w:themeColor="accent5" w:themeShade="80"/>
                <w:sz w:val="22"/>
                <w:szCs w:val="22"/>
              </w:rPr>
            </w:pPr>
            <w:r w:rsidRPr="00D01A59">
              <w:rPr>
                <w:rFonts w:ascii="Arial" w:eastAsiaTheme="minorHAnsi" w:hAnsi="Arial" w:cs="Arial"/>
                <w:color w:val="1F4E79" w:themeColor="accent5" w:themeShade="80"/>
                <w:sz w:val="22"/>
                <w:szCs w:val="22"/>
              </w:rPr>
              <w:t xml:space="preserve">Telephone call performance has continued to meet target. Call volumes have reduced across many areas due to the continued promotion of self- service reporting through other channels e.g. Self-service logging and tracking of enquiries via First Contact; continual development of guides and FAQs; improved messaging on phone lines; the promotion of the </w:t>
            </w:r>
            <w:proofErr w:type="spellStart"/>
            <w:r w:rsidRPr="00D01A59">
              <w:rPr>
                <w:rFonts w:ascii="Arial" w:eastAsiaTheme="minorHAnsi" w:hAnsi="Arial" w:cs="Arial"/>
                <w:color w:val="1F4E79" w:themeColor="accent5" w:themeShade="80"/>
                <w:sz w:val="22"/>
                <w:szCs w:val="22"/>
              </w:rPr>
              <w:t>ITskills</w:t>
            </w:r>
            <w:proofErr w:type="spellEnd"/>
            <w:r w:rsidRPr="00D01A59">
              <w:rPr>
                <w:rFonts w:ascii="Arial" w:eastAsiaTheme="minorHAnsi" w:hAnsi="Arial" w:cs="Arial"/>
                <w:color w:val="1F4E79" w:themeColor="accent5" w:themeShade="80"/>
                <w:sz w:val="22"/>
                <w:szCs w:val="22"/>
              </w:rPr>
              <w:t xml:space="preserve"> hub. Calls towards the end of this financial year have reduced due to the </w:t>
            </w:r>
            <w:proofErr w:type="spellStart"/>
            <w:r w:rsidRPr="00D01A59">
              <w:rPr>
                <w:rFonts w:ascii="Arial" w:eastAsiaTheme="minorHAnsi" w:hAnsi="Arial" w:cs="Arial"/>
                <w:color w:val="1F4E79" w:themeColor="accent5" w:themeShade="80"/>
                <w:sz w:val="22"/>
                <w:szCs w:val="22"/>
              </w:rPr>
              <w:t>Covid</w:t>
            </w:r>
            <w:proofErr w:type="spellEnd"/>
            <w:r w:rsidRPr="00D01A59">
              <w:rPr>
                <w:rFonts w:ascii="Arial" w:eastAsiaTheme="minorHAnsi" w:hAnsi="Arial" w:cs="Arial"/>
                <w:color w:val="1F4E79" w:themeColor="accent5" w:themeShade="80"/>
                <w:sz w:val="22"/>
                <w:szCs w:val="22"/>
              </w:rPr>
              <w:t xml:space="preserve"> crisis which resulted in the phone lines being closed; leaving the self-service logging option available to all staff.</w:t>
            </w:r>
          </w:p>
        </w:tc>
      </w:tr>
    </w:tbl>
    <w:bookmarkEnd w:id="7"/>
    <w:p w14:paraId="1E0EA209" w14:textId="77777777" w:rsidR="00D01A59" w:rsidRPr="00D01A59" w:rsidRDefault="00D01A59" w:rsidP="00D01A59">
      <w:pPr>
        <w:rPr>
          <w:rFonts w:ascii="Arial" w:eastAsiaTheme="minorHAnsi" w:hAnsi="Arial" w:cs="Arial"/>
          <w:color w:val="1F4E79" w:themeColor="accent5" w:themeShade="80"/>
          <w:szCs w:val="24"/>
          <w:lang w:eastAsia="en-US"/>
        </w:rPr>
      </w:pPr>
      <w:r w:rsidRPr="00D01A59">
        <w:rPr>
          <w:rFonts w:ascii="Arial" w:eastAsiaTheme="minorHAnsi" w:hAnsi="Arial" w:cs="Arial"/>
          <w:color w:val="1F4E79" w:themeColor="accent5" w:themeShade="80"/>
          <w:sz w:val="56"/>
          <w:szCs w:val="56"/>
          <w:lang w:eastAsia="en-US"/>
        </w:rPr>
        <w:lastRenderedPageBreak/>
        <w:t>Responsiveness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D01A59" w:rsidRPr="00D01A59" w14:paraId="5C907275" w14:textId="77777777" w:rsidTr="00F42B89">
        <w:tc>
          <w:tcPr>
            <w:tcW w:w="6237" w:type="dxa"/>
            <w:shd w:val="clear" w:color="auto" w:fill="1F4E79" w:themeFill="accent5" w:themeFillShade="80"/>
            <w:vAlign w:val="center"/>
          </w:tcPr>
          <w:p w14:paraId="326AFC40"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4D5BF9F1"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tr w:rsidR="00D01A59" w:rsidRPr="00D01A59" w14:paraId="053D2D3B" w14:textId="77777777" w:rsidTr="00F42B89">
        <w:tc>
          <w:tcPr>
            <w:tcW w:w="6237" w:type="dxa"/>
            <w:shd w:val="clear" w:color="auto" w:fill="auto"/>
          </w:tcPr>
          <w:p w14:paraId="2C83DF87" w14:textId="77777777" w:rsidR="00D01A59" w:rsidRPr="00D01A59" w:rsidRDefault="00D01A59" w:rsidP="00D01A59">
            <w:pPr>
              <w:jc w:val="center"/>
              <w:rPr>
                <w:rFonts w:asciiTheme="minorBidi" w:eastAsiaTheme="minorHAnsi" w:hAnsiTheme="minorBidi"/>
                <w:noProof/>
                <w:color w:val="1F4E79" w:themeColor="accent5" w:themeShade="80"/>
              </w:rPr>
            </w:pPr>
            <w:bookmarkStart w:id="8" w:name="_Hlk46495471"/>
            <w:r w:rsidRPr="00D01A59">
              <w:rPr>
                <w:rFonts w:asciiTheme="minorBidi" w:eastAsiaTheme="minorHAnsi" w:hAnsiTheme="minorBidi"/>
                <w:noProof/>
                <w:color w:val="1F4E79" w:themeColor="accent5" w:themeShade="80"/>
              </w:rPr>
              <w:drawing>
                <wp:inline distT="0" distB="0" distL="0" distR="0" wp14:anchorId="1CC9C8AA" wp14:editId="0423D430">
                  <wp:extent cx="3652838" cy="2281238"/>
                  <wp:effectExtent l="0" t="0" r="5080" b="5080"/>
                  <wp:docPr id="2" name="Chart 2">
                    <a:extLst xmlns:a="http://schemas.openxmlformats.org/drawingml/2006/main">
                      <a:ext uri="{FF2B5EF4-FFF2-40B4-BE49-F238E27FC236}">
                        <a16:creationId xmlns:a16="http://schemas.microsoft.com/office/drawing/2014/main" id="{EE735B68-6FCF-42E0-8AFA-220BE5916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395" w:type="dxa"/>
            <w:shd w:val="clear" w:color="auto" w:fill="auto"/>
          </w:tcPr>
          <w:p w14:paraId="5A22FC88"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 average time to process new claims is reducing and this is because of the increased use of automation and the reduction in Housing Benefit workload due to the introduction of Universal Credit.  As a result, resources have been reallocated to new tasks including rent recovery and assisting Universal Credit claimants as well as some staff taking voluntary redundancy.</w:t>
            </w:r>
          </w:p>
          <w:p w14:paraId="0B3ED9FB" w14:textId="77777777" w:rsidR="00D01A59" w:rsidRPr="00D01A59" w:rsidRDefault="00D01A59" w:rsidP="00D01A59">
            <w:pPr>
              <w:rPr>
                <w:rFonts w:asciiTheme="minorBidi" w:eastAsiaTheme="minorHAnsi" w:hAnsiTheme="minorBidi"/>
                <w:color w:val="1F4E79" w:themeColor="accent5" w:themeShade="80"/>
              </w:rPr>
            </w:pPr>
          </w:p>
        </w:tc>
      </w:tr>
      <w:tr w:rsidR="00D01A59" w:rsidRPr="00D01A59" w14:paraId="08541904" w14:textId="77777777" w:rsidTr="00F42B89">
        <w:tc>
          <w:tcPr>
            <w:tcW w:w="6237" w:type="dxa"/>
            <w:shd w:val="clear" w:color="auto" w:fill="auto"/>
          </w:tcPr>
          <w:p w14:paraId="16FCE902" w14:textId="77777777" w:rsidR="00D01A59" w:rsidRPr="00D01A59" w:rsidRDefault="00D01A59" w:rsidP="00D01A59">
            <w:pPr>
              <w:jc w:val="center"/>
              <w:rPr>
                <w:rFonts w:asciiTheme="minorBidi" w:eastAsiaTheme="minorHAnsi" w:hAnsiTheme="minorBidi"/>
                <w:noProof/>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6D8FF247" wp14:editId="42278A0D">
                  <wp:extent cx="3652520" cy="2990850"/>
                  <wp:effectExtent l="0" t="0" r="5080" b="0"/>
                  <wp:docPr id="21" name="Chart 21">
                    <a:extLst xmlns:a="http://schemas.openxmlformats.org/drawingml/2006/main">
                      <a:ext uri="{FF2B5EF4-FFF2-40B4-BE49-F238E27FC236}">
                        <a16:creationId xmlns:a16="http://schemas.microsoft.com/office/drawing/2014/main" id="{952259CF-F88D-4AD9-B494-AB489057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395" w:type="dxa"/>
            <w:shd w:val="clear" w:color="auto" w:fill="auto"/>
          </w:tcPr>
          <w:p w14:paraId="7F83AA85" w14:textId="77777777" w:rsidR="00D01A59" w:rsidRPr="00D01A59" w:rsidRDefault="00D01A59" w:rsidP="00D01A59">
            <w:pPr>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The Council Tax collected over the year has fallen slightly. This is partly due to the impact of Universal Credit, and partly due to the impact of the first Council Tax increase for a number of years. The Revenue Service recognises the challenges and has put in place measures to maintain and improve the collection rate such as:</w:t>
            </w:r>
          </w:p>
          <w:p w14:paraId="7931A461" w14:textId="77777777" w:rsidR="00D01A59" w:rsidRPr="00D01A59" w:rsidRDefault="00D01A59" w:rsidP="00D01A59">
            <w:pPr>
              <w:numPr>
                <w:ilvl w:val="0"/>
                <w:numId w:val="31"/>
              </w:numPr>
              <w:contextualSpacing/>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 xml:space="preserve">Direct Debit and online take up campaign, </w:t>
            </w:r>
          </w:p>
          <w:p w14:paraId="007C0505" w14:textId="77777777" w:rsidR="00D01A59" w:rsidRPr="00D01A59" w:rsidRDefault="00D01A59" w:rsidP="00D01A59">
            <w:pPr>
              <w:numPr>
                <w:ilvl w:val="0"/>
                <w:numId w:val="31"/>
              </w:numPr>
              <w:contextualSpacing/>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Corporate approach to debt collection</w:t>
            </w:r>
          </w:p>
          <w:p w14:paraId="30D933F6" w14:textId="77777777" w:rsidR="00D01A59" w:rsidRPr="00D01A59" w:rsidRDefault="00D01A59" w:rsidP="00D01A59">
            <w:pPr>
              <w:numPr>
                <w:ilvl w:val="0"/>
                <w:numId w:val="31"/>
              </w:numPr>
              <w:contextualSpacing/>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 xml:space="preserve">Streamline process for applying for direct payments </w:t>
            </w:r>
          </w:p>
          <w:p w14:paraId="17AB1F1D" w14:textId="77777777" w:rsidR="00D01A59" w:rsidRPr="00D01A59" w:rsidRDefault="00D01A59" w:rsidP="00D01A59">
            <w:pPr>
              <w:numPr>
                <w:ilvl w:val="0"/>
                <w:numId w:val="31"/>
              </w:numPr>
              <w:contextualSpacing/>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Working with CARF to support those having difficulty paying their Council Tax.</w:t>
            </w:r>
          </w:p>
          <w:p w14:paraId="1AD56A1A" w14:textId="77777777" w:rsidR="00D01A59" w:rsidRPr="00D01A59" w:rsidRDefault="00D01A59" w:rsidP="00D01A59">
            <w:pPr>
              <w:rPr>
                <w:rFonts w:ascii="Arial" w:eastAsiaTheme="minorHAnsi" w:hAnsi="Arial" w:cs="Arial"/>
                <w:color w:val="1F4E79" w:themeColor="accent5" w:themeShade="80"/>
              </w:rPr>
            </w:pPr>
          </w:p>
        </w:tc>
      </w:tr>
      <w:tr w:rsidR="00D01A59" w:rsidRPr="00D01A59" w14:paraId="0E4DC977" w14:textId="77777777" w:rsidTr="00F42B89">
        <w:tc>
          <w:tcPr>
            <w:tcW w:w="6237" w:type="dxa"/>
            <w:shd w:val="clear" w:color="auto" w:fill="auto"/>
          </w:tcPr>
          <w:p w14:paraId="1D5054B5" w14:textId="77777777" w:rsidR="00D01A59" w:rsidRPr="00D01A59" w:rsidRDefault="00D01A59" w:rsidP="00D01A59">
            <w:pPr>
              <w:jc w:val="center"/>
              <w:rPr>
                <w:rFonts w:asciiTheme="minorBidi" w:eastAsiaTheme="minorHAnsi" w:hAnsiTheme="minorBidi"/>
                <w:noProof/>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4BBEE302" wp14:editId="7517A162">
                  <wp:extent cx="3643313" cy="2290763"/>
                  <wp:effectExtent l="0" t="0" r="14605" b="14605"/>
                  <wp:docPr id="22" name="Chart 22">
                    <a:extLst xmlns:a="http://schemas.openxmlformats.org/drawingml/2006/main">
                      <a:ext uri="{FF2B5EF4-FFF2-40B4-BE49-F238E27FC236}">
                        <a16:creationId xmlns:a16="http://schemas.microsoft.com/office/drawing/2014/main" id="{612D69B4-2742-4B51-9AAF-6060D794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95" w:type="dxa"/>
            <w:shd w:val="clear" w:color="auto" w:fill="auto"/>
          </w:tcPr>
          <w:p w14:paraId="2DCE5FF6"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Council Tax collection over a 3-year period remains stable regardless of the current difficult economic climate. The team continually promote payment by direct debit and this impacts favourably on the 3 year collection rate.</w:t>
            </w:r>
          </w:p>
          <w:p w14:paraId="6144250A" w14:textId="77777777" w:rsidR="00D01A59" w:rsidRPr="00D01A59" w:rsidRDefault="00D01A59" w:rsidP="00D01A59">
            <w:pPr>
              <w:rPr>
                <w:rFonts w:ascii="Arial" w:eastAsiaTheme="minorHAnsi" w:hAnsi="Arial" w:cs="Arial"/>
                <w:color w:val="1F4E79" w:themeColor="accent5" w:themeShade="80"/>
              </w:rPr>
            </w:pPr>
          </w:p>
        </w:tc>
      </w:tr>
      <w:bookmarkEnd w:id="8"/>
    </w:tbl>
    <w:p w14:paraId="59368756" w14:textId="77777777" w:rsidR="00D01A59" w:rsidRPr="00D01A59" w:rsidRDefault="00D01A59" w:rsidP="00D01A59">
      <w:pPr>
        <w:spacing w:before="0" w:after="0"/>
        <w:rPr>
          <w:rFonts w:asciiTheme="minorBidi" w:eastAsiaTheme="minorHAnsi" w:hAnsiTheme="minorBidi" w:cstheme="minorBidi"/>
          <w:color w:val="1F4E79" w:themeColor="accent5" w:themeShade="80"/>
          <w:szCs w:val="24"/>
          <w:lang w:eastAsia="en-US"/>
        </w:rPr>
      </w:pPr>
      <w:r w:rsidRPr="00D01A59">
        <w:rPr>
          <w:rFonts w:asciiTheme="minorBidi" w:eastAsiaTheme="minorHAnsi" w:hAnsiTheme="minorBidi" w:cstheme="minorBidi"/>
          <w:color w:val="1F4E79" w:themeColor="accent5" w:themeShade="80"/>
          <w:szCs w:val="24"/>
          <w:lang w:eastAsia="en-US"/>
        </w:rPr>
        <w:br w:type="page"/>
      </w:r>
    </w:p>
    <w:p w14:paraId="1BF2D56C" w14:textId="77777777" w:rsidR="00D01A59" w:rsidRPr="00D01A59" w:rsidRDefault="00D01A59" w:rsidP="00D01A59">
      <w:pPr>
        <w:rPr>
          <w:rFonts w:ascii="Arial" w:eastAsiaTheme="minorHAnsi" w:hAnsi="Arial" w:cs="Arial"/>
          <w:color w:val="1F4E79" w:themeColor="accent5" w:themeShade="80"/>
          <w:szCs w:val="24"/>
          <w:lang w:eastAsia="en-US"/>
        </w:rPr>
      </w:pPr>
      <w:r w:rsidRPr="00D01A59">
        <w:rPr>
          <w:rFonts w:ascii="Arial" w:eastAsiaTheme="minorHAnsi" w:hAnsi="Arial" w:cs="Arial"/>
          <w:color w:val="1F4E79" w:themeColor="accent5" w:themeShade="80"/>
          <w:sz w:val="56"/>
          <w:szCs w:val="56"/>
          <w:lang w:eastAsia="en-US"/>
        </w:rPr>
        <w:lastRenderedPageBreak/>
        <w:t>Responsiveness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142"/>
        <w:gridCol w:w="4253"/>
      </w:tblGrid>
      <w:tr w:rsidR="00D01A59" w:rsidRPr="00D01A59" w14:paraId="3E9A501A" w14:textId="77777777" w:rsidTr="00F42B89">
        <w:tc>
          <w:tcPr>
            <w:tcW w:w="6379" w:type="dxa"/>
            <w:gridSpan w:val="2"/>
            <w:shd w:val="clear" w:color="auto" w:fill="1F4E79" w:themeFill="accent5" w:themeFillShade="80"/>
            <w:vAlign w:val="center"/>
          </w:tcPr>
          <w:p w14:paraId="4DF24848"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Performance</w:t>
            </w:r>
          </w:p>
        </w:tc>
        <w:tc>
          <w:tcPr>
            <w:tcW w:w="4253" w:type="dxa"/>
            <w:shd w:val="clear" w:color="auto" w:fill="1F4E79" w:themeFill="accent5" w:themeFillShade="80"/>
            <w:vAlign w:val="center"/>
          </w:tcPr>
          <w:p w14:paraId="62CBC6E6"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tr w:rsidR="00D01A59" w:rsidRPr="00D01A59" w14:paraId="6C703DCA" w14:textId="77777777" w:rsidTr="00F42B89">
        <w:tc>
          <w:tcPr>
            <w:tcW w:w="6237" w:type="dxa"/>
            <w:shd w:val="clear" w:color="auto" w:fill="auto"/>
          </w:tcPr>
          <w:p w14:paraId="40FFDA86" w14:textId="77777777" w:rsidR="00D01A59" w:rsidRPr="00D01A59" w:rsidRDefault="00D01A59" w:rsidP="00D01A59">
            <w:pPr>
              <w:jc w:val="center"/>
              <w:rPr>
                <w:rFonts w:asciiTheme="minorBidi" w:eastAsiaTheme="minorHAnsi" w:hAnsiTheme="minorBidi"/>
                <w:noProof/>
                <w:color w:val="1F4E79" w:themeColor="accent5" w:themeShade="80"/>
              </w:rPr>
            </w:pPr>
            <w:bookmarkStart w:id="9" w:name="_Hlk46496197"/>
            <w:r w:rsidRPr="00D01A59">
              <w:rPr>
                <w:rFonts w:asciiTheme="minorBidi" w:eastAsiaTheme="minorHAnsi" w:hAnsiTheme="minorBidi"/>
                <w:noProof/>
                <w:color w:val="1F4E79" w:themeColor="accent5" w:themeShade="80"/>
              </w:rPr>
              <w:drawing>
                <wp:inline distT="0" distB="0" distL="0" distR="0" wp14:anchorId="26972EC1" wp14:editId="10E96939">
                  <wp:extent cx="3652838" cy="2290763"/>
                  <wp:effectExtent l="0" t="0" r="5080" b="14605"/>
                  <wp:docPr id="23" name="Chart 23">
                    <a:extLst xmlns:a="http://schemas.openxmlformats.org/drawingml/2006/main">
                      <a:ext uri="{FF2B5EF4-FFF2-40B4-BE49-F238E27FC236}">
                        <a16:creationId xmlns:a16="http://schemas.microsoft.com/office/drawing/2014/main" id="{D784A0C7-63C9-4184-AB78-6A0190F49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395" w:type="dxa"/>
            <w:gridSpan w:val="2"/>
            <w:shd w:val="clear" w:color="auto" w:fill="auto"/>
          </w:tcPr>
          <w:p w14:paraId="326F21CB" w14:textId="77777777" w:rsidR="00D01A59" w:rsidRPr="00D01A59" w:rsidRDefault="00D01A59" w:rsidP="00D01A59">
            <w:pPr>
              <w:rPr>
                <w:rFonts w:asciiTheme="minorBidi" w:eastAsiaTheme="minorHAnsi" w:hAnsiTheme="minorBidi"/>
                <w:color w:val="1F4E79" w:themeColor="accent5" w:themeShade="80"/>
              </w:rPr>
            </w:pPr>
            <w:r w:rsidRPr="00D01A59">
              <w:rPr>
                <w:rFonts w:ascii="Arial" w:eastAsiaTheme="minorHAnsi" w:hAnsi="Arial" w:cs="Arial"/>
                <w:color w:val="1F4E79" w:themeColor="accent5" w:themeShade="80"/>
              </w:rPr>
              <w:t>Fife continues to perform well in comparison with other Councils. The results maintain Fife within the top quartile which is remarkable given the team operated from home during the year end. We continue to strive for improvement and are introducing a new e-invoicing process to speed up the process even more. This will be fully developed now into 2021 when the new Oracle Cloud Project has settled, and staff are familiar with the system.</w:t>
            </w:r>
          </w:p>
        </w:tc>
      </w:tr>
      <w:bookmarkEnd w:id="9"/>
    </w:tbl>
    <w:p w14:paraId="28FF4E71" w14:textId="77777777" w:rsidR="00D01A59" w:rsidRPr="00D01A59" w:rsidRDefault="00D01A59" w:rsidP="00D01A59">
      <w:pPr>
        <w:spacing w:before="0" w:after="0"/>
        <w:rPr>
          <w:rFonts w:asciiTheme="minorBidi" w:eastAsiaTheme="minorHAnsi" w:hAnsiTheme="minorBidi" w:cstheme="minorBidi"/>
          <w:color w:val="1F4E79" w:themeColor="accent5" w:themeShade="80"/>
          <w:szCs w:val="24"/>
          <w:lang w:eastAsia="en-US"/>
        </w:rPr>
      </w:pPr>
      <w:r w:rsidRPr="00D01A59">
        <w:rPr>
          <w:rFonts w:asciiTheme="minorBidi" w:eastAsiaTheme="minorHAnsi" w:hAnsiTheme="minorBidi" w:cstheme="minorBidi"/>
          <w:color w:val="1F4E79" w:themeColor="accent5" w:themeShade="80"/>
          <w:szCs w:val="24"/>
          <w:lang w:eastAsia="en-US"/>
        </w:rPr>
        <w:br w:type="page"/>
      </w:r>
    </w:p>
    <w:p w14:paraId="657119CB" w14:textId="77777777" w:rsidR="00D01A59" w:rsidRPr="00D01A59" w:rsidRDefault="00D01A59" w:rsidP="00D01A59">
      <w:pPr>
        <w:rPr>
          <w:rFonts w:ascii="Arial" w:eastAsiaTheme="minorHAnsi" w:hAnsi="Arial" w:cs="Arial"/>
          <w:color w:val="1F4E79" w:themeColor="accent5" w:themeShade="80"/>
          <w:sz w:val="56"/>
          <w:szCs w:val="56"/>
          <w:lang w:eastAsia="en-US"/>
        </w:rPr>
      </w:pPr>
      <w:r w:rsidRPr="00D01A59">
        <w:rPr>
          <w:rFonts w:ascii="Arial" w:eastAsiaTheme="minorHAnsi" w:hAnsi="Arial" w:cs="Arial"/>
          <w:color w:val="1F4E79" w:themeColor="accent5" w:themeShade="80"/>
          <w:sz w:val="56"/>
          <w:szCs w:val="56"/>
          <w:lang w:eastAsia="en-US"/>
        </w:rPr>
        <w:lastRenderedPageBreak/>
        <w:t>Cost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D01A59" w:rsidRPr="00D01A59" w14:paraId="772BA843" w14:textId="77777777" w:rsidTr="00F42B89">
        <w:tc>
          <w:tcPr>
            <w:tcW w:w="6237" w:type="dxa"/>
            <w:shd w:val="clear" w:color="auto" w:fill="1F4E79" w:themeFill="accent5" w:themeFillShade="80"/>
            <w:vAlign w:val="center"/>
          </w:tcPr>
          <w:p w14:paraId="3EF76B4B"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34DC0153"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tr w:rsidR="00D01A59" w:rsidRPr="00D01A59" w14:paraId="07EC21E2" w14:textId="77777777" w:rsidTr="00F42B89">
        <w:tc>
          <w:tcPr>
            <w:tcW w:w="6237" w:type="dxa"/>
            <w:shd w:val="clear" w:color="auto" w:fill="auto"/>
          </w:tcPr>
          <w:p w14:paraId="60E30DBF"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657671A4" wp14:editId="0BF29ACA">
                  <wp:extent cx="3671888" cy="2290763"/>
                  <wp:effectExtent l="0" t="0" r="5080" b="14605"/>
                  <wp:docPr id="10" name="Chart 10">
                    <a:extLst xmlns:a="http://schemas.openxmlformats.org/drawingml/2006/main">
                      <a:ext uri="{FF2B5EF4-FFF2-40B4-BE49-F238E27FC236}">
                        <a16:creationId xmlns:a16="http://schemas.microsoft.com/office/drawing/2014/main" id="{49418E0A-9703-45C7-B879-A40CA383E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95" w:type="dxa"/>
            <w:shd w:val="clear" w:color="auto" w:fill="auto"/>
          </w:tcPr>
          <w:p w14:paraId="01933886"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Our Gross Rent Arrears figure has improved this year.  This was partly due to the cycle of receiving UC files in the year which provided an extra payment, reducing arrears by around £1.3million.  The end of the financial year saw the first impacts of Covid-19 on rent arrears.</w:t>
            </w:r>
          </w:p>
        </w:tc>
      </w:tr>
      <w:tr w:rsidR="00D01A59" w:rsidRPr="00D01A59" w14:paraId="29B67F0F" w14:textId="77777777" w:rsidTr="00F42B89">
        <w:tc>
          <w:tcPr>
            <w:tcW w:w="6237" w:type="dxa"/>
            <w:shd w:val="clear" w:color="auto" w:fill="auto"/>
          </w:tcPr>
          <w:p w14:paraId="08DC8D3C"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7528F4AC" wp14:editId="3F3F5AA7">
                  <wp:extent cx="3643313" cy="2281238"/>
                  <wp:effectExtent l="0" t="0" r="14605" b="5080"/>
                  <wp:docPr id="24" name="Chart 24">
                    <a:extLst xmlns:a="http://schemas.openxmlformats.org/drawingml/2006/main">
                      <a:ext uri="{FF2B5EF4-FFF2-40B4-BE49-F238E27FC236}">
                        <a16:creationId xmlns:a16="http://schemas.microsoft.com/office/drawing/2014/main" id="{2EDCA8BA-0EAE-48F4-8114-939BEE34D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395" w:type="dxa"/>
            <w:shd w:val="clear" w:color="auto" w:fill="auto"/>
          </w:tcPr>
          <w:p w14:paraId="1022E345"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Council-Wide Indicator</w:t>
            </w:r>
          </w:p>
          <w:p w14:paraId="25758D32"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 level of uncommitted balances has increased slightly as a result of some commitments not coming to fruition and the positive outturn in 2019/20. Balances remain under pressure given the additional cost pressures being faced by the Council both in terms of COVID19 and increased demand. There continues to be a need to manage financial risk and unplanned expenditure.</w:t>
            </w:r>
          </w:p>
        </w:tc>
      </w:tr>
      <w:tr w:rsidR="00D01A59" w:rsidRPr="00D01A59" w14:paraId="27DD2AB5" w14:textId="77777777" w:rsidTr="00F42B89">
        <w:trPr>
          <w:trHeight w:val="4214"/>
        </w:trPr>
        <w:tc>
          <w:tcPr>
            <w:tcW w:w="6237" w:type="dxa"/>
            <w:shd w:val="clear" w:color="auto" w:fill="auto"/>
          </w:tcPr>
          <w:p w14:paraId="59353402"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7C858F5B" wp14:editId="2AD99C55">
                  <wp:extent cx="3681413" cy="2290763"/>
                  <wp:effectExtent l="0" t="0" r="14605" b="14605"/>
                  <wp:docPr id="18" name="Chart 18">
                    <a:extLst xmlns:a="http://schemas.openxmlformats.org/drawingml/2006/main">
                      <a:ext uri="{FF2B5EF4-FFF2-40B4-BE49-F238E27FC236}">
                        <a16:creationId xmlns:a16="http://schemas.microsoft.com/office/drawing/2014/main" id="{EBBB1359-2D5D-475D-880E-E98261336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95" w:type="dxa"/>
            <w:shd w:val="clear" w:color="auto" w:fill="auto"/>
          </w:tcPr>
          <w:p w14:paraId="691912D8"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Council-Wide Indicator</w:t>
            </w:r>
          </w:p>
          <w:p w14:paraId="01F4D006"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There has been a real terms reduction in Central Support Service expenditure of 25.8% from 2010/11 to 2018/19. This is mainly due to savings achieved, service reviews and restructuring in this area. Clearer guidance from the Directors of Finance/Scottish Government on Support Service classifications has also contributed to the reduction in costs. This indicator includes customer service costs e.g. the costs of the Council’s contact centre.</w:t>
            </w:r>
          </w:p>
        </w:tc>
      </w:tr>
    </w:tbl>
    <w:p w14:paraId="6ABC21E5" w14:textId="77777777" w:rsidR="00D01A59" w:rsidRPr="00D01A59" w:rsidRDefault="00D01A59" w:rsidP="00D01A59">
      <w:pPr>
        <w:spacing w:before="0" w:after="0"/>
        <w:rPr>
          <w:rFonts w:asciiTheme="minorBidi" w:eastAsiaTheme="minorHAnsi" w:hAnsiTheme="minorBidi" w:cstheme="minorBidi"/>
          <w:color w:val="1F4E79" w:themeColor="accent5" w:themeShade="80"/>
          <w:szCs w:val="24"/>
          <w:lang w:eastAsia="en-US"/>
        </w:rPr>
      </w:pPr>
      <w:r w:rsidRPr="00D01A59">
        <w:rPr>
          <w:rFonts w:asciiTheme="minorBidi" w:eastAsiaTheme="minorHAnsi" w:hAnsiTheme="minorBidi" w:cstheme="minorBidi"/>
          <w:color w:val="1F4E79" w:themeColor="accent5" w:themeShade="80"/>
          <w:szCs w:val="24"/>
          <w:lang w:eastAsia="en-US"/>
        </w:rPr>
        <w:br w:type="page"/>
      </w:r>
    </w:p>
    <w:p w14:paraId="4E6D2B40" w14:textId="77777777" w:rsidR="00D01A59" w:rsidRPr="00D01A59" w:rsidRDefault="00D01A59" w:rsidP="00D01A59">
      <w:pPr>
        <w:rPr>
          <w:rFonts w:ascii="Arial" w:eastAsiaTheme="minorHAnsi" w:hAnsi="Arial" w:cs="Arial"/>
          <w:color w:val="1F4E79" w:themeColor="accent5" w:themeShade="80"/>
          <w:szCs w:val="24"/>
          <w:lang w:eastAsia="en-US"/>
        </w:rPr>
      </w:pPr>
      <w:r w:rsidRPr="00D01A59">
        <w:rPr>
          <w:rFonts w:ascii="Arial" w:eastAsiaTheme="minorHAnsi" w:hAnsi="Arial" w:cs="Arial"/>
          <w:color w:val="1F4E79" w:themeColor="accent5" w:themeShade="80"/>
          <w:sz w:val="56"/>
          <w:szCs w:val="56"/>
          <w:lang w:eastAsia="en-US"/>
        </w:rPr>
        <w:lastRenderedPageBreak/>
        <w:t>Cost – cont.</w:t>
      </w:r>
    </w:p>
    <w:tbl>
      <w:tblPr>
        <w:tblStyle w:val="TableGrid1"/>
        <w:tblW w:w="10633"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58"/>
        <w:gridCol w:w="4375"/>
      </w:tblGrid>
      <w:tr w:rsidR="00D01A59" w:rsidRPr="00D01A59" w14:paraId="11FEBC7A" w14:textId="77777777" w:rsidTr="00F42B89">
        <w:tc>
          <w:tcPr>
            <w:tcW w:w="6258" w:type="dxa"/>
            <w:shd w:val="clear" w:color="auto" w:fill="1F4E79" w:themeFill="accent5" w:themeFillShade="80"/>
            <w:vAlign w:val="center"/>
          </w:tcPr>
          <w:p w14:paraId="4D212704"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Performance</w:t>
            </w:r>
          </w:p>
        </w:tc>
        <w:tc>
          <w:tcPr>
            <w:tcW w:w="4375" w:type="dxa"/>
            <w:shd w:val="clear" w:color="auto" w:fill="1F4E79" w:themeFill="accent5" w:themeFillShade="80"/>
            <w:vAlign w:val="center"/>
          </w:tcPr>
          <w:p w14:paraId="0BE2AC75" w14:textId="77777777" w:rsidR="00D01A59" w:rsidRPr="00D01A59" w:rsidRDefault="00D01A59" w:rsidP="00D01A59">
            <w:pPr>
              <w:jc w:val="center"/>
              <w:rPr>
                <w:rFonts w:ascii="Arial" w:eastAsiaTheme="minorHAnsi" w:hAnsi="Arial" w:cs="Arial"/>
                <w:b/>
                <w:bCs/>
                <w:color w:val="FFFFFF" w:themeColor="background1"/>
              </w:rPr>
            </w:pPr>
            <w:r w:rsidRPr="00D01A59">
              <w:rPr>
                <w:rFonts w:ascii="Arial" w:eastAsiaTheme="minorHAnsi" w:hAnsi="Arial" w:cs="Arial"/>
                <w:b/>
                <w:bCs/>
                <w:color w:val="FFFFFF" w:themeColor="background1"/>
              </w:rPr>
              <w:t>Progress</w:t>
            </w:r>
          </w:p>
        </w:tc>
      </w:tr>
      <w:tr w:rsidR="00D01A59" w:rsidRPr="00D01A59" w14:paraId="5FE3D9A0" w14:textId="77777777" w:rsidTr="00C4039D">
        <w:trPr>
          <w:trHeight w:val="3366"/>
        </w:trPr>
        <w:tc>
          <w:tcPr>
            <w:tcW w:w="6258" w:type="dxa"/>
            <w:shd w:val="clear" w:color="auto" w:fill="auto"/>
          </w:tcPr>
          <w:p w14:paraId="74916218" w14:textId="77777777" w:rsidR="00D01A59" w:rsidRPr="00D01A59" w:rsidRDefault="00D01A59" w:rsidP="00D01A59">
            <w:pPr>
              <w:jc w:val="center"/>
              <w:rPr>
                <w:rFonts w:asciiTheme="minorBidi" w:eastAsiaTheme="minorHAnsi" w:hAnsiTheme="minorBidi"/>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794F2F88" wp14:editId="026B16B3">
                  <wp:extent cx="3642995" cy="1895475"/>
                  <wp:effectExtent l="0" t="0" r="14605" b="9525"/>
                  <wp:docPr id="25" name="Chart 25">
                    <a:extLst xmlns:a="http://schemas.openxmlformats.org/drawingml/2006/main">
                      <a:ext uri="{FF2B5EF4-FFF2-40B4-BE49-F238E27FC236}">
                        <a16:creationId xmlns:a16="http://schemas.microsoft.com/office/drawing/2014/main" id="{FAF4AE3B-749F-41F0-A7E6-459DD8EDF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375" w:type="dxa"/>
            <w:shd w:val="clear" w:color="auto" w:fill="auto"/>
          </w:tcPr>
          <w:p w14:paraId="086D2164" w14:textId="77777777" w:rsidR="00D01A59" w:rsidRPr="00D01A59" w:rsidRDefault="00D01A59" w:rsidP="00D01A59">
            <w:pPr>
              <w:rPr>
                <w:rFonts w:ascii="Arial" w:eastAsiaTheme="minorHAnsi" w:hAnsi="Arial" w:cs="Arial"/>
                <w:color w:val="1F4E79" w:themeColor="accent5" w:themeShade="80"/>
              </w:rPr>
            </w:pPr>
            <w:r w:rsidRPr="00D01A59">
              <w:rPr>
                <w:rFonts w:ascii="Arial" w:eastAsiaTheme="minorHAnsi" w:hAnsi="Arial" w:cs="Arial"/>
                <w:color w:val="1F4E79" w:themeColor="accent5" w:themeShade="80"/>
              </w:rPr>
              <w:t xml:space="preserve">Fife Council has achieved the lowest level of council tax collection costs for a number of years. This is partly due to the way we deliver the service and the way we apportion the costs.  </w:t>
            </w:r>
          </w:p>
          <w:p w14:paraId="5DA6B7BE" w14:textId="77777777" w:rsidR="00D01A59" w:rsidRPr="00D01A59" w:rsidRDefault="00D01A59" w:rsidP="00D01A59">
            <w:pPr>
              <w:rPr>
                <w:rFonts w:ascii="Arial" w:eastAsiaTheme="minorHAnsi" w:hAnsi="Arial" w:cs="Arial"/>
                <w:color w:val="1F4E79" w:themeColor="accent5" w:themeShade="80"/>
              </w:rPr>
            </w:pPr>
          </w:p>
        </w:tc>
      </w:tr>
      <w:tr w:rsidR="00D01A59" w:rsidRPr="00D01A59" w14:paraId="5E5CDEE9" w14:textId="77777777" w:rsidTr="00F42B89">
        <w:tc>
          <w:tcPr>
            <w:tcW w:w="6258" w:type="dxa"/>
            <w:shd w:val="clear" w:color="auto" w:fill="auto"/>
          </w:tcPr>
          <w:p w14:paraId="4320B4A7" w14:textId="77777777" w:rsidR="00D01A59" w:rsidRPr="00D01A59" w:rsidRDefault="00D01A59" w:rsidP="00D01A59">
            <w:pPr>
              <w:jc w:val="center"/>
              <w:rPr>
                <w:rFonts w:asciiTheme="minorBidi" w:eastAsiaTheme="minorHAnsi" w:hAnsiTheme="minorBidi"/>
                <w:noProof/>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322FE37C" wp14:editId="7236D519">
                  <wp:extent cx="3652838" cy="2290763"/>
                  <wp:effectExtent l="0" t="0" r="5080" b="14605"/>
                  <wp:docPr id="26" name="Chart 26">
                    <a:extLst xmlns:a="http://schemas.openxmlformats.org/drawingml/2006/main">
                      <a:ext uri="{FF2B5EF4-FFF2-40B4-BE49-F238E27FC236}">
                        <a16:creationId xmlns:a16="http://schemas.microsoft.com/office/drawing/2014/main" id="{16EF6AC4-92EE-40F9-8067-7A532EB06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75" w:type="dxa"/>
            <w:shd w:val="clear" w:color="auto" w:fill="auto"/>
            <w:vAlign w:val="center"/>
          </w:tcPr>
          <w:p w14:paraId="58BF493A" w14:textId="77777777" w:rsidR="00D01A59" w:rsidRPr="00D01A59" w:rsidRDefault="00D01A59" w:rsidP="00D01A59">
            <w:pPr>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Council-Wide Indicator</w:t>
            </w:r>
          </w:p>
          <w:p w14:paraId="3D6918C0" w14:textId="77777777" w:rsidR="00D01A59" w:rsidRPr="00D01A59" w:rsidRDefault="00D01A59" w:rsidP="00D01A59">
            <w:pPr>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The level of slippage/(advancement) is a measure of capital expenditure against the planned capital programme.  This has improved over the last 4 years, with a level of advancement achieved in 2019-20, The Capital Programme is monitored by the Investment Strategy Group and action taken to maximise spend and improve projections. Resources have been dedicated to support Services with programme and project management in order to minimise slippage and maximise investment</w:t>
            </w:r>
          </w:p>
          <w:p w14:paraId="03E7600F" w14:textId="77777777" w:rsidR="00D01A59" w:rsidRPr="00D01A59" w:rsidRDefault="00D01A59" w:rsidP="00D01A59">
            <w:pPr>
              <w:rPr>
                <w:rFonts w:ascii="Arial" w:eastAsiaTheme="minorHAnsi" w:hAnsi="Arial" w:cs="Arial"/>
                <w:color w:val="1F4E79" w:themeColor="accent5" w:themeShade="80"/>
              </w:rPr>
            </w:pPr>
          </w:p>
        </w:tc>
      </w:tr>
      <w:tr w:rsidR="00D01A59" w:rsidRPr="00D01A59" w14:paraId="33A0783A" w14:textId="77777777" w:rsidTr="00BC7D21">
        <w:trPr>
          <w:trHeight w:val="4198"/>
        </w:trPr>
        <w:tc>
          <w:tcPr>
            <w:tcW w:w="6258" w:type="dxa"/>
            <w:shd w:val="clear" w:color="auto" w:fill="auto"/>
          </w:tcPr>
          <w:p w14:paraId="2BE08B14" w14:textId="77777777" w:rsidR="00D01A59" w:rsidRPr="00D01A59" w:rsidRDefault="00D01A59" w:rsidP="00D01A59">
            <w:pPr>
              <w:jc w:val="center"/>
              <w:rPr>
                <w:rFonts w:asciiTheme="minorBidi" w:eastAsiaTheme="minorHAnsi" w:hAnsiTheme="minorBidi"/>
                <w:noProof/>
                <w:color w:val="1F4E79" w:themeColor="accent5" w:themeShade="80"/>
              </w:rPr>
            </w:pPr>
            <w:r w:rsidRPr="00D01A59">
              <w:rPr>
                <w:rFonts w:asciiTheme="minorBidi" w:eastAsiaTheme="minorHAnsi" w:hAnsiTheme="minorBidi"/>
                <w:noProof/>
                <w:color w:val="1F4E79" w:themeColor="accent5" w:themeShade="80"/>
              </w:rPr>
              <w:drawing>
                <wp:inline distT="0" distB="0" distL="0" distR="0" wp14:anchorId="3C9A241B" wp14:editId="6B6134C6">
                  <wp:extent cx="3652520" cy="2266950"/>
                  <wp:effectExtent l="0" t="0" r="5080" b="0"/>
                  <wp:docPr id="27" name="Chart 27">
                    <a:extLst xmlns:a="http://schemas.openxmlformats.org/drawingml/2006/main">
                      <a:ext uri="{FF2B5EF4-FFF2-40B4-BE49-F238E27FC236}">
                        <a16:creationId xmlns:a16="http://schemas.microsoft.com/office/drawing/2014/main" id="{871BD02C-6EEF-4E0F-B255-090FF1356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375" w:type="dxa"/>
            <w:shd w:val="clear" w:color="auto" w:fill="auto"/>
          </w:tcPr>
          <w:p w14:paraId="60445076" w14:textId="77777777" w:rsidR="00D01A59" w:rsidRPr="00D01A59" w:rsidRDefault="00D01A59" w:rsidP="00D01A59">
            <w:pPr>
              <w:rPr>
                <w:rFonts w:ascii="Arial" w:eastAsiaTheme="minorHAnsi" w:hAnsi="Arial" w:cs="Arial"/>
                <w:color w:val="1F4E79" w:themeColor="accent5" w:themeShade="80"/>
                <w:sz w:val="22"/>
                <w:szCs w:val="22"/>
              </w:rPr>
            </w:pPr>
            <w:r w:rsidRPr="00D01A59">
              <w:rPr>
                <w:rFonts w:ascii="Arial" w:eastAsiaTheme="minorHAnsi" w:hAnsi="Arial" w:cs="Arial"/>
                <w:color w:val="1F4E79" w:themeColor="accent5" w:themeShade="80"/>
                <w:sz w:val="22"/>
                <w:szCs w:val="22"/>
              </w:rPr>
              <w:t>Council-Wide Indicator</w:t>
            </w:r>
          </w:p>
          <w:p w14:paraId="37CFA2AC" w14:textId="77777777" w:rsidR="00D01A59" w:rsidRPr="00D01A59" w:rsidRDefault="00D01A59" w:rsidP="00D01A59">
            <w:pPr>
              <w:rPr>
                <w:rFonts w:asciiTheme="minorBidi" w:eastAsiaTheme="minorHAnsi" w:hAnsiTheme="minorBidi"/>
                <w:color w:val="1F4E79" w:themeColor="accent5" w:themeShade="80"/>
              </w:rPr>
            </w:pPr>
            <w:r w:rsidRPr="00D01A59">
              <w:rPr>
                <w:rFonts w:ascii="Arial" w:eastAsiaTheme="minorHAnsi" w:hAnsi="Arial" w:cs="Arial"/>
                <w:color w:val="1F4E79" w:themeColor="accent5" w:themeShade="80"/>
                <w:sz w:val="22"/>
                <w:szCs w:val="22"/>
              </w:rPr>
              <w:t>For the previous years, the Council has contained expenditure within the budget overall, before experiencing a slight overspend in 2018/19. In 2019/20 costs were contained within budget following the successful implementation of cost control measures and positive action taken by all Services to control spending. The Council has strong financial controls in place to minimise the level of overspends and underspends. However, going forward the challenge to do so will increase, particularly in light of the COVID19 outbreak and the costs associated.</w:t>
            </w:r>
          </w:p>
        </w:tc>
      </w:tr>
    </w:tbl>
    <w:p w14:paraId="0540BB84" w14:textId="1F666D5A" w:rsidR="003B7CE9" w:rsidRDefault="003B7CE9" w:rsidP="008B7AEF">
      <w:pPr>
        <w:spacing w:before="0" w:after="0"/>
        <w:rPr>
          <w:szCs w:val="24"/>
        </w:rPr>
      </w:pPr>
    </w:p>
    <w:p w14:paraId="377DEA97" w14:textId="14C7E5FC" w:rsidR="003B7CE9" w:rsidRDefault="003B7CE9" w:rsidP="008B7AEF">
      <w:pPr>
        <w:spacing w:before="0" w:after="0"/>
        <w:rPr>
          <w:szCs w:val="24"/>
        </w:rPr>
      </w:pPr>
    </w:p>
    <w:p w14:paraId="53CEBEA6" w14:textId="3D74D8CC" w:rsidR="0070462D" w:rsidRDefault="0070462D" w:rsidP="008B7AEF">
      <w:pPr>
        <w:spacing w:before="0" w:after="0"/>
        <w:rPr>
          <w:szCs w:val="24"/>
        </w:rPr>
      </w:pPr>
    </w:p>
    <w:p w14:paraId="46ADD291" w14:textId="1573D0F5" w:rsidR="0070462D" w:rsidRDefault="0070462D" w:rsidP="008B7AEF">
      <w:pPr>
        <w:spacing w:before="0" w:after="0"/>
        <w:rPr>
          <w:szCs w:val="24"/>
        </w:rPr>
      </w:pPr>
    </w:p>
    <w:p w14:paraId="2DD7272E"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Arial" w:eastAsiaTheme="minorHAnsi" w:hAnsi="Arial" w:cs="Arial"/>
          <w:sz w:val="40"/>
          <w:szCs w:val="40"/>
          <w:lang w:eastAsia="en-US"/>
        </w:rPr>
        <w:lastRenderedPageBreak/>
        <w:t>ANNUAL WORKFORCE DATA</w:t>
      </w:r>
    </w:p>
    <w:p w14:paraId="3206E727"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527F874F" wp14:editId="0176CCA0">
            <wp:extent cx="4267200" cy="2447925"/>
            <wp:effectExtent l="0" t="0" r="0" b="9525"/>
            <wp:docPr id="8" name="Chart 8">
              <a:extLst xmlns:a="http://schemas.openxmlformats.org/drawingml/2006/main">
                <a:ext uri="{FF2B5EF4-FFF2-40B4-BE49-F238E27FC236}">
                  <a16:creationId xmlns:a16="http://schemas.microsoft.com/office/drawing/2014/main" id="{D6C766A8-A77F-4FD6-AD0A-AFFCD92E0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DE9C08"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4594D151" wp14:editId="792EFD4B">
            <wp:extent cx="4305300" cy="2481263"/>
            <wp:effectExtent l="0" t="0" r="0" b="14605"/>
            <wp:docPr id="9" name="Chart 9">
              <a:extLst xmlns:a="http://schemas.openxmlformats.org/drawingml/2006/main">
                <a:ext uri="{FF2B5EF4-FFF2-40B4-BE49-F238E27FC236}">
                  <a16:creationId xmlns:a16="http://schemas.microsoft.com/office/drawing/2014/main" id="{A89B39FB-550B-4D47-8E9D-7FC82B01B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14C914"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1AB82EFE" wp14:editId="26EF8CC8">
            <wp:extent cx="4267200" cy="2638425"/>
            <wp:effectExtent l="0" t="0" r="0" b="9525"/>
            <wp:docPr id="15" name="Chart 15">
              <a:extLst xmlns:a="http://schemas.openxmlformats.org/drawingml/2006/main">
                <a:ext uri="{FF2B5EF4-FFF2-40B4-BE49-F238E27FC236}">
                  <a16:creationId xmlns:a16="http://schemas.microsoft.com/office/drawing/2014/main" id="{BCDC6DC5-B2F3-4FD3-BF6B-8D0CE6249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72ECDD"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p>
    <w:p w14:paraId="1BF5CA01"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lastRenderedPageBreak/>
        <w:drawing>
          <wp:inline distT="0" distB="0" distL="0" distR="0" wp14:anchorId="4EF8AB93" wp14:editId="34DAF4DA">
            <wp:extent cx="4267200" cy="2638425"/>
            <wp:effectExtent l="0" t="0" r="0" b="9525"/>
            <wp:docPr id="12" name="Chart 12">
              <a:extLst xmlns:a="http://schemas.openxmlformats.org/drawingml/2006/main">
                <a:ext uri="{FF2B5EF4-FFF2-40B4-BE49-F238E27FC236}">
                  <a16:creationId xmlns:a16="http://schemas.microsoft.com/office/drawing/2014/main" id="{9D97005B-AA60-4DB2-8EAC-C091F5D9B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535B89"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4EF02FDA" wp14:editId="6F68A42C">
            <wp:extent cx="4267200" cy="2638425"/>
            <wp:effectExtent l="0" t="0" r="0" b="9525"/>
            <wp:docPr id="13" name="Chart 13">
              <a:extLst xmlns:a="http://schemas.openxmlformats.org/drawingml/2006/main">
                <a:ext uri="{FF2B5EF4-FFF2-40B4-BE49-F238E27FC236}">
                  <a16:creationId xmlns:a16="http://schemas.microsoft.com/office/drawing/2014/main" id="{22367AE3-0079-48D0-A1F7-03C8827A3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EB6212"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1C6F0DFE" wp14:editId="6B78933A">
            <wp:extent cx="4267200" cy="2638425"/>
            <wp:effectExtent l="0" t="0" r="0" b="9525"/>
            <wp:docPr id="14" name="Chart 14">
              <a:extLst xmlns:a="http://schemas.openxmlformats.org/drawingml/2006/main">
                <a:ext uri="{FF2B5EF4-FFF2-40B4-BE49-F238E27FC236}">
                  <a16:creationId xmlns:a16="http://schemas.microsoft.com/office/drawing/2014/main" id="{9DF503BB-40FE-4DE5-94B8-BEE921A0B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1E3B70"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lastRenderedPageBreak/>
        <w:drawing>
          <wp:inline distT="0" distB="0" distL="0" distR="0" wp14:anchorId="0BB4FCA1" wp14:editId="394C56F9">
            <wp:extent cx="4267200" cy="2638425"/>
            <wp:effectExtent l="0" t="0" r="0" b="9525"/>
            <wp:docPr id="16" name="Chart 16">
              <a:extLst xmlns:a="http://schemas.openxmlformats.org/drawingml/2006/main">
                <a:ext uri="{FF2B5EF4-FFF2-40B4-BE49-F238E27FC236}">
                  <a16:creationId xmlns:a16="http://schemas.microsoft.com/office/drawing/2014/main" id="{DFF563C3-EAE4-47AE-AA07-A5E72C31F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DAE491" w14:textId="77777777" w:rsidR="0070462D" w:rsidRPr="0070462D" w:rsidRDefault="0070462D" w:rsidP="0070462D">
      <w:pPr>
        <w:spacing w:before="0" w:after="160" w:line="259" w:lineRule="auto"/>
        <w:jc w:val="center"/>
        <w:rPr>
          <w:rFonts w:ascii="Arial" w:eastAsiaTheme="minorHAnsi" w:hAnsi="Arial" w:cs="Arial"/>
          <w:sz w:val="40"/>
          <w:szCs w:val="40"/>
          <w:lang w:eastAsia="en-US"/>
        </w:rPr>
      </w:pPr>
      <w:r w:rsidRPr="0070462D">
        <w:rPr>
          <w:rFonts w:asciiTheme="minorHAnsi" w:eastAsiaTheme="minorHAnsi" w:hAnsiTheme="minorHAnsi" w:cstheme="minorBidi"/>
          <w:noProof/>
          <w:sz w:val="22"/>
          <w:szCs w:val="22"/>
          <w:lang w:eastAsia="en-US"/>
        </w:rPr>
        <w:drawing>
          <wp:inline distT="0" distB="0" distL="0" distR="0" wp14:anchorId="40B167EC" wp14:editId="70EC9DED">
            <wp:extent cx="4267200" cy="2638425"/>
            <wp:effectExtent l="0" t="0" r="0" b="9525"/>
            <wp:docPr id="19" name="Chart 19">
              <a:extLst xmlns:a="http://schemas.openxmlformats.org/drawingml/2006/main">
                <a:ext uri="{FF2B5EF4-FFF2-40B4-BE49-F238E27FC236}">
                  <a16:creationId xmlns:a16="http://schemas.microsoft.com/office/drawing/2014/main" id="{EA86F84E-005C-49EB-A9C9-FF7769B63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23F709" w14:textId="77777777" w:rsidR="0070462D" w:rsidRPr="00910BBF" w:rsidRDefault="0070462D" w:rsidP="008B7AEF">
      <w:pPr>
        <w:spacing w:before="0" w:after="0"/>
        <w:rPr>
          <w:szCs w:val="24"/>
        </w:rPr>
      </w:pPr>
      <w:bookmarkStart w:id="10" w:name="_GoBack"/>
      <w:bookmarkEnd w:id="10"/>
    </w:p>
    <w:sectPr w:rsidR="0070462D" w:rsidRPr="00910BBF" w:rsidSect="0031357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7952F" w14:textId="77777777" w:rsidR="00EF434D" w:rsidRDefault="00EF434D">
      <w:r>
        <w:separator/>
      </w:r>
    </w:p>
  </w:endnote>
  <w:endnote w:type="continuationSeparator" w:id="0">
    <w:p w14:paraId="4F1DCD9A" w14:textId="77777777" w:rsidR="00EF434D" w:rsidRDefault="00EF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73A86" w14:textId="77777777" w:rsidR="00EF434D" w:rsidRDefault="00EF434D">
      <w:r>
        <w:separator/>
      </w:r>
    </w:p>
  </w:footnote>
  <w:footnote w:type="continuationSeparator" w:id="0">
    <w:p w14:paraId="5EBB60A2" w14:textId="77777777" w:rsidR="00EF434D" w:rsidRDefault="00EF4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766BBB"/>
    <w:multiLevelType w:val="hybridMultilevel"/>
    <w:tmpl w:val="20722B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27769"/>
    <w:multiLevelType w:val="multilevel"/>
    <w:tmpl w:val="FE1E739C"/>
    <w:lvl w:ilvl="0">
      <w:start w:val="1"/>
      <w:numFmt w:val="decimal"/>
      <w:pStyle w:val="NumberedList4"/>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E533627"/>
    <w:multiLevelType w:val="hybridMultilevel"/>
    <w:tmpl w:val="3056DC58"/>
    <w:lvl w:ilvl="0" w:tplc="1CDA2E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FF3D88"/>
    <w:multiLevelType w:val="multilevel"/>
    <w:tmpl w:val="A75E61C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9063464"/>
    <w:multiLevelType w:val="hybridMultilevel"/>
    <w:tmpl w:val="DCEC00CE"/>
    <w:lvl w:ilvl="0" w:tplc="21DAEEF4">
      <w:start w:val="1"/>
      <w:numFmt w:val="lowerRoman"/>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FB527F"/>
    <w:multiLevelType w:val="multilevel"/>
    <w:tmpl w:val="3E34B372"/>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3204C4C"/>
    <w:multiLevelType w:val="hybridMultilevel"/>
    <w:tmpl w:val="A9EC3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491394"/>
    <w:multiLevelType w:val="multilevel"/>
    <w:tmpl w:val="CAE2BB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681F7E"/>
    <w:multiLevelType w:val="hybridMultilevel"/>
    <w:tmpl w:val="AB00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B31D8"/>
    <w:multiLevelType w:val="hybridMultilevel"/>
    <w:tmpl w:val="E88A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7828A8"/>
    <w:multiLevelType w:val="multilevel"/>
    <w:tmpl w:val="EDE2B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007504"/>
    <w:multiLevelType w:val="multilevel"/>
    <w:tmpl w:val="E91A1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510283"/>
    <w:multiLevelType w:val="hybridMultilevel"/>
    <w:tmpl w:val="CDA00E6C"/>
    <w:lvl w:ilvl="0" w:tplc="2C60B148">
      <w:numFmt w:val="bullet"/>
      <w:lvlText w:val=""/>
      <w:lvlJc w:val="left"/>
      <w:pPr>
        <w:ind w:left="1080" w:hanging="360"/>
      </w:pPr>
      <w:rPr>
        <w:rFonts w:ascii="SymbolMT" w:eastAsia="SymbolMT" w:hAnsi="Arial"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0D42FB"/>
    <w:multiLevelType w:val="multilevel"/>
    <w:tmpl w:val="9F64273C"/>
    <w:lvl w:ilvl="0">
      <w:start w:val="1"/>
      <w:numFmt w:val="decimal"/>
      <w:lvlText w:val="%1"/>
      <w:lvlJc w:val="left"/>
      <w:pPr>
        <w:ind w:left="780" w:hanging="780"/>
      </w:pPr>
      <w:rPr>
        <w:rFonts w:hint="default"/>
        <w:color w:val="000000"/>
        <w:sz w:val="24"/>
      </w:rPr>
    </w:lvl>
    <w:lvl w:ilvl="1">
      <w:start w:val="1"/>
      <w:numFmt w:val="decimal"/>
      <w:lvlText w:val="%1.%2"/>
      <w:lvlJc w:val="left"/>
      <w:pPr>
        <w:ind w:left="780" w:hanging="780"/>
      </w:pPr>
      <w:rPr>
        <w:rFonts w:hint="default"/>
        <w:color w:val="000000"/>
        <w:sz w:val="24"/>
      </w:rPr>
    </w:lvl>
    <w:lvl w:ilvl="2">
      <w:start w:val="1"/>
      <w:numFmt w:val="decimal"/>
      <w:lvlText w:val="%1.%2.%3"/>
      <w:lvlJc w:val="left"/>
      <w:pPr>
        <w:ind w:left="780" w:hanging="780"/>
      </w:pPr>
      <w:rPr>
        <w:rFonts w:hint="default"/>
        <w:color w:val="000000"/>
        <w:sz w:val="24"/>
      </w:rPr>
    </w:lvl>
    <w:lvl w:ilvl="3">
      <w:start w:val="1"/>
      <w:numFmt w:val="decimal"/>
      <w:lvlText w:val="%1.%2.%3.%4"/>
      <w:lvlJc w:val="left"/>
      <w:pPr>
        <w:ind w:left="780" w:hanging="7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14" w15:restartNumberingAfterBreak="0">
    <w:nsid w:val="3DEC3F89"/>
    <w:multiLevelType w:val="multilevel"/>
    <w:tmpl w:val="718EBB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0538F9"/>
    <w:multiLevelType w:val="hybridMultilevel"/>
    <w:tmpl w:val="D626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E4E6D"/>
    <w:multiLevelType w:val="hybridMultilevel"/>
    <w:tmpl w:val="B7F48BD6"/>
    <w:lvl w:ilvl="0" w:tplc="048815E8">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E317CB3"/>
    <w:multiLevelType w:val="hybridMultilevel"/>
    <w:tmpl w:val="D85CFD48"/>
    <w:lvl w:ilvl="0" w:tplc="08090001">
      <w:start w:val="1"/>
      <w:numFmt w:val="bullet"/>
      <w:lvlText w:val=""/>
      <w:lvlJc w:val="left"/>
      <w:pPr>
        <w:ind w:left="11226" w:hanging="360"/>
      </w:pPr>
      <w:rPr>
        <w:rFonts w:ascii="Symbol" w:hAnsi="Symbol" w:hint="default"/>
      </w:rPr>
    </w:lvl>
    <w:lvl w:ilvl="1" w:tplc="08090003">
      <w:start w:val="1"/>
      <w:numFmt w:val="bullet"/>
      <w:lvlText w:val="o"/>
      <w:lvlJc w:val="left"/>
      <w:pPr>
        <w:ind w:left="11946" w:hanging="360"/>
      </w:pPr>
      <w:rPr>
        <w:rFonts w:ascii="Courier New" w:hAnsi="Courier New" w:cs="Courier New" w:hint="default"/>
      </w:rPr>
    </w:lvl>
    <w:lvl w:ilvl="2" w:tplc="08090005" w:tentative="1">
      <w:start w:val="1"/>
      <w:numFmt w:val="bullet"/>
      <w:lvlText w:val=""/>
      <w:lvlJc w:val="left"/>
      <w:pPr>
        <w:ind w:left="12666" w:hanging="360"/>
      </w:pPr>
      <w:rPr>
        <w:rFonts w:ascii="Wingdings" w:hAnsi="Wingdings" w:hint="default"/>
      </w:rPr>
    </w:lvl>
    <w:lvl w:ilvl="3" w:tplc="08090001" w:tentative="1">
      <w:start w:val="1"/>
      <w:numFmt w:val="bullet"/>
      <w:lvlText w:val=""/>
      <w:lvlJc w:val="left"/>
      <w:pPr>
        <w:ind w:left="13386" w:hanging="360"/>
      </w:pPr>
      <w:rPr>
        <w:rFonts w:ascii="Symbol" w:hAnsi="Symbol" w:hint="default"/>
      </w:rPr>
    </w:lvl>
    <w:lvl w:ilvl="4" w:tplc="08090003" w:tentative="1">
      <w:start w:val="1"/>
      <w:numFmt w:val="bullet"/>
      <w:lvlText w:val="o"/>
      <w:lvlJc w:val="left"/>
      <w:pPr>
        <w:ind w:left="14106" w:hanging="360"/>
      </w:pPr>
      <w:rPr>
        <w:rFonts w:ascii="Courier New" w:hAnsi="Courier New" w:cs="Courier New" w:hint="default"/>
      </w:rPr>
    </w:lvl>
    <w:lvl w:ilvl="5" w:tplc="08090005" w:tentative="1">
      <w:start w:val="1"/>
      <w:numFmt w:val="bullet"/>
      <w:lvlText w:val=""/>
      <w:lvlJc w:val="left"/>
      <w:pPr>
        <w:ind w:left="14826" w:hanging="360"/>
      </w:pPr>
      <w:rPr>
        <w:rFonts w:ascii="Wingdings" w:hAnsi="Wingdings" w:hint="default"/>
      </w:rPr>
    </w:lvl>
    <w:lvl w:ilvl="6" w:tplc="08090001" w:tentative="1">
      <w:start w:val="1"/>
      <w:numFmt w:val="bullet"/>
      <w:lvlText w:val=""/>
      <w:lvlJc w:val="left"/>
      <w:pPr>
        <w:ind w:left="15546" w:hanging="360"/>
      </w:pPr>
      <w:rPr>
        <w:rFonts w:ascii="Symbol" w:hAnsi="Symbol" w:hint="default"/>
      </w:rPr>
    </w:lvl>
    <w:lvl w:ilvl="7" w:tplc="08090003" w:tentative="1">
      <w:start w:val="1"/>
      <w:numFmt w:val="bullet"/>
      <w:lvlText w:val="o"/>
      <w:lvlJc w:val="left"/>
      <w:pPr>
        <w:ind w:left="16266" w:hanging="360"/>
      </w:pPr>
      <w:rPr>
        <w:rFonts w:ascii="Courier New" w:hAnsi="Courier New" w:cs="Courier New" w:hint="default"/>
      </w:rPr>
    </w:lvl>
    <w:lvl w:ilvl="8" w:tplc="08090005" w:tentative="1">
      <w:start w:val="1"/>
      <w:numFmt w:val="bullet"/>
      <w:lvlText w:val=""/>
      <w:lvlJc w:val="left"/>
      <w:pPr>
        <w:ind w:left="16986" w:hanging="360"/>
      </w:pPr>
      <w:rPr>
        <w:rFonts w:ascii="Wingdings" w:hAnsi="Wingdings" w:hint="default"/>
      </w:rPr>
    </w:lvl>
  </w:abstractNum>
  <w:abstractNum w:abstractNumId="18" w15:restartNumberingAfterBreak="0">
    <w:nsid w:val="50D372BD"/>
    <w:multiLevelType w:val="multilevel"/>
    <w:tmpl w:val="EB42F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0562A6"/>
    <w:multiLevelType w:val="hybridMultilevel"/>
    <w:tmpl w:val="B78AB74C"/>
    <w:lvl w:ilvl="0" w:tplc="CF34BC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672AF6"/>
    <w:multiLevelType w:val="hybridMultilevel"/>
    <w:tmpl w:val="9258DB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5C05054F"/>
    <w:multiLevelType w:val="hybridMultilevel"/>
    <w:tmpl w:val="BCAA4D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4E7758"/>
    <w:multiLevelType w:val="hybridMultilevel"/>
    <w:tmpl w:val="76A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B51B8"/>
    <w:multiLevelType w:val="hybridMultilevel"/>
    <w:tmpl w:val="E61EB844"/>
    <w:lvl w:ilvl="0" w:tplc="0700F2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0603CE"/>
    <w:multiLevelType w:val="hybridMultilevel"/>
    <w:tmpl w:val="84BCC9FE"/>
    <w:lvl w:ilvl="0" w:tplc="8A4E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4C809A7"/>
    <w:multiLevelType w:val="multilevel"/>
    <w:tmpl w:val="104EC67E"/>
    <w:lvl w:ilvl="0">
      <w:start w:val="3"/>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4DC2AC9"/>
    <w:multiLevelType w:val="multilevel"/>
    <w:tmpl w:val="C53C18CC"/>
    <w:lvl w:ilvl="0">
      <w:start w:val="2"/>
      <w:numFmt w:val="decimal"/>
      <w:lvlText w:val="%1.0"/>
      <w:lvlJc w:val="left"/>
      <w:pPr>
        <w:ind w:left="495" w:hanging="495"/>
      </w:pPr>
      <w:rPr>
        <w:rFonts w:cs="Times New Roman" w:hint="default"/>
        <w:b/>
        <w:sz w:val="36"/>
      </w:rPr>
    </w:lvl>
    <w:lvl w:ilvl="1">
      <w:start w:val="1"/>
      <w:numFmt w:val="decimal"/>
      <w:lvlText w:val="%1.%2"/>
      <w:lvlJc w:val="left"/>
      <w:pPr>
        <w:ind w:left="1215" w:hanging="495"/>
      </w:pPr>
      <w:rPr>
        <w:rFonts w:cs="Times New Roman" w:hint="default"/>
        <w:b/>
        <w:sz w:val="36"/>
      </w:rPr>
    </w:lvl>
    <w:lvl w:ilvl="2">
      <w:start w:val="1"/>
      <w:numFmt w:val="decimal"/>
      <w:lvlText w:val="%1.%2.%3"/>
      <w:lvlJc w:val="left"/>
      <w:pPr>
        <w:ind w:left="2160" w:hanging="720"/>
      </w:pPr>
      <w:rPr>
        <w:rFonts w:cs="Times New Roman" w:hint="default"/>
        <w:b/>
        <w:sz w:val="36"/>
      </w:rPr>
    </w:lvl>
    <w:lvl w:ilvl="3">
      <w:start w:val="1"/>
      <w:numFmt w:val="decimal"/>
      <w:lvlText w:val="%1.%2.%3.%4"/>
      <w:lvlJc w:val="left"/>
      <w:pPr>
        <w:ind w:left="3240" w:hanging="1080"/>
      </w:pPr>
      <w:rPr>
        <w:rFonts w:cs="Times New Roman" w:hint="default"/>
        <w:b/>
        <w:sz w:val="36"/>
      </w:rPr>
    </w:lvl>
    <w:lvl w:ilvl="4">
      <w:start w:val="1"/>
      <w:numFmt w:val="decimal"/>
      <w:lvlText w:val="%1.%2.%3.%4.%5"/>
      <w:lvlJc w:val="left"/>
      <w:pPr>
        <w:ind w:left="3960" w:hanging="1080"/>
      </w:pPr>
      <w:rPr>
        <w:rFonts w:cs="Times New Roman" w:hint="default"/>
        <w:b/>
        <w:sz w:val="36"/>
      </w:rPr>
    </w:lvl>
    <w:lvl w:ilvl="5">
      <w:start w:val="1"/>
      <w:numFmt w:val="decimal"/>
      <w:lvlText w:val="%1.%2.%3.%4.%5.%6"/>
      <w:lvlJc w:val="left"/>
      <w:pPr>
        <w:ind w:left="5040" w:hanging="1440"/>
      </w:pPr>
      <w:rPr>
        <w:rFonts w:cs="Times New Roman" w:hint="default"/>
        <w:b/>
        <w:sz w:val="36"/>
      </w:rPr>
    </w:lvl>
    <w:lvl w:ilvl="6">
      <w:start w:val="1"/>
      <w:numFmt w:val="decimal"/>
      <w:lvlText w:val="%1.%2.%3.%4.%5.%6.%7"/>
      <w:lvlJc w:val="left"/>
      <w:pPr>
        <w:ind w:left="5760" w:hanging="1440"/>
      </w:pPr>
      <w:rPr>
        <w:rFonts w:cs="Times New Roman" w:hint="default"/>
        <w:b/>
        <w:sz w:val="36"/>
      </w:rPr>
    </w:lvl>
    <w:lvl w:ilvl="7">
      <w:start w:val="1"/>
      <w:numFmt w:val="decimal"/>
      <w:lvlText w:val="%1.%2.%3.%4.%5.%6.%7.%8"/>
      <w:lvlJc w:val="left"/>
      <w:pPr>
        <w:ind w:left="6840" w:hanging="1800"/>
      </w:pPr>
      <w:rPr>
        <w:rFonts w:cs="Times New Roman" w:hint="default"/>
        <w:b/>
        <w:sz w:val="36"/>
      </w:rPr>
    </w:lvl>
    <w:lvl w:ilvl="8">
      <w:start w:val="1"/>
      <w:numFmt w:val="decimal"/>
      <w:lvlText w:val="%1.%2.%3.%4.%5.%6.%7.%8.%9"/>
      <w:lvlJc w:val="left"/>
      <w:pPr>
        <w:ind w:left="7560" w:hanging="1800"/>
      </w:pPr>
      <w:rPr>
        <w:rFonts w:cs="Times New Roman" w:hint="default"/>
        <w:b/>
        <w:sz w:val="36"/>
      </w:rPr>
    </w:lvl>
  </w:abstractNum>
  <w:abstractNum w:abstractNumId="27" w15:restartNumberingAfterBreak="0">
    <w:nsid w:val="6C2E5FDE"/>
    <w:multiLevelType w:val="hybridMultilevel"/>
    <w:tmpl w:val="F7564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4A7F7B"/>
    <w:multiLevelType w:val="hybridMultilevel"/>
    <w:tmpl w:val="A2401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A3769"/>
    <w:multiLevelType w:val="hybridMultilevel"/>
    <w:tmpl w:val="6F0CBB76"/>
    <w:lvl w:ilvl="0" w:tplc="4BEAE1C2">
      <w:start w:val="1"/>
      <w:numFmt w:val="lowerLetter"/>
      <w:lvlText w:val="%1)"/>
      <w:lvlJc w:val="left"/>
      <w:pPr>
        <w:ind w:left="1080" w:hanging="360"/>
      </w:pPr>
      <w:rPr>
        <w:rFonts w:ascii="Helvetica" w:eastAsia="Times" w:hAnsi="Helvetic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9352F79"/>
    <w:multiLevelType w:val="multilevel"/>
    <w:tmpl w:val="FF807026"/>
    <w:lvl w:ilvl="0">
      <w:start w:val="1"/>
      <w:numFmt w:val="decimal"/>
      <w:lvlText w:val="%1"/>
      <w:lvlJc w:val="left"/>
      <w:pPr>
        <w:ind w:left="495" w:hanging="495"/>
      </w:pPr>
      <w:rPr>
        <w:rFonts w:hint="default"/>
        <w:b w:val="0"/>
        <w:color w:val="000000"/>
        <w:sz w:val="24"/>
      </w:rPr>
    </w:lvl>
    <w:lvl w:ilvl="1">
      <w:start w:val="1"/>
      <w:numFmt w:val="decimal"/>
      <w:lvlText w:val="%1.%2"/>
      <w:lvlJc w:val="left"/>
      <w:pPr>
        <w:ind w:left="495" w:hanging="495"/>
      </w:pPr>
      <w:rPr>
        <w:rFonts w:hint="default"/>
        <w:b w:val="0"/>
        <w:color w:val="000000"/>
        <w:sz w:val="24"/>
      </w:rPr>
    </w:lvl>
    <w:lvl w:ilvl="2">
      <w:start w:val="1"/>
      <w:numFmt w:val="decimal"/>
      <w:lvlText w:val="%1.%2.%3"/>
      <w:lvlJc w:val="left"/>
      <w:pPr>
        <w:ind w:left="720" w:hanging="720"/>
      </w:pPr>
      <w:rPr>
        <w:rFonts w:hint="default"/>
        <w:b w:val="0"/>
        <w:color w:val="000000"/>
        <w:sz w:val="24"/>
      </w:rPr>
    </w:lvl>
    <w:lvl w:ilvl="3">
      <w:start w:val="1"/>
      <w:numFmt w:val="decimal"/>
      <w:lvlText w:val="%1.%2.%3.%4"/>
      <w:lvlJc w:val="left"/>
      <w:pPr>
        <w:ind w:left="720" w:hanging="720"/>
      </w:pPr>
      <w:rPr>
        <w:rFonts w:hint="default"/>
        <w:b w:val="0"/>
        <w:color w:val="000000"/>
        <w:sz w:val="24"/>
      </w:rPr>
    </w:lvl>
    <w:lvl w:ilvl="4">
      <w:start w:val="1"/>
      <w:numFmt w:val="decimal"/>
      <w:lvlText w:val="%1.%2.%3.%4.%5"/>
      <w:lvlJc w:val="left"/>
      <w:pPr>
        <w:ind w:left="1080" w:hanging="1080"/>
      </w:pPr>
      <w:rPr>
        <w:rFonts w:hint="default"/>
        <w:b w:val="0"/>
        <w:color w:val="000000"/>
        <w:sz w:val="24"/>
      </w:rPr>
    </w:lvl>
    <w:lvl w:ilvl="5">
      <w:start w:val="1"/>
      <w:numFmt w:val="decimal"/>
      <w:lvlText w:val="%1.%2.%3.%4.%5.%6"/>
      <w:lvlJc w:val="left"/>
      <w:pPr>
        <w:ind w:left="1440" w:hanging="1440"/>
      </w:pPr>
      <w:rPr>
        <w:rFonts w:hint="default"/>
        <w:b w:val="0"/>
        <w:color w:val="000000"/>
        <w:sz w:val="24"/>
      </w:rPr>
    </w:lvl>
    <w:lvl w:ilvl="6">
      <w:start w:val="1"/>
      <w:numFmt w:val="decimal"/>
      <w:lvlText w:val="%1.%2.%3.%4.%5.%6.%7"/>
      <w:lvlJc w:val="left"/>
      <w:pPr>
        <w:ind w:left="1440" w:hanging="1440"/>
      </w:pPr>
      <w:rPr>
        <w:rFonts w:hint="default"/>
        <w:b w:val="0"/>
        <w:color w:val="000000"/>
        <w:sz w:val="24"/>
      </w:rPr>
    </w:lvl>
    <w:lvl w:ilvl="7">
      <w:start w:val="1"/>
      <w:numFmt w:val="decimal"/>
      <w:lvlText w:val="%1.%2.%3.%4.%5.%6.%7.%8"/>
      <w:lvlJc w:val="left"/>
      <w:pPr>
        <w:ind w:left="1800" w:hanging="1800"/>
      </w:pPr>
      <w:rPr>
        <w:rFonts w:hint="default"/>
        <w:b w:val="0"/>
        <w:color w:val="000000"/>
        <w:sz w:val="24"/>
      </w:rPr>
    </w:lvl>
    <w:lvl w:ilvl="8">
      <w:start w:val="1"/>
      <w:numFmt w:val="decimal"/>
      <w:lvlText w:val="%1.%2.%3.%4.%5.%6.%7.%8.%9"/>
      <w:lvlJc w:val="left"/>
      <w:pPr>
        <w:ind w:left="1800" w:hanging="1800"/>
      </w:pPr>
      <w:rPr>
        <w:rFonts w:hint="default"/>
        <w:b w:val="0"/>
        <w:color w:val="000000"/>
        <w:sz w:val="24"/>
      </w:rPr>
    </w:lvl>
  </w:abstractNum>
  <w:num w:numId="1">
    <w:abstractNumId w:val="1"/>
  </w:num>
  <w:num w:numId="2">
    <w:abstractNumId w:val="14"/>
  </w:num>
  <w:num w:numId="3">
    <w:abstractNumId w:val="17"/>
  </w:num>
  <w:num w:numId="4">
    <w:abstractNumId w:val="25"/>
  </w:num>
  <w:num w:numId="5">
    <w:abstractNumId w:val="10"/>
  </w:num>
  <w:num w:numId="6">
    <w:abstractNumId w:val="20"/>
  </w:num>
  <w:num w:numId="7">
    <w:abstractNumId w:val="7"/>
  </w:num>
  <w:num w:numId="8">
    <w:abstractNumId w:val="28"/>
  </w:num>
  <w:num w:numId="9">
    <w:abstractNumId w:val="12"/>
  </w:num>
  <w:num w:numId="10">
    <w:abstractNumId w:val="3"/>
  </w:num>
  <w:num w:numId="11">
    <w:abstractNumId w:val="29"/>
  </w:num>
  <w:num w:numId="12">
    <w:abstractNumId w:val="30"/>
  </w:num>
  <w:num w:numId="13">
    <w:abstractNumId w:val="13"/>
  </w:num>
  <w:num w:numId="14">
    <w:abstractNumId w:val="18"/>
  </w:num>
  <w:num w:numId="15">
    <w:abstractNumId w:val="2"/>
  </w:num>
  <w:num w:numId="16">
    <w:abstractNumId w:val="9"/>
  </w:num>
  <w:num w:numId="17">
    <w:abstractNumId w:val="24"/>
  </w:num>
  <w:num w:numId="18">
    <w:abstractNumId w:val="15"/>
  </w:num>
  <w:num w:numId="19">
    <w:abstractNumId w:val="21"/>
  </w:num>
  <w:num w:numId="20">
    <w:abstractNumId w:val="5"/>
  </w:num>
  <w:num w:numId="21">
    <w:abstractNumId w:val="16"/>
  </w:num>
  <w:num w:numId="22">
    <w:abstractNumId w:val="27"/>
  </w:num>
  <w:num w:numId="23">
    <w:abstractNumId w:val="26"/>
  </w:num>
  <w:num w:numId="24">
    <w:abstractNumId w:val="11"/>
  </w:num>
  <w:num w:numId="25">
    <w:abstractNumId w:val="4"/>
  </w:num>
  <w:num w:numId="26">
    <w:abstractNumId w:val="23"/>
  </w:num>
  <w:num w:numId="27">
    <w:abstractNumId w:val="19"/>
  </w:num>
  <w:num w:numId="28">
    <w:abstractNumId w:val="0"/>
  </w:num>
  <w:num w:numId="29">
    <w:abstractNumId w:val="22"/>
  </w:num>
  <w:num w:numId="30">
    <w:abstractNumId w:val="8"/>
  </w:num>
  <w:num w:numId="3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08"/>
    <w:rsid w:val="00000860"/>
    <w:rsid w:val="00001073"/>
    <w:rsid w:val="00001665"/>
    <w:rsid w:val="00002138"/>
    <w:rsid w:val="00002C42"/>
    <w:rsid w:val="000062A8"/>
    <w:rsid w:val="00006D87"/>
    <w:rsid w:val="00007631"/>
    <w:rsid w:val="00007A1A"/>
    <w:rsid w:val="00007B49"/>
    <w:rsid w:val="000108C6"/>
    <w:rsid w:val="0001191A"/>
    <w:rsid w:val="00011968"/>
    <w:rsid w:val="00011E02"/>
    <w:rsid w:val="000125B1"/>
    <w:rsid w:val="000133CB"/>
    <w:rsid w:val="000146B9"/>
    <w:rsid w:val="00022694"/>
    <w:rsid w:val="000228F5"/>
    <w:rsid w:val="00023336"/>
    <w:rsid w:val="0002371B"/>
    <w:rsid w:val="00025434"/>
    <w:rsid w:val="00025E8A"/>
    <w:rsid w:val="0002638E"/>
    <w:rsid w:val="00027CA5"/>
    <w:rsid w:val="0003033A"/>
    <w:rsid w:val="00030B94"/>
    <w:rsid w:val="0003194B"/>
    <w:rsid w:val="00031EF8"/>
    <w:rsid w:val="000335CB"/>
    <w:rsid w:val="000336BD"/>
    <w:rsid w:val="00037753"/>
    <w:rsid w:val="00037AB9"/>
    <w:rsid w:val="00037ACF"/>
    <w:rsid w:val="00040A65"/>
    <w:rsid w:val="000425E9"/>
    <w:rsid w:val="00042ACD"/>
    <w:rsid w:val="00043E1E"/>
    <w:rsid w:val="0004481E"/>
    <w:rsid w:val="0004510A"/>
    <w:rsid w:val="000452C1"/>
    <w:rsid w:val="00045739"/>
    <w:rsid w:val="000474A7"/>
    <w:rsid w:val="00047819"/>
    <w:rsid w:val="0005119B"/>
    <w:rsid w:val="000532D5"/>
    <w:rsid w:val="0005334E"/>
    <w:rsid w:val="0005592F"/>
    <w:rsid w:val="00056702"/>
    <w:rsid w:val="00056B39"/>
    <w:rsid w:val="000571BF"/>
    <w:rsid w:val="0006019F"/>
    <w:rsid w:val="00060D58"/>
    <w:rsid w:val="00061466"/>
    <w:rsid w:val="0006335A"/>
    <w:rsid w:val="00063E54"/>
    <w:rsid w:val="00064325"/>
    <w:rsid w:val="00065055"/>
    <w:rsid w:val="00065CAC"/>
    <w:rsid w:val="00066995"/>
    <w:rsid w:val="0006736D"/>
    <w:rsid w:val="000701F5"/>
    <w:rsid w:val="000704D5"/>
    <w:rsid w:val="00071207"/>
    <w:rsid w:val="00071D0F"/>
    <w:rsid w:val="0007263E"/>
    <w:rsid w:val="00072BF4"/>
    <w:rsid w:val="0007352D"/>
    <w:rsid w:val="00074624"/>
    <w:rsid w:val="00074861"/>
    <w:rsid w:val="0007599E"/>
    <w:rsid w:val="00076001"/>
    <w:rsid w:val="000761A9"/>
    <w:rsid w:val="00077492"/>
    <w:rsid w:val="0007793C"/>
    <w:rsid w:val="00080110"/>
    <w:rsid w:val="000813F1"/>
    <w:rsid w:val="0008174F"/>
    <w:rsid w:val="00083D78"/>
    <w:rsid w:val="0008508C"/>
    <w:rsid w:val="000855C9"/>
    <w:rsid w:val="000858A1"/>
    <w:rsid w:val="000860FA"/>
    <w:rsid w:val="000865F8"/>
    <w:rsid w:val="00086A2F"/>
    <w:rsid w:val="00086BCB"/>
    <w:rsid w:val="0008715E"/>
    <w:rsid w:val="00091DDC"/>
    <w:rsid w:val="0009223E"/>
    <w:rsid w:val="000932CB"/>
    <w:rsid w:val="0009444F"/>
    <w:rsid w:val="0009667B"/>
    <w:rsid w:val="00097366"/>
    <w:rsid w:val="00097399"/>
    <w:rsid w:val="000A0CCA"/>
    <w:rsid w:val="000A1C30"/>
    <w:rsid w:val="000A1ECC"/>
    <w:rsid w:val="000A2223"/>
    <w:rsid w:val="000A3A94"/>
    <w:rsid w:val="000A3F11"/>
    <w:rsid w:val="000A4267"/>
    <w:rsid w:val="000A42C7"/>
    <w:rsid w:val="000A5524"/>
    <w:rsid w:val="000A5AD9"/>
    <w:rsid w:val="000A67CC"/>
    <w:rsid w:val="000A69B3"/>
    <w:rsid w:val="000A7836"/>
    <w:rsid w:val="000A7C6F"/>
    <w:rsid w:val="000B15CC"/>
    <w:rsid w:val="000B1A8F"/>
    <w:rsid w:val="000B4B49"/>
    <w:rsid w:val="000B7240"/>
    <w:rsid w:val="000C054D"/>
    <w:rsid w:val="000C1D35"/>
    <w:rsid w:val="000C2D0D"/>
    <w:rsid w:val="000C366E"/>
    <w:rsid w:val="000C3D21"/>
    <w:rsid w:val="000C4709"/>
    <w:rsid w:val="000C5184"/>
    <w:rsid w:val="000C59EB"/>
    <w:rsid w:val="000C5B7F"/>
    <w:rsid w:val="000D0F44"/>
    <w:rsid w:val="000D171B"/>
    <w:rsid w:val="000D24BF"/>
    <w:rsid w:val="000D3E37"/>
    <w:rsid w:val="000D4C48"/>
    <w:rsid w:val="000D4DA2"/>
    <w:rsid w:val="000D647C"/>
    <w:rsid w:val="000D709B"/>
    <w:rsid w:val="000E0C3E"/>
    <w:rsid w:val="000E1230"/>
    <w:rsid w:val="000E359F"/>
    <w:rsid w:val="000E3EE7"/>
    <w:rsid w:val="000E456C"/>
    <w:rsid w:val="000E4ABF"/>
    <w:rsid w:val="000E5301"/>
    <w:rsid w:val="000E5C88"/>
    <w:rsid w:val="000E702A"/>
    <w:rsid w:val="000F2663"/>
    <w:rsid w:val="000F2A4C"/>
    <w:rsid w:val="000F38BA"/>
    <w:rsid w:val="000F549B"/>
    <w:rsid w:val="000F5650"/>
    <w:rsid w:val="000F6095"/>
    <w:rsid w:val="000F642C"/>
    <w:rsid w:val="000F6F96"/>
    <w:rsid w:val="00100A0E"/>
    <w:rsid w:val="00100F79"/>
    <w:rsid w:val="0010109A"/>
    <w:rsid w:val="0010149D"/>
    <w:rsid w:val="00101527"/>
    <w:rsid w:val="00101BD1"/>
    <w:rsid w:val="00104147"/>
    <w:rsid w:val="0010441D"/>
    <w:rsid w:val="00106779"/>
    <w:rsid w:val="001069B9"/>
    <w:rsid w:val="0010784A"/>
    <w:rsid w:val="00110403"/>
    <w:rsid w:val="00110AB4"/>
    <w:rsid w:val="00112DCD"/>
    <w:rsid w:val="00114D6A"/>
    <w:rsid w:val="00115569"/>
    <w:rsid w:val="00116E69"/>
    <w:rsid w:val="0011718D"/>
    <w:rsid w:val="00120371"/>
    <w:rsid w:val="00121E2D"/>
    <w:rsid w:val="00122223"/>
    <w:rsid w:val="00122DAE"/>
    <w:rsid w:val="0012428D"/>
    <w:rsid w:val="00132179"/>
    <w:rsid w:val="0013385C"/>
    <w:rsid w:val="00133F49"/>
    <w:rsid w:val="0013464E"/>
    <w:rsid w:val="0013542D"/>
    <w:rsid w:val="001402CF"/>
    <w:rsid w:val="001418F2"/>
    <w:rsid w:val="001432BB"/>
    <w:rsid w:val="00144EC6"/>
    <w:rsid w:val="00145EFD"/>
    <w:rsid w:val="00146EB2"/>
    <w:rsid w:val="00147469"/>
    <w:rsid w:val="00147C38"/>
    <w:rsid w:val="00147D6F"/>
    <w:rsid w:val="001509A7"/>
    <w:rsid w:val="00150C2E"/>
    <w:rsid w:val="00151F7C"/>
    <w:rsid w:val="00152CA6"/>
    <w:rsid w:val="00153338"/>
    <w:rsid w:val="00153486"/>
    <w:rsid w:val="00154F3F"/>
    <w:rsid w:val="00156A9B"/>
    <w:rsid w:val="001617C6"/>
    <w:rsid w:val="00161949"/>
    <w:rsid w:val="00165031"/>
    <w:rsid w:val="0016540C"/>
    <w:rsid w:val="001674F6"/>
    <w:rsid w:val="00170A4F"/>
    <w:rsid w:val="00171B3A"/>
    <w:rsid w:val="00171DE3"/>
    <w:rsid w:val="00173E9E"/>
    <w:rsid w:val="0017408A"/>
    <w:rsid w:val="00177B2C"/>
    <w:rsid w:val="00180738"/>
    <w:rsid w:val="0018096F"/>
    <w:rsid w:val="00180A34"/>
    <w:rsid w:val="00180D71"/>
    <w:rsid w:val="00181456"/>
    <w:rsid w:val="00181EC0"/>
    <w:rsid w:val="0018391E"/>
    <w:rsid w:val="00184322"/>
    <w:rsid w:val="00185309"/>
    <w:rsid w:val="00186A0F"/>
    <w:rsid w:val="00186C06"/>
    <w:rsid w:val="00190F79"/>
    <w:rsid w:val="001927FC"/>
    <w:rsid w:val="001930DE"/>
    <w:rsid w:val="00193B24"/>
    <w:rsid w:val="00193D67"/>
    <w:rsid w:val="00195F25"/>
    <w:rsid w:val="00196208"/>
    <w:rsid w:val="001A0A5E"/>
    <w:rsid w:val="001A2321"/>
    <w:rsid w:val="001A2D0D"/>
    <w:rsid w:val="001A3F08"/>
    <w:rsid w:val="001A443F"/>
    <w:rsid w:val="001A5857"/>
    <w:rsid w:val="001A5E0C"/>
    <w:rsid w:val="001A5FE1"/>
    <w:rsid w:val="001A7F45"/>
    <w:rsid w:val="001B00CD"/>
    <w:rsid w:val="001B0AD3"/>
    <w:rsid w:val="001B0AE9"/>
    <w:rsid w:val="001B0BB1"/>
    <w:rsid w:val="001B0DAD"/>
    <w:rsid w:val="001B1746"/>
    <w:rsid w:val="001B34D0"/>
    <w:rsid w:val="001B38D6"/>
    <w:rsid w:val="001B6A09"/>
    <w:rsid w:val="001C0DC5"/>
    <w:rsid w:val="001C356D"/>
    <w:rsid w:val="001C3F16"/>
    <w:rsid w:val="001C4715"/>
    <w:rsid w:val="001C541F"/>
    <w:rsid w:val="001C6190"/>
    <w:rsid w:val="001C7DA1"/>
    <w:rsid w:val="001D0F2A"/>
    <w:rsid w:val="001D13BA"/>
    <w:rsid w:val="001D1EC7"/>
    <w:rsid w:val="001D23EC"/>
    <w:rsid w:val="001D261C"/>
    <w:rsid w:val="001D315D"/>
    <w:rsid w:val="001D420A"/>
    <w:rsid w:val="001D479B"/>
    <w:rsid w:val="001D5820"/>
    <w:rsid w:val="001D5F25"/>
    <w:rsid w:val="001D758F"/>
    <w:rsid w:val="001E0D6D"/>
    <w:rsid w:val="001E2E6D"/>
    <w:rsid w:val="001E6FC4"/>
    <w:rsid w:val="001F23B0"/>
    <w:rsid w:val="001F477A"/>
    <w:rsid w:val="001F4F99"/>
    <w:rsid w:val="001F4F9E"/>
    <w:rsid w:val="001F5DD2"/>
    <w:rsid w:val="001F77B9"/>
    <w:rsid w:val="001F7B37"/>
    <w:rsid w:val="002018E8"/>
    <w:rsid w:val="00201C37"/>
    <w:rsid w:val="00202B2A"/>
    <w:rsid w:val="00202D8E"/>
    <w:rsid w:val="00204065"/>
    <w:rsid w:val="0020458F"/>
    <w:rsid w:val="00207984"/>
    <w:rsid w:val="002103A5"/>
    <w:rsid w:val="00210EB6"/>
    <w:rsid w:val="00211146"/>
    <w:rsid w:val="002125C9"/>
    <w:rsid w:val="00212A68"/>
    <w:rsid w:val="00214265"/>
    <w:rsid w:val="002149BB"/>
    <w:rsid w:val="0021557D"/>
    <w:rsid w:val="002157C1"/>
    <w:rsid w:val="00216397"/>
    <w:rsid w:val="002175BB"/>
    <w:rsid w:val="00220A84"/>
    <w:rsid w:val="00220DF1"/>
    <w:rsid w:val="002219D5"/>
    <w:rsid w:val="00221BBB"/>
    <w:rsid w:val="002234CA"/>
    <w:rsid w:val="00223BD4"/>
    <w:rsid w:val="00227586"/>
    <w:rsid w:val="002275BB"/>
    <w:rsid w:val="00231E55"/>
    <w:rsid w:val="002321AC"/>
    <w:rsid w:val="00232B9C"/>
    <w:rsid w:val="002339B4"/>
    <w:rsid w:val="0023459D"/>
    <w:rsid w:val="00235C8E"/>
    <w:rsid w:val="00236501"/>
    <w:rsid w:val="00237326"/>
    <w:rsid w:val="00241A4C"/>
    <w:rsid w:val="00241EEC"/>
    <w:rsid w:val="002423E2"/>
    <w:rsid w:val="00242972"/>
    <w:rsid w:val="00242978"/>
    <w:rsid w:val="00242C09"/>
    <w:rsid w:val="0024331E"/>
    <w:rsid w:val="002434C4"/>
    <w:rsid w:val="00245254"/>
    <w:rsid w:val="00246790"/>
    <w:rsid w:val="00246CA5"/>
    <w:rsid w:val="00246DFD"/>
    <w:rsid w:val="00247571"/>
    <w:rsid w:val="00247BA8"/>
    <w:rsid w:val="0025098F"/>
    <w:rsid w:val="002511E8"/>
    <w:rsid w:val="002512E1"/>
    <w:rsid w:val="00252019"/>
    <w:rsid w:val="00253BE3"/>
    <w:rsid w:val="00254CEA"/>
    <w:rsid w:val="002577F4"/>
    <w:rsid w:val="00260375"/>
    <w:rsid w:val="00261DB3"/>
    <w:rsid w:val="00262BFD"/>
    <w:rsid w:val="00265298"/>
    <w:rsid w:val="00265668"/>
    <w:rsid w:val="00265E08"/>
    <w:rsid w:val="00266333"/>
    <w:rsid w:val="00267015"/>
    <w:rsid w:val="00267405"/>
    <w:rsid w:val="002675F2"/>
    <w:rsid w:val="00270401"/>
    <w:rsid w:val="00272DC8"/>
    <w:rsid w:val="00273520"/>
    <w:rsid w:val="00274DEE"/>
    <w:rsid w:val="00277E1E"/>
    <w:rsid w:val="002810D1"/>
    <w:rsid w:val="0028164F"/>
    <w:rsid w:val="00282032"/>
    <w:rsid w:val="00284BBC"/>
    <w:rsid w:val="00284D3B"/>
    <w:rsid w:val="0029157C"/>
    <w:rsid w:val="00293A02"/>
    <w:rsid w:val="0029452C"/>
    <w:rsid w:val="00294B88"/>
    <w:rsid w:val="0029702E"/>
    <w:rsid w:val="00297560"/>
    <w:rsid w:val="00297BBD"/>
    <w:rsid w:val="00297D74"/>
    <w:rsid w:val="002A02E9"/>
    <w:rsid w:val="002A201A"/>
    <w:rsid w:val="002A264C"/>
    <w:rsid w:val="002A4412"/>
    <w:rsid w:val="002B0C29"/>
    <w:rsid w:val="002B2107"/>
    <w:rsid w:val="002B2DDF"/>
    <w:rsid w:val="002B3387"/>
    <w:rsid w:val="002B353D"/>
    <w:rsid w:val="002B3C1A"/>
    <w:rsid w:val="002B6935"/>
    <w:rsid w:val="002B73D9"/>
    <w:rsid w:val="002B7FA0"/>
    <w:rsid w:val="002C2826"/>
    <w:rsid w:val="002C386E"/>
    <w:rsid w:val="002C4672"/>
    <w:rsid w:val="002C57E0"/>
    <w:rsid w:val="002C5813"/>
    <w:rsid w:val="002C5F4A"/>
    <w:rsid w:val="002C6537"/>
    <w:rsid w:val="002C7621"/>
    <w:rsid w:val="002D0F80"/>
    <w:rsid w:val="002D19C3"/>
    <w:rsid w:val="002D365A"/>
    <w:rsid w:val="002D6A47"/>
    <w:rsid w:val="002D73AB"/>
    <w:rsid w:val="002E16D9"/>
    <w:rsid w:val="002E16E3"/>
    <w:rsid w:val="002E1A15"/>
    <w:rsid w:val="002E1BAB"/>
    <w:rsid w:val="002E275B"/>
    <w:rsid w:val="002E27F7"/>
    <w:rsid w:val="002E28E3"/>
    <w:rsid w:val="002E301F"/>
    <w:rsid w:val="002E328D"/>
    <w:rsid w:val="002E3748"/>
    <w:rsid w:val="002E37B8"/>
    <w:rsid w:val="002E438B"/>
    <w:rsid w:val="002E56D6"/>
    <w:rsid w:val="002E6C34"/>
    <w:rsid w:val="002F0164"/>
    <w:rsid w:val="002F137E"/>
    <w:rsid w:val="002F1B31"/>
    <w:rsid w:val="002F23E7"/>
    <w:rsid w:val="002F3464"/>
    <w:rsid w:val="002F5BFE"/>
    <w:rsid w:val="0030238C"/>
    <w:rsid w:val="00302BE6"/>
    <w:rsid w:val="00303AE4"/>
    <w:rsid w:val="00304567"/>
    <w:rsid w:val="00305039"/>
    <w:rsid w:val="00305832"/>
    <w:rsid w:val="003067F0"/>
    <w:rsid w:val="00306B6D"/>
    <w:rsid w:val="003114C4"/>
    <w:rsid w:val="003117EE"/>
    <w:rsid w:val="00313576"/>
    <w:rsid w:val="00313CBB"/>
    <w:rsid w:val="003155B0"/>
    <w:rsid w:val="00315A3F"/>
    <w:rsid w:val="00316BB0"/>
    <w:rsid w:val="0031708F"/>
    <w:rsid w:val="003174EC"/>
    <w:rsid w:val="00317850"/>
    <w:rsid w:val="00320F69"/>
    <w:rsid w:val="00323AD2"/>
    <w:rsid w:val="00323F00"/>
    <w:rsid w:val="00324158"/>
    <w:rsid w:val="00324F9C"/>
    <w:rsid w:val="00326B8A"/>
    <w:rsid w:val="003273EE"/>
    <w:rsid w:val="003314ED"/>
    <w:rsid w:val="003317B0"/>
    <w:rsid w:val="00331B39"/>
    <w:rsid w:val="0033257B"/>
    <w:rsid w:val="00332C60"/>
    <w:rsid w:val="00335D1F"/>
    <w:rsid w:val="00335DEA"/>
    <w:rsid w:val="00337EC9"/>
    <w:rsid w:val="00340EC0"/>
    <w:rsid w:val="003414B8"/>
    <w:rsid w:val="00341FF6"/>
    <w:rsid w:val="0034434D"/>
    <w:rsid w:val="00344EB0"/>
    <w:rsid w:val="0034691C"/>
    <w:rsid w:val="00347FA9"/>
    <w:rsid w:val="003504D1"/>
    <w:rsid w:val="0035098E"/>
    <w:rsid w:val="00351F8D"/>
    <w:rsid w:val="003520A6"/>
    <w:rsid w:val="00352997"/>
    <w:rsid w:val="00352B85"/>
    <w:rsid w:val="00354932"/>
    <w:rsid w:val="0035575E"/>
    <w:rsid w:val="00355B5B"/>
    <w:rsid w:val="003561EA"/>
    <w:rsid w:val="00357DC1"/>
    <w:rsid w:val="003601F1"/>
    <w:rsid w:val="003604B7"/>
    <w:rsid w:val="00360A46"/>
    <w:rsid w:val="00360F35"/>
    <w:rsid w:val="0036108A"/>
    <w:rsid w:val="00362FAD"/>
    <w:rsid w:val="003630B4"/>
    <w:rsid w:val="003633D5"/>
    <w:rsid w:val="003652AC"/>
    <w:rsid w:val="00365C85"/>
    <w:rsid w:val="00367333"/>
    <w:rsid w:val="003676F6"/>
    <w:rsid w:val="00367B81"/>
    <w:rsid w:val="00370D91"/>
    <w:rsid w:val="00371018"/>
    <w:rsid w:val="00372994"/>
    <w:rsid w:val="00373741"/>
    <w:rsid w:val="00373B8E"/>
    <w:rsid w:val="00374D1E"/>
    <w:rsid w:val="003750F2"/>
    <w:rsid w:val="00377D22"/>
    <w:rsid w:val="003802C3"/>
    <w:rsid w:val="00381078"/>
    <w:rsid w:val="003832B4"/>
    <w:rsid w:val="00383A89"/>
    <w:rsid w:val="00384000"/>
    <w:rsid w:val="003853B3"/>
    <w:rsid w:val="00385522"/>
    <w:rsid w:val="00385FA4"/>
    <w:rsid w:val="0038700D"/>
    <w:rsid w:val="00390932"/>
    <w:rsid w:val="003911EC"/>
    <w:rsid w:val="00392EB0"/>
    <w:rsid w:val="00394534"/>
    <w:rsid w:val="003952B3"/>
    <w:rsid w:val="0039762D"/>
    <w:rsid w:val="00397D45"/>
    <w:rsid w:val="00397F11"/>
    <w:rsid w:val="003A18EE"/>
    <w:rsid w:val="003A2259"/>
    <w:rsid w:val="003A2503"/>
    <w:rsid w:val="003A4B9C"/>
    <w:rsid w:val="003A56ED"/>
    <w:rsid w:val="003A70A8"/>
    <w:rsid w:val="003A73DF"/>
    <w:rsid w:val="003A789E"/>
    <w:rsid w:val="003A7EFA"/>
    <w:rsid w:val="003B1ADA"/>
    <w:rsid w:val="003B2B9A"/>
    <w:rsid w:val="003B35D6"/>
    <w:rsid w:val="003B470D"/>
    <w:rsid w:val="003B5230"/>
    <w:rsid w:val="003B525E"/>
    <w:rsid w:val="003B5480"/>
    <w:rsid w:val="003B5CD6"/>
    <w:rsid w:val="003B6F31"/>
    <w:rsid w:val="003B785B"/>
    <w:rsid w:val="003B7CE9"/>
    <w:rsid w:val="003C0615"/>
    <w:rsid w:val="003C134F"/>
    <w:rsid w:val="003C289B"/>
    <w:rsid w:val="003C2C4D"/>
    <w:rsid w:val="003C6043"/>
    <w:rsid w:val="003C723F"/>
    <w:rsid w:val="003D1402"/>
    <w:rsid w:val="003D2962"/>
    <w:rsid w:val="003D2FCB"/>
    <w:rsid w:val="003D34B3"/>
    <w:rsid w:val="003D54AD"/>
    <w:rsid w:val="003D579C"/>
    <w:rsid w:val="003D6752"/>
    <w:rsid w:val="003E4FEF"/>
    <w:rsid w:val="003E6058"/>
    <w:rsid w:val="003E631E"/>
    <w:rsid w:val="003E7D99"/>
    <w:rsid w:val="003E7F32"/>
    <w:rsid w:val="003F04E4"/>
    <w:rsid w:val="003F10F7"/>
    <w:rsid w:val="003F22B5"/>
    <w:rsid w:val="003F263E"/>
    <w:rsid w:val="003F30B3"/>
    <w:rsid w:val="003F390F"/>
    <w:rsid w:val="003F3999"/>
    <w:rsid w:val="003F6265"/>
    <w:rsid w:val="004007C9"/>
    <w:rsid w:val="00401374"/>
    <w:rsid w:val="00402077"/>
    <w:rsid w:val="004049D8"/>
    <w:rsid w:val="00405C9D"/>
    <w:rsid w:val="00405FB5"/>
    <w:rsid w:val="004064E6"/>
    <w:rsid w:val="004066BC"/>
    <w:rsid w:val="004066E4"/>
    <w:rsid w:val="0040677A"/>
    <w:rsid w:val="00407791"/>
    <w:rsid w:val="0041057F"/>
    <w:rsid w:val="00411584"/>
    <w:rsid w:val="00412771"/>
    <w:rsid w:val="004135B9"/>
    <w:rsid w:val="00413C1A"/>
    <w:rsid w:val="00413F0C"/>
    <w:rsid w:val="00414448"/>
    <w:rsid w:val="004149D2"/>
    <w:rsid w:val="00417F6D"/>
    <w:rsid w:val="00420272"/>
    <w:rsid w:val="004217D3"/>
    <w:rsid w:val="00421B07"/>
    <w:rsid w:val="004232F2"/>
    <w:rsid w:val="00423464"/>
    <w:rsid w:val="00424BDA"/>
    <w:rsid w:val="0042536A"/>
    <w:rsid w:val="00426C88"/>
    <w:rsid w:val="00426DB7"/>
    <w:rsid w:val="00430558"/>
    <w:rsid w:val="00430F51"/>
    <w:rsid w:val="004312AC"/>
    <w:rsid w:val="004317CA"/>
    <w:rsid w:val="0043281D"/>
    <w:rsid w:val="004328AB"/>
    <w:rsid w:val="00433008"/>
    <w:rsid w:val="00433389"/>
    <w:rsid w:val="00435B66"/>
    <w:rsid w:val="00440F62"/>
    <w:rsid w:val="004426F3"/>
    <w:rsid w:val="00444821"/>
    <w:rsid w:val="0044594A"/>
    <w:rsid w:val="00445FAB"/>
    <w:rsid w:val="00446F66"/>
    <w:rsid w:val="004477B7"/>
    <w:rsid w:val="00447ED6"/>
    <w:rsid w:val="00447F26"/>
    <w:rsid w:val="0045143B"/>
    <w:rsid w:val="00451D0E"/>
    <w:rsid w:val="00454890"/>
    <w:rsid w:val="00454AC8"/>
    <w:rsid w:val="00456264"/>
    <w:rsid w:val="004563F1"/>
    <w:rsid w:val="0046075D"/>
    <w:rsid w:val="004619DA"/>
    <w:rsid w:val="00465164"/>
    <w:rsid w:val="00465241"/>
    <w:rsid w:val="00465F51"/>
    <w:rsid w:val="00467B2E"/>
    <w:rsid w:val="00470AEA"/>
    <w:rsid w:val="00471F38"/>
    <w:rsid w:val="00472FF6"/>
    <w:rsid w:val="0047455C"/>
    <w:rsid w:val="0047482E"/>
    <w:rsid w:val="00474D44"/>
    <w:rsid w:val="00477AD3"/>
    <w:rsid w:val="00480B42"/>
    <w:rsid w:val="0048112F"/>
    <w:rsid w:val="0048123F"/>
    <w:rsid w:val="00482253"/>
    <w:rsid w:val="004827B1"/>
    <w:rsid w:val="00484836"/>
    <w:rsid w:val="0048683E"/>
    <w:rsid w:val="00486DE9"/>
    <w:rsid w:val="00486F0B"/>
    <w:rsid w:val="00487BD3"/>
    <w:rsid w:val="004908CE"/>
    <w:rsid w:val="00490EFF"/>
    <w:rsid w:val="004912F2"/>
    <w:rsid w:val="00492DE4"/>
    <w:rsid w:val="00494E1F"/>
    <w:rsid w:val="00494FCA"/>
    <w:rsid w:val="00495A4A"/>
    <w:rsid w:val="004961BA"/>
    <w:rsid w:val="004A21C3"/>
    <w:rsid w:val="004A28F8"/>
    <w:rsid w:val="004A38A6"/>
    <w:rsid w:val="004A5E06"/>
    <w:rsid w:val="004A7985"/>
    <w:rsid w:val="004B126C"/>
    <w:rsid w:val="004B1477"/>
    <w:rsid w:val="004B3D80"/>
    <w:rsid w:val="004B4537"/>
    <w:rsid w:val="004B73A7"/>
    <w:rsid w:val="004C1691"/>
    <w:rsid w:val="004C2221"/>
    <w:rsid w:val="004C23C8"/>
    <w:rsid w:val="004C31E9"/>
    <w:rsid w:val="004C3AD6"/>
    <w:rsid w:val="004C3D9D"/>
    <w:rsid w:val="004C51C1"/>
    <w:rsid w:val="004C714C"/>
    <w:rsid w:val="004C74BD"/>
    <w:rsid w:val="004D0081"/>
    <w:rsid w:val="004D1234"/>
    <w:rsid w:val="004D1C37"/>
    <w:rsid w:val="004D24EC"/>
    <w:rsid w:val="004D3017"/>
    <w:rsid w:val="004D430B"/>
    <w:rsid w:val="004D7718"/>
    <w:rsid w:val="004E05C8"/>
    <w:rsid w:val="004E1B07"/>
    <w:rsid w:val="004E1E55"/>
    <w:rsid w:val="004E23B3"/>
    <w:rsid w:val="004E4106"/>
    <w:rsid w:val="004E49E4"/>
    <w:rsid w:val="004E4F18"/>
    <w:rsid w:val="004E5E72"/>
    <w:rsid w:val="004E5E84"/>
    <w:rsid w:val="004E7325"/>
    <w:rsid w:val="004F0890"/>
    <w:rsid w:val="004F3DE2"/>
    <w:rsid w:val="004F47DD"/>
    <w:rsid w:val="004F48C9"/>
    <w:rsid w:val="004F5849"/>
    <w:rsid w:val="004F5D18"/>
    <w:rsid w:val="004F5DFD"/>
    <w:rsid w:val="004F6ABC"/>
    <w:rsid w:val="00500A72"/>
    <w:rsid w:val="00500B0A"/>
    <w:rsid w:val="00502E22"/>
    <w:rsid w:val="005044A3"/>
    <w:rsid w:val="00504F9B"/>
    <w:rsid w:val="0050507B"/>
    <w:rsid w:val="00505A45"/>
    <w:rsid w:val="00507583"/>
    <w:rsid w:val="00511FB5"/>
    <w:rsid w:val="005149BA"/>
    <w:rsid w:val="00514A2B"/>
    <w:rsid w:val="00514BE8"/>
    <w:rsid w:val="00514BFD"/>
    <w:rsid w:val="00515ED1"/>
    <w:rsid w:val="00516143"/>
    <w:rsid w:val="0051617A"/>
    <w:rsid w:val="00516B18"/>
    <w:rsid w:val="005178B1"/>
    <w:rsid w:val="005206AD"/>
    <w:rsid w:val="00520993"/>
    <w:rsid w:val="00520B6D"/>
    <w:rsid w:val="005221FD"/>
    <w:rsid w:val="005229F8"/>
    <w:rsid w:val="005238F0"/>
    <w:rsid w:val="00525387"/>
    <w:rsid w:val="00526EE8"/>
    <w:rsid w:val="005306F5"/>
    <w:rsid w:val="0053183D"/>
    <w:rsid w:val="00531868"/>
    <w:rsid w:val="00531E60"/>
    <w:rsid w:val="00532045"/>
    <w:rsid w:val="005333A6"/>
    <w:rsid w:val="00533D8F"/>
    <w:rsid w:val="005346C1"/>
    <w:rsid w:val="00534DED"/>
    <w:rsid w:val="005367A3"/>
    <w:rsid w:val="00536DFA"/>
    <w:rsid w:val="00536E6E"/>
    <w:rsid w:val="00537078"/>
    <w:rsid w:val="005408A7"/>
    <w:rsid w:val="0054145C"/>
    <w:rsid w:val="0054229C"/>
    <w:rsid w:val="00542641"/>
    <w:rsid w:val="0054358E"/>
    <w:rsid w:val="00544553"/>
    <w:rsid w:val="005447E1"/>
    <w:rsid w:val="00547122"/>
    <w:rsid w:val="0054726B"/>
    <w:rsid w:val="005473D4"/>
    <w:rsid w:val="00547880"/>
    <w:rsid w:val="00550F9D"/>
    <w:rsid w:val="005510A6"/>
    <w:rsid w:val="00553002"/>
    <w:rsid w:val="00553079"/>
    <w:rsid w:val="00553E86"/>
    <w:rsid w:val="00553FE0"/>
    <w:rsid w:val="00554F78"/>
    <w:rsid w:val="0055518B"/>
    <w:rsid w:val="0055772C"/>
    <w:rsid w:val="00561BD6"/>
    <w:rsid w:val="00561FBB"/>
    <w:rsid w:val="0056254E"/>
    <w:rsid w:val="005639E6"/>
    <w:rsid w:val="00564162"/>
    <w:rsid w:val="005645BA"/>
    <w:rsid w:val="005651B7"/>
    <w:rsid w:val="00565319"/>
    <w:rsid w:val="005678E3"/>
    <w:rsid w:val="00567D42"/>
    <w:rsid w:val="00572158"/>
    <w:rsid w:val="0057236F"/>
    <w:rsid w:val="00572D58"/>
    <w:rsid w:val="005732ED"/>
    <w:rsid w:val="00574531"/>
    <w:rsid w:val="00575052"/>
    <w:rsid w:val="00576157"/>
    <w:rsid w:val="005763DF"/>
    <w:rsid w:val="00576DC1"/>
    <w:rsid w:val="00577287"/>
    <w:rsid w:val="00580247"/>
    <w:rsid w:val="00580295"/>
    <w:rsid w:val="00581884"/>
    <w:rsid w:val="00582712"/>
    <w:rsid w:val="005832F3"/>
    <w:rsid w:val="00583459"/>
    <w:rsid w:val="0058498F"/>
    <w:rsid w:val="0058542D"/>
    <w:rsid w:val="005858F2"/>
    <w:rsid w:val="00586707"/>
    <w:rsid w:val="00586DF7"/>
    <w:rsid w:val="00587D95"/>
    <w:rsid w:val="00590540"/>
    <w:rsid w:val="00590A46"/>
    <w:rsid w:val="005914BC"/>
    <w:rsid w:val="00591F93"/>
    <w:rsid w:val="0059328D"/>
    <w:rsid w:val="00594B4A"/>
    <w:rsid w:val="00596060"/>
    <w:rsid w:val="005A0377"/>
    <w:rsid w:val="005A3666"/>
    <w:rsid w:val="005A476D"/>
    <w:rsid w:val="005A4960"/>
    <w:rsid w:val="005A7251"/>
    <w:rsid w:val="005A72E2"/>
    <w:rsid w:val="005A7CAF"/>
    <w:rsid w:val="005A7DBB"/>
    <w:rsid w:val="005B0536"/>
    <w:rsid w:val="005B0639"/>
    <w:rsid w:val="005B06ED"/>
    <w:rsid w:val="005B0F38"/>
    <w:rsid w:val="005B1E6A"/>
    <w:rsid w:val="005B26C2"/>
    <w:rsid w:val="005B3D23"/>
    <w:rsid w:val="005B45D1"/>
    <w:rsid w:val="005B6296"/>
    <w:rsid w:val="005B65A1"/>
    <w:rsid w:val="005B7980"/>
    <w:rsid w:val="005C1B80"/>
    <w:rsid w:val="005C35AE"/>
    <w:rsid w:val="005C49FB"/>
    <w:rsid w:val="005C6416"/>
    <w:rsid w:val="005C6761"/>
    <w:rsid w:val="005C6EB6"/>
    <w:rsid w:val="005D00B5"/>
    <w:rsid w:val="005D2DD4"/>
    <w:rsid w:val="005D42AB"/>
    <w:rsid w:val="005D4D9F"/>
    <w:rsid w:val="005D50D7"/>
    <w:rsid w:val="005D5167"/>
    <w:rsid w:val="005D632B"/>
    <w:rsid w:val="005D68DA"/>
    <w:rsid w:val="005D6C29"/>
    <w:rsid w:val="005D6C3D"/>
    <w:rsid w:val="005D6FDE"/>
    <w:rsid w:val="005D71DB"/>
    <w:rsid w:val="005D7329"/>
    <w:rsid w:val="005E06A6"/>
    <w:rsid w:val="005E113C"/>
    <w:rsid w:val="005E144A"/>
    <w:rsid w:val="005E22A2"/>
    <w:rsid w:val="005E2869"/>
    <w:rsid w:val="005E3491"/>
    <w:rsid w:val="005E3E02"/>
    <w:rsid w:val="005E5F06"/>
    <w:rsid w:val="005E7321"/>
    <w:rsid w:val="005E7CDB"/>
    <w:rsid w:val="005F03B8"/>
    <w:rsid w:val="005F0D01"/>
    <w:rsid w:val="005F1428"/>
    <w:rsid w:val="005F2DB3"/>
    <w:rsid w:val="005F3EDB"/>
    <w:rsid w:val="005F497A"/>
    <w:rsid w:val="005F49FE"/>
    <w:rsid w:val="005F4D83"/>
    <w:rsid w:val="005F5F9E"/>
    <w:rsid w:val="00601E88"/>
    <w:rsid w:val="00603139"/>
    <w:rsid w:val="00604201"/>
    <w:rsid w:val="00605791"/>
    <w:rsid w:val="0060772D"/>
    <w:rsid w:val="006077C3"/>
    <w:rsid w:val="006125DA"/>
    <w:rsid w:val="0061264E"/>
    <w:rsid w:val="00613431"/>
    <w:rsid w:val="00613929"/>
    <w:rsid w:val="00613BA1"/>
    <w:rsid w:val="00613D47"/>
    <w:rsid w:val="00613F2E"/>
    <w:rsid w:val="0061464E"/>
    <w:rsid w:val="00614D1A"/>
    <w:rsid w:val="0061680F"/>
    <w:rsid w:val="00616D1F"/>
    <w:rsid w:val="0061707D"/>
    <w:rsid w:val="006172D6"/>
    <w:rsid w:val="00617381"/>
    <w:rsid w:val="00621245"/>
    <w:rsid w:val="00621335"/>
    <w:rsid w:val="00623511"/>
    <w:rsid w:val="0062482E"/>
    <w:rsid w:val="00625D9F"/>
    <w:rsid w:val="0062612D"/>
    <w:rsid w:val="006268C3"/>
    <w:rsid w:val="00626908"/>
    <w:rsid w:val="00626FF7"/>
    <w:rsid w:val="00627068"/>
    <w:rsid w:val="006272F3"/>
    <w:rsid w:val="00627E74"/>
    <w:rsid w:val="006339BF"/>
    <w:rsid w:val="00634671"/>
    <w:rsid w:val="00634BF6"/>
    <w:rsid w:val="006358CD"/>
    <w:rsid w:val="00635D9A"/>
    <w:rsid w:val="00636530"/>
    <w:rsid w:val="006374B9"/>
    <w:rsid w:val="00637C3F"/>
    <w:rsid w:val="00640C92"/>
    <w:rsid w:val="00642121"/>
    <w:rsid w:val="00643873"/>
    <w:rsid w:val="00644049"/>
    <w:rsid w:val="00644A3B"/>
    <w:rsid w:val="00644B3E"/>
    <w:rsid w:val="0064622B"/>
    <w:rsid w:val="0064704D"/>
    <w:rsid w:val="00647555"/>
    <w:rsid w:val="0065076C"/>
    <w:rsid w:val="00650BB8"/>
    <w:rsid w:val="006534A3"/>
    <w:rsid w:val="00653AF3"/>
    <w:rsid w:val="006550CE"/>
    <w:rsid w:val="006566A6"/>
    <w:rsid w:val="0065673C"/>
    <w:rsid w:val="00656B98"/>
    <w:rsid w:val="0065789E"/>
    <w:rsid w:val="00660FF7"/>
    <w:rsid w:val="006625C8"/>
    <w:rsid w:val="00662BB4"/>
    <w:rsid w:val="00663165"/>
    <w:rsid w:val="00663C06"/>
    <w:rsid w:val="00663D41"/>
    <w:rsid w:val="006644B2"/>
    <w:rsid w:val="006648D4"/>
    <w:rsid w:val="00664C36"/>
    <w:rsid w:val="006650A5"/>
    <w:rsid w:val="006657B2"/>
    <w:rsid w:val="006721CC"/>
    <w:rsid w:val="006731A7"/>
    <w:rsid w:val="00673283"/>
    <w:rsid w:val="006733A1"/>
    <w:rsid w:val="006735E6"/>
    <w:rsid w:val="00674547"/>
    <w:rsid w:val="0067514B"/>
    <w:rsid w:val="00677C8D"/>
    <w:rsid w:val="00680927"/>
    <w:rsid w:val="00681B6D"/>
    <w:rsid w:val="00682B3C"/>
    <w:rsid w:val="006837C5"/>
    <w:rsid w:val="006852D2"/>
    <w:rsid w:val="00686120"/>
    <w:rsid w:val="006863DB"/>
    <w:rsid w:val="006867E6"/>
    <w:rsid w:val="00687088"/>
    <w:rsid w:val="00687B26"/>
    <w:rsid w:val="00687D3A"/>
    <w:rsid w:val="00690BD0"/>
    <w:rsid w:val="006914C8"/>
    <w:rsid w:val="00691973"/>
    <w:rsid w:val="006921B6"/>
    <w:rsid w:val="006955FD"/>
    <w:rsid w:val="00695674"/>
    <w:rsid w:val="006A1566"/>
    <w:rsid w:val="006A17FA"/>
    <w:rsid w:val="006A1ADD"/>
    <w:rsid w:val="006A3001"/>
    <w:rsid w:val="006A30DF"/>
    <w:rsid w:val="006A6505"/>
    <w:rsid w:val="006A65F8"/>
    <w:rsid w:val="006A69D4"/>
    <w:rsid w:val="006B0162"/>
    <w:rsid w:val="006B0EB5"/>
    <w:rsid w:val="006B1739"/>
    <w:rsid w:val="006B1B85"/>
    <w:rsid w:val="006B2171"/>
    <w:rsid w:val="006B444C"/>
    <w:rsid w:val="006B5EC5"/>
    <w:rsid w:val="006B734D"/>
    <w:rsid w:val="006B7E99"/>
    <w:rsid w:val="006C02C0"/>
    <w:rsid w:val="006C2AB7"/>
    <w:rsid w:val="006C2E4E"/>
    <w:rsid w:val="006C3FE4"/>
    <w:rsid w:val="006C4026"/>
    <w:rsid w:val="006C61CD"/>
    <w:rsid w:val="006C65D5"/>
    <w:rsid w:val="006C681C"/>
    <w:rsid w:val="006C7641"/>
    <w:rsid w:val="006D0246"/>
    <w:rsid w:val="006D41BF"/>
    <w:rsid w:val="006D6332"/>
    <w:rsid w:val="006D64DF"/>
    <w:rsid w:val="006D6D00"/>
    <w:rsid w:val="006D7827"/>
    <w:rsid w:val="006D7FE9"/>
    <w:rsid w:val="006E0E56"/>
    <w:rsid w:val="006E11DC"/>
    <w:rsid w:val="006E254F"/>
    <w:rsid w:val="006E25CC"/>
    <w:rsid w:val="006E2AE2"/>
    <w:rsid w:val="006E2BB0"/>
    <w:rsid w:val="006E316E"/>
    <w:rsid w:val="006E40BA"/>
    <w:rsid w:val="006E4238"/>
    <w:rsid w:val="006E51F2"/>
    <w:rsid w:val="006E66D5"/>
    <w:rsid w:val="006F615D"/>
    <w:rsid w:val="006F66C5"/>
    <w:rsid w:val="006F6C69"/>
    <w:rsid w:val="006F7DED"/>
    <w:rsid w:val="00700FCB"/>
    <w:rsid w:val="0070206E"/>
    <w:rsid w:val="007029A9"/>
    <w:rsid w:val="00703F22"/>
    <w:rsid w:val="0070462D"/>
    <w:rsid w:val="00704C8D"/>
    <w:rsid w:val="00707118"/>
    <w:rsid w:val="007078EC"/>
    <w:rsid w:val="00710177"/>
    <w:rsid w:val="007106E8"/>
    <w:rsid w:val="00711E78"/>
    <w:rsid w:val="007129DE"/>
    <w:rsid w:val="007131A6"/>
    <w:rsid w:val="0071410D"/>
    <w:rsid w:val="007149D9"/>
    <w:rsid w:val="00714B15"/>
    <w:rsid w:val="00714FCC"/>
    <w:rsid w:val="00715890"/>
    <w:rsid w:val="00715958"/>
    <w:rsid w:val="00717DA4"/>
    <w:rsid w:val="00720313"/>
    <w:rsid w:val="00720562"/>
    <w:rsid w:val="007213A2"/>
    <w:rsid w:val="00721416"/>
    <w:rsid w:val="00721E32"/>
    <w:rsid w:val="00722001"/>
    <w:rsid w:val="007250AF"/>
    <w:rsid w:val="0072551B"/>
    <w:rsid w:val="007257A4"/>
    <w:rsid w:val="00726405"/>
    <w:rsid w:val="0072688E"/>
    <w:rsid w:val="00727142"/>
    <w:rsid w:val="00727726"/>
    <w:rsid w:val="00727AB3"/>
    <w:rsid w:val="00727DEA"/>
    <w:rsid w:val="00730705"/>
    <w:rsid w:val="00730E2A"/>
    <w:rsid w:val="00730F47"/>
    <w:rsid w:val="007328C8"/>
    <w:rsid w:val="00732982"/>
    <w:rsid w:val="00732997"/>
    <w:rsid w:val="00732D7C"/>
    <w:rsid w:val="00732EDE"/>
    <w:rsid w:val="00734D6F"/>
    <w:rsid w:val="007364C8"/>
    <w:rsid w:val="00736EFE"/>
    <w:rsid w:val="00737947"/>
    <w:rsid w:val="007408A5"/>
    <w:rsid w:val="0074153F"/>
    <w:rsid w:val="00741E9E"/>
    <w:rsid w:val="007423AB"/>
    <w:rsid w:val="007439DE"/>
    <w:rsid w:val="0074599F"/>
    <w:rsid w:val="00745CFB"/>
    <w:rsid w:val="0074664E"/>
    <w:rsid w:val="00746C87"/>
    <w:rsid w:val="00747552"/>
    <w:rsid w:val="00750471"/>
    <w:rsid w:val="00751D76"/>
    <w:rsid w:val="00752306"/>
    <w:rsid w:val="007527BD"/>
    <w:rsid w:val="00752D9C"/>
    <w:rsid w:val="00754BA3"/>
    <w:rsid w:val="00755775"/>
    <w:rsid w:val="00755DBE"/>
    <w:rsid w:val="007563BE"/>
    <w:rsid w:val="007607C4"/>
    <w:rsid w:val="00760A89"/>
    <w:rsid w:val="0076299E"/>
    <w:rsid w:val="00763274"/>
    <w:rsid w:val="007636B1"/>
    <w:rsid w:val="00763D98"/>
    <w:rsid w:val="007642B7"/>
    <w:rsid w:val="00766717"/>
    <w:rsid w:val="00766DF1"/>
    <w:rsid w:val="00766F68"/>
    <w:rsid w:val="00766FD5"/>
    <w:rsid w:val="0076730C"/>
    <w:rsid w:val="00771580"/>
    <w:rsid w:val="00773306"/>
    <w:rsid w:val="007743B9"/>
    <w:rsid w:val="0077529A"/>
    <w:rsid w:val="0077665F"/>
    <w:rsid w:val="00777BAA"/>
    <w:rsid w:val="00777D42"/>
    <w:rsid w:val="00780213"/>
    <w:rsid w:val="007803F5"/>
    <w:rsid w:val="00780466"/>
    <w:rsid w:val="007843A3"/>
    <w:rsid w:val="0078778D"/>
    <w:rsid w:val="0078789E"/>
    <w:rsid w:val="007912F3"/>
    <w:rsid w:val="0079137F"/>
    <w:rsid w:val="00795F32"/>
    <w:rsid w:val="00796CAC"/>
    <w:rsid w:val="0079753C"/>
    <w:rsid w:val="007A0E6C"/>
    <w:rsid w:val="007A1B15"/>
    <w:rsid w:val="007A251A"/>
    <w:rsid w:val="007A6CBF"/>
    <w:rsid w:val="007A7573"/>
    <w:rsid w:val="007B1BBD"/>
    <w:rsid w:val="007B287E"/>
    <w:rsid w:val="007B316C"/>
    <w:rsid w:val="007B3EBA"/>
    <w:rsid w:val="007B5191"/>
    <w:rsid w:val="007C0E35"/>
    <w:rsid w:val="007C0EEB"/>
    <w:rsid w:val="007C14C4"/>
    <w:rsid w:val="007C2090"/>
    <w:rsid w:val="007C2631"/>
    <w:rsid w:val="007C3083"/>
    <w:rsid w:val="007C58E5"/>
    <w:rsid w:val="007C5B91"/>
    <w:rsid w:val="007C6ABE"/>
    <w:rsid w:val="007C7197"/>
    <w:rsid w:val="007D1204"/>
    <w:rsid w:val="007D2D78"/>
    <w:rsid w:val="007D39EF"/>
    <w:rsid w:val="007D3EBB"/>
    <w:rsid w:val="007D3FEF"/>
    <w:rsid w:val="007D4E6A"/>
    <w:rsid w:val="007D4E87"/>
    <w:rsid w:val="007D56BF"/>
    <w:rsid w:val="007D56F1"/>
    <w:rsid w:val="007D5CCF"/>
    <w:rsid w:val="007D6367"/>
    <w:rsid w:val="007D7507"/>
    <w:rsid w:val="007D7BA3"/>
    <w:rsid w:val="007E02DA"/>
    <w:rsid w:val="007E0D64"/>
    <w:rsid w:val="007E41BA"/>
    <w:rsid w:val="007E44E4"/>
    <w:rsid w:val="007E4F85"/>
    <w:rsid w:val="007E6506"/>
    <w:rsid w:val="007E680C"/>
    <w:rsid w:val="007F2F85"/>
    <w:rsid w:val="007F34FC"/>
    <w:rsid w:val="007F4CD9"/>
    <w:rsid w:val="007F5AF7"/>
    <w:rsid w:val="007F6119"/>
    <w:rsid w:val="007F6C72"/>
    <w:rsid w:val="007F7AA6"/>
    <w:rsid w:val="008000E5"/>
    <w:rsid w:val="008004EF"/>
    <w:rsid w:val="0080109B"/>
    <w:rsid w:val="0080266B"/>
    <w:rsid w:val="00802C21"/>
    <w:rsid w:val="00802C2C"/>
    <w:rsid w:val="00802E8D"/>
    <w:rsid w:val="00803C50"/>
    <w:rsid w:val="00804965"/>
    <w:rsid w:val="00805578"/>
    <w:rsid w:val="0080676C"/>
    <w:rsid w:val="0080764B"/>
    <w:rsid w:val="0080780B"/>
    <w:rsid w:val="00810BDD"/>
    <w:rsid w:val="008115FF"/>
    <w:rsid w:val="00811DB5"/>
    <w:rsid w:val="00812676"/>
    <w:rsid w:val="00813226"/>
    <w:rsid w:val="00813E53"/>
    <w:rsid w:val="008157DE"/>
    <w:rsid w:val="00816FEB"/>
    <w:rsid w:val="0081700F"/>
    <w:rsid w:val="0081798F"/>
    <w:rsid w:val="00817F85"/>
    <w:rsid w:val="0082210E"/>
    <w:rsid w:val="0082255F"/>
    <w:rsid w:val="00822FCD"/>
    <w:rsid w:val="00823143"/>
    <w:rsid w:val="0082336D"/>
    <w:rsid w:val="00823E0E"/>
    <w:rsid w:val="00823F90"/>
    <w:rsid w:val="008243AC"/>
    <w:rsid w:val="008248B3"/>
    <w:rsid w:val="00824950"/>
    <w:rsid w:val="0082611E"/>
    <w:rsid w:val="0082765D"/>
    <w:rsid w:val="00827E79"/>
    <w:rsid w:val="0083245D"/>
    <w:rsid w:val="00832AF3"/>
    <w:rsid w:val="0083482B"/>
    <w:rsid w:val="00834A48"/>
    <w:rsid w:val="00834F5A"/>
    <w:rsid w:val="00835BAE"/>
    <w:rsid w:val="0083738C"/>
    <w:rsid w:val="008404CB"/>
    <w:rsid w:val="00841311"/>
    <w:rsid w:val="00841B16"/>
    <w:rsid w:val="0084301F"/>
    <w:rsid w:val="008449D7"/>
    <w:rsid w:val="00845D97"/>
    <w:rsid w:val="00847C9C"/>
    <w:rsid w:val="00850BEF"/>
    <w:rsid w:val="00853BC5"/>
    <w:rsid w:val="00854669"/>
    <w:rsid w:val="008576C9"/>
    <w:rsid w:val="00860F3A"/>
    <w:rsid w:val="00864AB5"/>
    <w:rsid w:val="00866454"/>
    <w:rsid w:val="00866A3A"/>
    <w:rsid w:val="00870693"/>
    <w:rsid w:val="00870DF7"/>
    <w:rsid w:val="0087109B"/>
    <w:rsid w:val="0087134A"/>
    <w:rsid w:val="00871774"/>
    <w:rsid w:val="008751B7"/>
    <w:rsid w:val="008770B8"/>
    <w:rsid w:val="008813F1"/>
    <w:rsid w:val="008816F2"/>
    <w:rsid w:val="008833A7"/>
    <w:rsid w:val="008834A1"/>
    <w:rsid w:val="008836A6"/>
    <w:rsid w:val="008864B2"/>
    <w:rsid w:val="008869B0"/>
    <w:rsid w:val="008870D8"/>
    <w:rsid w:val="008908B7"/>
    <w:rsid w:val="00892684"/>
    <w:rsid w:val="008969E5"/>
    <w:rsid w:val="008977A0"/>
    <w:rsid w:val="008A1344"/>
    <w:rsid w:val="008A1F6E"/>
    <w:rsid w:val="008A300E"/>
    <w:rsid w:val="008A3587"/>
    <w:rsid w:val="008A388F"/>
    <w:rsid w:val="008A39C1"/>
    <w:rsid w:val="008A3CAE"/>
    <w:rsid w:val="008A40A7"/>
    <w:rsid w:val="008A4412"/>
    <w:rsid w:val="008A596D"/>
    <w:rsid w:val="008A5C1C"/>
    <w:rsid w:val="008A7100"/>
    <w:rsid w:val="008A7120"/>
    <w:rsid w:val="008A76AB"/>
    <w:rsid w:val="008A7FE9"/>
    <w:rsid w:val="008B167A"/>
    <w:rsid w:val="008B1F8B"/>
    <w:rsid w:val="008B360C"/>
    <w:rsid w:val="008B37C1"/>
    <w:rsid w:val="008B4061"/>
    <w:rsid w:val="008B4442"/>
    <w:rsid w:val="008B543B"/>
    <w:rsid w:val="008B5485"/>
    <w:rsid w:val="008B7AEF"/>
    <w:rsid w:val="008B7D2E"/>
    <w:rsid w:val="008C0B3D"/>
    <w:rsid w:val="008C1610"/>
    <w:rsid w:val="008C18BA"/>
    <w:rsid w:val="008C35E1"/>
    <w:rsid w:val="008C464C"/>
    <w:rsid w:val="008C6147"/>
    <w:rsid w:val="008C6F41"/>
    <w:rsid w:val="008D0653"/>
    <w:rsid w:val="008D0ACC"/>
    <w:rsid w:val="008D114E"/>
    <w:rsid w:val="008D20CA"/>
    <w:rsid w:val="008D2B49"/>
    <w:rsid w:val="008D47DE"/>
    <w:rsid w:val="008D6DB4"/>
    <w:rsid w:val="008E00F0"/>
    <w:rsid w:val="008E1B5E"/>
    <w:rsid w:val="008E26AF"/>
    <w:rsid w:val="008E2D16"/>
    <w:rsid w:val="008E3D00"/>
    <w:rsid w:val="008E3FAD"/>
    <w:rsid w:val="008E493F"/>
    <w:rsid w:val="008E4D85"/>
    <w:rsid w:val="008E5854"/>
    <w:rsid w:val="008E74AD"/>
    <w:rsid w:val="008E7562"/>
    <w:rsid w:val="008E7F5D"/>
    <w:rsid w:val="008F03B5"/>
    <w:rsid w:val="008F050D"/>
    <w:rsid w:val="008F1400"/>
    <w:rsid w:val="008F2005"/>
    <w:rsid w:val="008F25C7"/>
    <w:rsid w:val="008F31D4"/>
    <w:rsid w:val="008F4E9C"/>
    <w:rsid w:val="008F5AD0"/>
    <w:rsid w:val="00901F2D"/>
    <w:rsid w:val="00903499"/>
    <w:rsid w:val="00903731"/>
    <w:rsid w:val="00903C25"/>
    <w:rsid w:val="009054CE"/>
    <w:rsid w:val="00906514"/>
    <w:rsid w:val="00910BBF"/>
    <w:rsid w:val="009115BC"/>
    <w:rsid w:val="009121DC"/>
    <w:rsid w:val="00913B89"/>
    <w:rsid w:val="00913C0A"/>
    <w:rsid w:val="00913EA4"/>
    <w:rsid w:val="009151AA"/>
    <w:rsid w:val="009157D0"/>
    <w:rsid w:val="00916C3C"/>
    <w:rsid w:val="009206F1"/>
    <w:rsid w:val="0092085C"/>
    <w:rsid w:val="00920CF8"/>
    <w:rsid w:val="00920D16"/>
    <w:rsid w:val="00920E8D"/>
    <w:rsid w:val="009218D5"/>
    <w:rsid w:val="00921D63"/>
    <w:rsid w:val="0092212D"/>
    <w:rsid w:val="0092252C"/>
    <w:rsid w:val="0092283B"/>
    <w:rsid w:val="00922B3A"/>
    <w:rsid w:val="009230D8"/>
    <w:rsid w:val="009234E7"/>
    <w:rsid w:val="00923CFB"/>
    <w:rsid w:val="00923CFE"/>
    <w:rsid w:val="00924138"/>
    <w:rsid w:val="00924A93"/>
    <w:rsid w:val="00925862"/>
    <w:rsid w:val="00926BA1"/>
    <w:rsid w:val="00930428"/>
    <w:rsid w:val="00930EC6"/>
    <w:rsid w:val="009323E5"/>
    <w:rsid w:val="0093242E"/>
    <w:rsid w:val="00932B0D"/>
    <w:rsid w:val="00933181"/>
    <w:rsid w:val="00933B7F"/>
    <w:rsid w:val="009341DD"/>
    <w:rsid w:val="009353B2"/>
    <w:rsid w:val="00935858"/>
    <w:rsid w:val="009414DE"/>
    <w:rsid w:val="00941847"/>
    <w:rsid w:val="00941AA9"/>
    <w:rsid w:val="0094335F"/>
    <w:rsid w:val="00944E7E"/>
    <w:rsid w:val="00945473"/>
    <w:rsid w:val="009460B7"/>
    <w:rsid w:val="00946218"/>
    <w:rsid w:val="009467BD"/>
    <w:rsid w:val="00946EE0"/>
    <w:rsid w:val="00947E33"/>
    <w:rsid w:val="00950F16"/>
    <w:rsid w:val="00952307"/>
    <w:rsid w:val="009529E9"/>
    <w:rsid w:val="009533E5"/>
    <w:rsid w:val="0095612F"/>
    <w:rsid w:val="00956C0B"/>
    <w:rsid w:val="00956EA2"/>
    <w:rsid w:val="0095700E"/>
    <w:rsid w:val="009578CD"/>
    <w:rsid w:val="00960209"/>
    <w:rsid w:val="00960AB0"/>
    <w:rsid w:val="00961902"/>
    <w:rsid w:val="00961C01"/>
    <w:rsid w:val="00962658"/>
    <w:rsid w:val="00963948"/>
    <w:rsid w:val="00963AF4"/>
    <w:rsid w:val="00965638"/>
    <w:rsid w:val="00967528"/>
    <w:rsid w:val="00970EDB"/>
    <w:rsid w:val="00972CC9"/>
    <w:rsid w:val="00972F1D"/>
    <w:rsid w:val="009734EC"/>
    <w:rsid w:val="009772D3"/>
    <w:rsid w:val="009778C0"/>
    <w:rsid w:val="00977B05"/>
    <w:rsid w:val="00980AB1"/>
    <w:rsid w:val="009813F5"/>
    <w:rsid w:val="0098168D"/>
    <w:rsid w:val="0098215E"/>
    <w:rsid w:val="00984083"/>
    <w:rsid w:val="00984B38"/>
    <w:rsid w:val="00985349"/>
    <w:rsid w:val="009853A9"/>
    <w:rsid w:val="00986278"/>
    <w:rsid w:val="00986785"/>
    <w:rsid w:val="00986992"/>
    <w:rsid w:val="00987A9A"/>
    <w:rsid w:val="0099060C"/>
    <w:rsid w:val="00990B32"/>
    <w:rsid w:val="00991602"/>
    <w:rsid w:val="00991D29"/>
    <w:rsid w:val="009922C9"/>
    <w:rsid w:val="0099393C"/>
    <w:rsid w:val="00993B54"/>
    <w:rsid w:val="0099428B"/>
    <w:rsid w:val="0099430E"/>
    <w:rsid w:val="009948C1"/>
    <w:rsid w:val="00995A70"/>
    <w:rsid w:val="00997AC7"/>
    <w:rsid w:val="009A044E"/>
    <w:rsid w:val="009A08CA"/>
    <w:rsid w:val="009A1E90"/>
    <w:rsid w:val="009A28E9"/>
    <w:rsid w:val="009A2E77"/>
    <w:rsid w:val="009A3D21"/>
    <w:rsid w:val="009A5200"/>
    <w:rsid w:val="009A56FC"/>
    <w:rsid w:val="009A5852"/>
    <w:rsid w:val="009A698D"/>
    <w:rsid w:val="009A6AA2"/>
    <w:rsid w:val="009B00D0"/>
    <w:rsid w:val="009B015D"/>
    <w:rsid w:val="009B0248"/>
    <w:rsid w:val="009B0675"/>
    <w:rsid w:val="009B06F3"/>
    <w:rsid w:val="009B07F4"/>
    <w:rsid w:val="009B105C"/>
    <w:rsid w:val="009B1191"/>
    <w:rsid w:val="009B20A4"/>
    <w:rsid w:val="009B34F7"/>
    <w:rsid w:val="009B42ED"/>
    <w:rsid w:val="009B4ECC"/>
    <w:rsid w:val="009B59AA"/>
    <w:rsid w:val="009B7361"/>
    <w:rsid w:val="009B75F2"/>
    <w:rsid w:val="009B7800"/>
    <w:rsid w:val="009C2AA3"/>
    <w:rsid w:val="009C410D"/>
    <w:rsid w:val="009C4684"/>
    <w:rsid w:val="009C4E0C"/>
    <w:rsid w:val="009C64ED"/>
    <w:rsid w:val="009C6600"/>
    <w:rsid w:val="009C6A27"/>
    <w:rsid w:val="009D0413"/>
    <w:rsid w:val="009D082A"/>
    <w:rsid w:val="009D159C"/>
    <w:rsid w:val="009D1711"/>
    <w:rsid w:val="009D1D4A"/>
    <w:rsid w:val="009D53E4"/>
    <w:rsid w:val="009D6009"/>
    <w:rsid w:val="009D6BCB"/>
    <w:rsid w:val="009D7343"/>
    <w:rsid w:val="009D73ED"/>
    <w:rsid w:val="009D786C"/>
    <w:rsid w:val="009E4956"/>
    <w:rsid w:val="009E49DF"/>
    <w:rsid w:val="009E4C14"/>
    <w:rsid w:val="009E61FD"/>
    <w:rsid w:val="009E731A"/>
    <w:rsid w:val="009E7AEF"/>
    <w:rsid w:val="009F01D0"/>
    <w:rsid w:val="009F2B99"/>
    <w:rsid w:val="009F2F4A"/>
    <w:rsid w:val="009F4985"/>
    <w:rsid w:val="009F4BE8"/>
    <w:rsid w:val="009F5BD1"/>
    <w:rsid w:val="009F5F60"/>
    <w:rsid w:val="00A00618"/>
    <w:rsid w:val="00A01FC3"/>
    <w:rsid w:val="00A0314D"/>
    <w:rsid w:val="00A03184"/>
    <w:rsid w:val="00A032E8"/>
    <w:rsid w:val="00A035F8"/>
    <w:rsid w:val="00A03BC4"/>
    <w:rsid w:val="00A03F6D"/>
    <w:rsid w:val="00A041C8"/>
    <w:rsid w:val="00A044C8"/>
    <w:rsid w:val="00A04D64"/>
    <w:rsid w:val="00A0583E"/>
    <w:rsid w:val="00A064C0"/>
    <w:rsid w:val="00A075E0"/>
    <w:rsid w:val="00A07BFB"/>
    <w:rsid w:val="00A120FA"/>
    <w:rsid w:val="00A123F4"/>
    <w:rsid w:val="00A1327B"/>
    <w:rsid w:val="00A1393D"/>
    <w:rsid w:val="00A149CF"/>
    <w:rsid w:val="00A14EAE"/>
    <w:rsid w:val="00A155F6"/>
    <w:rsid w:val="00A157F4"/>
    <w:rsid w:val="00A15BBF"/>
    <w:rsid w:val="00A16A2C"/>
    <w:rsid w:val="00A1769B"/>
    <w:rsid w:val="00A1786A"/>
    <w:rsid w:val="00A1789D"/>
    <w:rsid w:val="00A20833"/>
    <w:rsid w:val="00A2122A"/>
    <w:rsid w:val="00A219F0"/>
    <w:rsid w:val="00A21D4E"/>
    <w:rsid w:val="00A220D8"/>
    <w:rsid w:val="00A231A4"/>
    <w:rsid w:val="00A23AE4"/>
    <w:rsid w:val="00A23F59"/>
    <w:rsid w:val="00A241E8"/>
    <w:rsid w:val="00A246BE"/>
    <w:rsid w:val="00A24F68"/>
    <w:rsid w:val="00A24FC3"/>
    <w:rsid w:val="00A27141"/>
    <w:rsid w:val="00A27757"/>
    <w:rsid w:val="00A30604"/>
    <w:rsid w:val="00A314D4"/>
    <w:rsid w:val="00A331A3"/>
    <w:rsid w:val="00A33250"/>
    <w:rsid w:val="00A3498B"/>
    <w:rsid w:val="00A3585E"/>
    <w:rsid w:val="00A366F3"/>
    <w:rsid w:val="00A373E6"/>
    <w:rsid w:val="00A37BE6"/>
    <w:rsid w:val="00A4305C"/>
    <w:rsid w:val="00A4332F"/>
    <w:rsid w:val="00A4403E"/>
    <w:rsid w:val="00A4434E"/>
    <w:rsid w:val="00A448AE"/>
    <w:rsid w:val="00A45F0F"/>
    <w:rsid w:val="00A47087"/>
    <w:rsid w:val="00A51D4D"/>
    <w:rsid w:val="00A52AA4"/>
    <w:rsid w:val="00A55A11"/>
    <w:rsid w:val="00A56DC9"/>
    <w:rsid w:val="00A60839"/>
    <w:rsid w:val="00A60864"/>
    <w:rsid w:val="00A6179E"/>
    <w:rsid w:val="00A61EDF"/>
    <w:rsid w:val="00A62CEE"/>
    <w:rsid w:val="00A62EB1"/>
    <w:rsid w:val="00A63702"/>
    <w:rsid w:val="00A64BC9"/>
    <w:rsid w:val="00A67589"/>
    <w:rsid w:val="00A708CF"/>
    <w:rsid w:val="00A709CE"/>
    <w:rsid w:val="00A71F50"/>
    <w:rsid w:val="00A73068"/>
    <w:rsid w:val="00A7445B"/>
    <w:rsid w:val="00A755AD"/>
    <w:rsid w:val="00A75C3C"/>
    <w:rsid w:val="00A75D19"/>
    <w:rsid w:val="00A7603B"/>
    <w:rsid w:val="00A760A3"/>
    <w:rsid w:val="00A77CD6"/>
    <w:rsid w:val="00A81C14"/>
    <w:rsid w:val="00A82624"/>
    <w:rsid w:val="00A8274D"/>
    <w:rsid w:val="00A82F98"/>
    <w:rsid w:val="00A830F1"/>
    <w:rsid w:val="00A834B3"/>
    <w:rsid w:val="00A83EBD"/>
    <w:rsid w:val="00A84BF3"/>
    <w:rsid w:val="00A86AA5"/>
    <w:rsid w:val="00A90C08"/>
    <w:rsid w:val="00A91848"/>
    <w:rsid w:val="00A91D85"/>
    <w:rsid w:val="00A9263A"/>
    <w:rsid w:val="00A92967"/>
    <w:rsid w:val="00A93899"/>
    <w:rsid w:val="00A938BB"/>
    <w:rsid w:val="00A93ECE"/>
    <w:rsid w:val="00A93F38"/>
    <w:rsid w:val="00A9421C"/>
    <w:rsid w:val="00A94909"/>
    <w:rsid w:val="00A96E4F"/>
    <w:rsid w:val="00AA0DCE"/>
    <w:rsid w:val="00AA0E61"/>
    <w:rsid w:val="00AA10C2"/>
    <w:rsid w:val="00AA19B6"/>
    <w:rsid w:val="00AA2FF7"/>
    <w:rsid w:val="00AA51B7"/>
    <w:rsid w:val="00AA76C4"/>
    <w:rsid w:val="00AB0D0E"/>
    <w:rsid w:val="00AB109C"/>
    <w:rsid w:val="00AB1122"/>
    <w:rsid w:val="00AB223C"/>
    <w:rsid w:val="00AB2306"/>
    <w:rsid w:val="00AB3A2B"/>
    <w:rsid w:val="00AB3B36"/>
    <w:rsid w:val="00AB445D"/>
    <w:rsid w:val="00AB6CF8"/>
    <w:rsid w:val="00AB7D6D"/>
    <w:rsid w:val="00AC10B3"/>
    <w:rsid w:val="00AC2565"/>
    <w:rsid w:val="00AC3328"/>
    <w:rsid w:val="00AC3BC7"/>
    <w:rsid w:val="00AC5C02"/>
    <w:rsid w:val="00AC6811"/>
    <w:rsid w:val="00AC72E6"/>
    <w:rsid w:val="00AD06E8"/>
    <w:rsid w:val="00AD0C11"/>
    <w:rsid w:val="00AD0D97"/>
    <w:rsid w:val="00AD259E"/>
    <w:rsid w:val="00AD3331"/>
    <w:rsid w:val="00AD4D7E"/>
    <w:rsid w:val="00AD62CD"/>
    <w:rsid w:val="00AE053E"/>
    <w:rsid w:val="00AE2C2C"/>
    <w:rsid w:val="00AE34B0"/>
    <w:rsid w:val="00AE374D"/>
    <w:rsid w:val="00AE38E5"/>
    <w:rsid w:val="00AE3BAD"/>
    <w:rsid w:val="00AE5189"/>
    <w:rsid w:val="00AE5922"/>
    <w:rsid w:val="00AE6156"/>
    <w:rsid w:val="00AE6974"/>
    <w:rsid w:val="00AE6F0E"/>
    <w:rsid w:val="00AE7259"/>
    <w:rsid w:val="00AF0FBB"/>
    <w:rsid w:val="00AF276E"/>
    <w:rsid w:val="00AF311A"/>
    <w:rsid w:val="00AF448B"/>
    <w:rsid w:val="00AF4831"/>
    <w:rsid w:val="00AF50E8"/>
    <w:rsid w:val="00AF5234"/>
    <w:rsid w:val="00AF573F"/>
    <w:rsid w:val="00AF59E6"/>
    <w:rsid w:val="00AF5CD3"/>
    <w:rsid w:val="00AF63F2"/>
    <w:rsid w:val="00B00332"/>
    <w:rsid w:val="00B0039C"/>
    <w:rsid w:val="00B01737"/>
    <w:rsid w:val="00B0213A"/>
    <w:rsid w:val="00B031E1"/>
    <w:rsid w:val="00B039B7"/>
    <w:rsid w:val="00B03E80"/>
    <w:rsid w:val="00B061B6"/>
    <w:rsid w:val="00B07993"/>
    <w:rsid w:val="00B07F57"/>
    <w:rsid w:val="00B10393"/>
    <w:rsid w:val="00B111AE"/>
    <w:rsid w:val="00B11225"/>
    <w:rsid w:val="00B112CC"/>
    <w:rsid w:val="00B11890"/>
    <w:rsid w:val="00B1189F"/>
    <w:rsid w:val="00B11A9F"/>
    <w:rsid w:val="00B17BC2"/>
    <w:rsid w:val="00B2004B"/>
    <w:rsid w:val="00B20263"/>
    <w:rsid w:val="00B23782"/>
    <w:rsid w:val="00B23A68"/>
    <w:rsid w:val="00B24E90"/>
    <w:rsid w:val="00B2567D"/>
    <w:rsid w:val="00B26F5F"/>
    <w:rsid w:val="00B271C0"/>
    <w:rsid w:val="00B27FB6"/>
    <w:rsid w:val="00B301CF"/>
    <w:rsid w:val="00B320C2"/>
    <w:rsid w:val="00B3250A"/>
    <w:rsid w:val="00B33942"/>
    <w:rsid w:val="00B36588"/>
    <w:rsid w:val="00B403F0"/>
    <w:rsid w:val="00B40924"/>
    <w:rsid w:val="00B40D2C"/>
    <w:rsid w:val="00B4134A"/>
    <w:rsid w:val="00B413F2"/>
    <w:rsid w:val="00B4218E"/>
    <w:rsid w:val="00B42352"/>
    <w:rsid w:val="00B45E7D"/>
    <w:rsid w:val="00B46B37"/>
    <w:rsid w:val="00B4769F"/>
    <w:rsid w:val="00B502C9"/>
    <w:rsid w:val="00B5099B"/>
    <w:rsid w:val="00B510E5"/>
    <w:rsid w:val="00B530B1"/>
    <w:rsid w:val="00B540AF"/>
    <w:rsid w:val="00B55A6A"/>
    <w:rsid w:val="00B55CD5"/>
    <w:rsid w:val="00B56ECB"/>
    <w:rsid w:val="00B604B0"/>
    <w:rsid w:val="00B61884"/>
    <w:rsid w:val="00B61BDD"/>
    <w:rsid w:val="00B61DD6"/>
    <w:rsid w:val="00B6329C"/>
    <w:rsid w:val="00B632E7"/>
    <w:rsid w:val="00B64B14"/>
    <w:rsid w:val="00B64FD8"/>
    <w:rsid w:val="00B666B9"/>
    <w:rsid w:val="00B70BAF"/>
    <w:rsid w:val="00B719F6"/>
    <w:rsid w:val="00B72A43"/>
    <w:rsid w:val="00B72A5B"/>
    <w:rsid w:val="00B7475B"/>
    <w:rsid w:val="00B76BE7"/>
    <w:rsid w:val="00B76CDF"/>
    <w:rsid w:val="00B806F8"/>
    <w:rsid w:val="00B80A47"/>
    <w:rsid w:val="00B80F0E"/>
    <w:rsid w:val="00B80F79"/>
    <w:rsid w:val="00B81B1E"/>
    <w:rsid w:val="00B8243F"/>
    <w:rsid w:val="00B8385A"/>
    <w:rsid w:val="00B84A5E"/>
    <w:rsid w:val="00B85ADB"/>
    <w:rsid w:val="00B86886"/>
    <w:rsid w:val="00B86E65"/>
    <w:rsid w:val="00B86F9E"/>
    <w:rsid w:val="00B871AB"/>
    <w:rsid w:val="00B87941"/>
    <w:rsid w:val="00B91E16"/>
    <w:rsid w:val="00B920F8"/>
    <w:rsid w:val="00B93B04"/>
    <w:rsid w:val="00B93E0E"/>
    <w:rsid w:val="00B94135"/>
    <w:rsid w:val="00B96292"/>
    <w:rsid w:val="00BA018A"/>
    <w:rsid w:val="00BA1C5B"/>
    <w:rsid w:val="00BA1CAD"/>
    <w:rsid w:val="00BA3953"/>
    <w:rsid w:val="00BA5185"/>
    <w:rsid w:val="00BA530C"/>
    <w:rsid w:val="00BA7E6A"/>
    <w:rsid w:val="00BB0AA2"/>
    <w:rsid w:val="00BB1B19"/>
    <w:rsid w:val="00BB2104"/>
    <w:rsid w:val="00BB2C8B"/>
    <w:rsid w:val="00BB3D13"/>
    <w:rsid w:val="00BB5251"/>
    <w:rsid w:val="00BB5694"/>
    <w:rsid w:val="00BB64CE"/>
    <w:rsid w:val="00BB675F"/>
    <w:rsid w:val="00BB6857"/>
    <w:rsid w:val="00BB7FF0"/>
    <w:rsid w:val="00BC155A"/>
    <w:rsid w:val="00BC1BDA"/>
    <w:rsid w:val="00BC1CD7"/>
    <w:rsid w:val="00BC294C"/>
    <w:rsid w:val="00BC3467"/>
    <w:rsid w:val="00BC3E56"/>
    <w:rsid w:val="00BC46A0"/>
    <w:rsid w:val="00BC475A"/>
    <w:rsid w:val="00BC5700"/>
    <w:rsid w:val="00BC5777"/>
    <w:rsid w:val="00BC6BB4"/>
    <w:rsid w:val="00BC6BF6"/>
    <w:rsid w:val="00BC7D21"/>
    <w:rsid w:val="00BD079E"/>
    <w:rsid w:val="00BD0C79"/>
    <w:rsid w:val="00BD1CAA"/>
    <w:rsid w:val="00BD45FC"/>
    <w:rsid w:val="00BD498D"/>
    <w:rsid w:val="00BD6A0F"/>
    <w:rsid w:val="00BD6DF6"/>
    <w:rsid w:val="00BD7373"/>
    <w:rsid w:val="00BD73CC"/>
    <w:rsid w:val="00BD7A97"/>
    <w:rsid w:val="00BE1055"/>
    <w:rsid w:val="00BE1FF6"/>
    <w:rsid w:val="00BE31E2"/>
    <w:rsid w:val="00BE4094"/>
    <w:rsid w:val="00BE4FAE"/>
    <w:rsid w:val="00BE7CE1"/>
    <w:rsid w:val="00BE7D32"/>
    <w:rsid w:val="00BF0181"/>
    <w:rsid w:val="00BF2020"/>
    <w:rsid w:val="00BF325C"/>
    <w:rsid w:val="00BF3A4A"/>
    <w:rsid w:val="00BF4663"/>
    <w:rsid w:val="00BF49EA"/>
    <w:rsid w:val="00BF5DFB"/>
    <w:rsid w:val="00C022EB"/>
    <w:rsid w:val="00C03B73"/>
    <w:rsid w:val="00C048C1"/>
    <w:rsid w:val="00C04B01"/>
    <w:rsid w:val="00C04F7C"/>
    <w:rsid w:val="00C05C62"/>
    <w:rsid w:val="00C05D9C"/>
    <w:rsid w:val="00C0668D"/>
    <w:rsid w:val="00C07617"/>
    <w:rsid w:val="00C07C7C"/>
    <w:rsid w:val="00C11C3D"/>
    <w:rsid w:val="00C122B0"/>
    <w:rsid w:val="00C1248D"/>
    <w:rsid w:val="00C12721"/>
    <w:rsid w:val="00C1282A"/>
    <w:rsid w:val="00C134C6"/>
    <w:rsid w:val="00C144DD"/>
    <w:rsid w:val="00C14A3F"/>
    <w:rsid w:val="00C153E1"/>
    <w:rsid w:val="00C1657E"/>
    <w:rsid w:val="00C17BD5"/>
    <w:rsid w:val="00C17CC7"/>
    <w:rsid w:val="00C20944"/>
    <w:rsid w:val="00C20C3E"/>
    <w:rsid w:val="00C20F09"/>
    <w:rsid w:val="00C20F27"/>
    <w:rsid w:val="00C216AD"/>
    <w:rsid w:val="00C21FA1"/>
    <w:rsid w:val="00C2468A"/>
    <w:rsid w:val="00C24E19"/>
    <w:rsid w:val="00C2677A"/>
    <w:rsid w:val="00C26ADD"/>
    <w:rsid w:val="00C26D03"/>
    <w:rsid w:val="00C279F5"/>
    <w:rsid w:val="00C30A66"/>
    <w:rsid w:val="00C3217B"/>
    <w:rsid w:val="00C325AB"/>
    <w:rsid w:val="00C34015"/>
    <w:rsid w:val="00C35737"/>
    <w:rsid w:val="00C36D6E"/>
    <w:rsid w:val="00C3734C"/>
    <w:rsid w:val="00C37CC2"/>
    <w:rsid w:val="00C4039D"/>
    <w:rsid w:val="00C40DA2"/>
    <w:rsid w:val="00C415A9"/>
    <w:rsid w:val="00C428AB"/>
    <w:rsid w:val="00C4660E"/>
    <w:rsid w:val="00C50F9C"/>
    <w:rsid w:val="00C519F7"/>
    <w:rsid w:val="00C54DF2"/>
    <w:rsid w:val="00C55EB8"/>
    <w:rsid w:val="00C56831"/>
    <w:rsid w:val="00C57BB7"/>
    <w:rsid w:val="00C61727"/>
    <w:rsid w:val="00C61F6D"/>
    <w:rsid w:val="00C6235F"/>
    <w:rsid w:val="00C6478C"/>
    <w:rsid w:val="00C655FE"/>
    <w:rsid w:val="00C65768"/>
    <w:rsid w:val="00C65CAA"/>
    <w:rsid w:val="00C66768"/>
    <w:rsid w:val="00C70117"/>
    <w:rsid w:val="00C71AEE"/>
    <w:rsid w:val="00C729D2"/>
    <w:rsid w:val="00C74689"/>
    <w:rsid w:val="00C746F4"/>
    <w:rsid w:val="00C748AE"/>
    <w:rsid w:val="00C74D1F"/>
    <w:rsid w:val="00C75AF8"/>
    <w:rsid w:val="00C76CA6"/>
    <w:rsid w:val="00C80285"/>
    <w:rsid w:val="00C828EB"/>
    <w:rsid w:val="00C83196"/>
    <w:rsid w:val="00C83820"/>
    <w:rsid w:val="00C84B0E"/>
    <w:rsid w:val="00C84DA6"/>
    <w:rsid w:val="00C84E98"/>
    <w:rsid w:val="00C85CC1"/>
    <w:rsid w:val="00C8653F"/>
    <w:rsid w:val="00C867D6"/>
    <w:rsid w:val="00C86E71"/>
    <w:rsid w:val="00C87075"/>
    <w:rsid w:val="00C902DB"/>
    <w:rsid w:val="00C90A73"/>
    <w:rsid w:val="00C92812"/>
    <w:rsid w:val="00C940E1"/>
    <w:rsid w:val="00C94BEE"/>
    <w:rsid w:val="00C97163"/>
    <w:rsid w:val="00C97522"/>
    <w:rsid w:val="00CA12D7"/>
    <w:rsid w:val="00CA279C"/>
    <w:rsid w:val="00CA30B4"/>
    <w:rsid w:val="00CA336A"/>
    <w:rsid w:val="00CA3DC9"/>
    <w:rsid w:val="00CA530A"/>
    <w:rsid w:val="00CA56A2"/>
    <w:rsid w:val="00CA5D4F"/>
    <w:rsid w:val="00CA6003"/>
    <w:rsid w:val="00CA6CA4"/>
    <w:rsid w:val="00CB1CEA"/>
    <w:rsid w:val="00CB3116"/>
    <w:rsid w:val="00CB3607"/>
    <w:rsid w:val="00CB391E"/>
    <w:rsid w:val="00CB5D82"/>
    <w:rsid w:val="00CB5F91"/>
    <w:rsid w:val="00CB68B1"/>
    <w:rsid w:val="00CB7E2D"/>
    <w:rsid w:val="00CC09D0"/>
    <w:rsid w:val="00CC137F"/>
    <w:rsid w:val="00CC319F"/>
    <w:rsid w:val="00CC423F"/>
    <w:rsid w:val="00CC4855"/>
    <w:rsid w:val="00CC4B2F"/>
    <w:rsid w:val="00CC4E09"/>
    <w:rsid w:val="00CC5F1A"/>
    <w:rsid w:val="00CC5FB9"/>
    <w:rsid w:val="00CC79FF"/>
    <w:rsid w:val="00CD0EC8"/>
    <w:rsid w:val="00CD1550"/>
    <w:rsid w:val="00CD2374"/>
    <w:rsid w:val="00CD48A8"/>
    <w:rsid w:val="00CD4EFC"/>
    <w:rsid w:val="00CD50F7"/>
    <w:rsid w:val="00CD5192"/>
    <w:rsid w:val="00CD56EC"/>
    <w:rsid w:val="00CD5C9B"/>
    <w:rsid w:val="00CD7A04"/>
    <w:rsid w:val="00CE0236"/>
    <w:rsid w:val="00CE43B3"/>
    <w:rsid w:val="00CE6B6D"/>
    <w:rsid w:val="00CE6C43"/>
    <w:rsid w:val="00CE789C"/>
    <w:rsid w:val="00CF08E0"/>
    <w:rsid w:val="00CF206C"/>
    <w:rsid w:val="00CF288F"/>
    <w:rsid w:val="00CF367D"/>
    <w:rsid w:val="00CF449E"/>
    <w:rsid w:val="00CF4E10"/>
    <w:rsid w:val="00CF595B"/>
    <w:rsid w:val="00CF62EB"/>
    <w:rsid w:val="00CF680F"/>
    <w:rsid w:val="00CF6EC0"/>
    <w:rsid w:val="00CF7143"/>
    <w:rsid w:val="00D006EC"/>
    <w:rsid w:val="00D008E8"/>
    <w:rsid w:val="00D01A59"/>
    <w:rsid w:val="00D01E8D"/>
    <w:rsid w:val="00D04DC8"/>
    <w:rsid w:val="00D07347"/>
    <w:rsid w:val="00D07AA7"/>
    <w:rsid w:val="00D1040E"/>
    <w:rsid w:val="00D110A5"/>
    <w:rsid w:val="00D11152"/>
    <w:rsid w:val="00D137AE"/>
    <w:rsid w:val="00D13CC1"/>
    <w:rsid w:val="00D14F81"/>
    <w:rsid w:val="00D163BA"/>
    <w:rsid w:val="00D164B6"/>
    <w:rsid w:val="00D164EB"/>
    <w:rsid w:val="00D17340"/>
    <w:rsid w:val="00D175D4"/>
    <w:rsid w:val="00D20F0D"/>
    <w:rsid w:val="00D22D0C"/>
    <w:rsid w:val="00D23B7E"/>
    <w:rsid w:val="00D256C7"/>
    <w:rsid w:val="00D26484"/>
    <w:rsid w:val="00D27357"/>
    <w:rsid w:val="00D32210"/>
    <w:rsid w:val="00D32FDB"/>
    <w:rsid w:val="00D33821"/>
    <w:rsid w:val="00D3447D"/>
    <w:rsid w:val="00D35ACA"/>
    <w:rsid w:val="00D35D3A"/>
    <w:rsid w:val="00D36540"/>
    <w:rsid w:val="00D448AB"/>
    <w:rsid w:val="00D45687"/>
    <w:rsid w:val="00D53F1C"/>
    <w:rsid w:val="00D5449F"/>
    <w:rsid w:val="00D5465E"/>
    <w:rsid w:val="00D54867"/>
    <w:rsid w:val="00D54966"/>
    <w:rsid w:val="00D55068"/>
    <w:rsid w:val="00D562E0"/>
    <w:rsid w:val="00D56496"/>
    <w:rsid w:val="00D565E0"/>
    <w:rsid w:val="00D56631"/>
    <w:rsid w:val="00D57CF5"/>
    <w:rsid w:val="00D6094C"/>
    <w:rsid w:val="00D60B6B"/>
    <w:rsid w:val="00D60BA6"/>
    <w:rsid w:val="00D61556"/>
    <w:rsid w:val="00D61F1E"/>
    <w:rsid w:val="00D64718"/>
    <w:rsid w:val="00D64D33"/>
    <w:rsid w:val="00D65597"/>
    <w:rsid w:val="00D65DF6"/>
    <w:rsid w:val="00D6697F"/>
    <w:rsid w:val="00D66F09"/>
    <w:rsid w:val="00D67256"/>
    <w:rsid w:val="00D672AF"/>
    <w:rsid w:val="00D67963"/>
    <w:rsid w:val="00D67D0F"/>
    <w:rsid w:val="00D67E70"/>
    <w:rsid w:val="00D70003"/>
    <w:rsid w:val="00D70A15"/>
    <w:rsid w:val="00D70E69"/>
    <w:rsid w:val="00D70F5B"/>
    <w:rsid w:val="00D7204D"/>
    <w:rsid w:val="00D72DE4"/>
    <w:rsid w:val="00D73D65"/>
    <w:rsid w:val="00D7505B"/>
    <w:rsid w:val="00D76249"/>
    <w:rsid w:val="00D76BD2"/>
    <w:rsid w:val="00D774AC"/>
    <w:rsid w:val="00D776EA"/>
    <w:rsid w:val="00D80AF9"/>
    <w:rsid w:val="00D80FA3"/>
    <w:rsid w:val="00D81C9C"/>
    <w:rsid w:val="00D82CE9"/>
    <w:rsid w:val="00D83D85"/>
    <w:rsid w:val="00D842C4"/>
    <w:rsid w:val="00D863E3"/>
    <w:rsid w:val="00D86450"/>
    <w:rsid w:val="00D8687F"/>
    <w:rsid w:val="00D87236"/>
    <w:rsid w:val="00D90131"/>
    <w:rsid w:val="00D90659"/>
    <w:rsid w:val="00D91123"/>
    <w:rsid w:val="00D91761"/>
    <w:rsid w:val="00D92C62"/>
    <w:rsid w:val="00D93EB5"/>
    <w:rsid w:val="00D9458C"/>
    <w:rsid w:val="00D94782"/>
    <w:rsid w:val="00D959BE"/>
    <w:rsid w:val="00D95EA1"/>
    <w:rsid w:val="00DA00F5"/>
    <w:rsid w:val="00DA1611"/>
    <w:rsid w:val="00DA1D39"/>
    <w:rsid w:val="00DA2F54"/>
    <w:rsid w:val="00DA3666"/>
    <w:rsid w:val="00DA3CA9"/>
    <w:rsid w:val="00DA4286"/>
    <w:rsid w:val="00DA576E"/>
    <w:rsid w:val="00DA5F78"/>
    <w:rsid w:val="00DA6A67"/>
    <w:rsid w:val="00DA75AA"/>
    <w:rsid w:val="00DA7824"/>
    <w:rsid w:val="00DA7D8E"/>
    <w:rsid w:val="00DB0643"/>
    <w:rsid w:val="00DB0F2C"/>
    <w:rsid w:val="00DB1B2F"/>
    <w:rsid w:val="00DB28CD"/>
    <w:rsid w:val="00DB32BF"/>
    <w:rsid w:val="00DB5092"/>
    <w:rsid w:val="00DB58E2"/>
    <w:rsid w:val="00DB5BC2"/>
    <w:rsid w:val="00DC0B0C"/>
    <w:rsid w:val="00DC1DCC"/>
    <w:rsid w:val="00DC27D5"/>
    <w:rsid w:val="00DC372B"/>
    <w:rsid w:val="00DC3B81"/>
    <w:rsid w:val="00DC4268"/>
    <w:rsid w:val="00DC5F7B"/>
    <w:rsid w:val="00DC66F6"/>
    <w:rsid w:val="00DC66FE"/>
    <w:rsid w:val="00DC6A13"/>
    <w:rsid w:val="00DC7264"/>
    <w:rsid w:val="00DC7AA8"/>
    <w:rsid w:val="00DC7B26"/>
    <w:rsid w:val="00DC7E5D"/>
    <w:rsid w:val="00DD1515"/>
    <w:rsid w:val="00DD1729"/>
    <w:rsid w:val="00DD215D"/>
    <w:rsid w:val="00DD227D"/>
    <w:rsid w:val="00DD3F79"/>
    <w:rsid w:val="00DD3FBE"/>
    <w:rsid w:val="00DD4857"/>
    <w:rsid w:val="00DD5696"/>
    <w:rsid w:val="00DD6066"/>
    <w:rsid w:val="00DD6E86"/>
    <w:rsid w:val="00DD7B28"/>
    <w:rsid w:val="00DD7DF6"/>
    <w:rsid w:val="00DE11C8"/>
    <w:rsid w:val="00DE24E9"/>
    <w:rsid w:val="00DE3C49"/>
    <w:rsid w:val="00DE437D"/>
    <w:rsid w:val="00DE51E5"/>
    <w:rsid w:val="00DE683C"/>
    <w:rsid w:val="00DE775A"/>
    <w:rsid w:val="00DE7C99"/>
    <w:rsid w:val="00DE7CBA"/>
    <w:rsid w:val="00DF19C0"/>
    <w:rsid w:val="00DF3346"/>
    <w:rsid w:val="00DF38F8"/>
    <w:rsid w:val="00DF42EB"/>
    <w:rsid w:val="00DF4B52"/>
    <w:rsid w:val="00DF4BA3"/>
    <w:rsid w:val="00DF4D70"/>
    <w:rsid w:val="00DF4F56"/>
    <w:rsid w:val="00DF6459"/>
    <w:rsid w:val="00DF6DA2"/>
    <w:rsid w:val="00E000EF"/>
    <w:rsid w:val="00E00591"/>
    <w:rsid w:val="00E007AE"/>
    <w:rsid w:val="00E00B6B"/>
    <w:rsid w:val="00E00E89"/>
    <w:rsid w:val="00E02973"/>
    <w:rsid w:val="00E0655F"/>
    <w:rsid w:val="00E06DDB"/>
    <w:rsid w:val="00E0745F"/>
    <w:rsid w:val="00E0759E"/>
    <w:rsid w:val="00E12351"/>
    <w:rsid w:val="00E1385D"/>
    <w:rsid w:val="00E14DD6"/>
    <w:rsid w:val="00E14EFF"/>
    <w:rsid w:val="00E156C4"/>
    <w:rsid w:val="00E16709"/>
    <w:rsid w:val="00E1688E"/>
    <w:rsid w:val="00E16CD1"/>
    <w:rsid w:val="00E21064"/>
    <w:rsid w:val="00E2170D"/>
    <w:rsid w:val="00E2229F"/>
    <w:rsid w:val="00E224B5"/>
    <w:rsid w:val="00E228EC"/>
    <w:rsid w:val="00E23B3B"/>
    <w:rsid w:val="00E24079"/>
    <w:rsid w:val="00E24279"/>
    <w:rsid w:val="00E24C7F"/>
    <w:rsid w:val="00E25F05"/>
    <w:rsid w:val="00E26913"/>
    <w:rsid w:val="00E27933"/>
    <w:rsid w:val="00E27E72"/>
    <w:rsid w:val="00E3130F"/>
    <w:rsid w:val="00E32FD0"/>
    <w:rsid w:val="00E33486"/>
    <w:rsid w:val="00E336BF"/>
    <w:rsid w:val="00E34AFE"/>
    <w:rsid w:val="00E40EA6"/>
    <w:rsid w:val="00E429B8"/>
    <w:rsid w:val="00E42B5B"/>
    <w:rsid w:val="00E42BA6"/>
    <w:rsid w:val="00E4420E"/>
    <w:rsid w:val="00E44FA6"/>
    <w:rsid w:val="00E469D8"/>
    <w:rsid w:val="00E501CB"/>
    <w:rsid w:val="00E502D4"/>
    <w:rsid w:val="00E50590"/>
    <w:rsid w:val="00E52028"/>
    <w:rsid w:val="00E520C5"/>
    <w:rsid w:val="00E5379D"/>
    <w:rsid w:val="00E53C50"/>
    <w:rsid w:val="00E53EA8"/>
    <w:rsid w:val="00E5460A"/>
    <w:rsid w:val="00E546E4"/>
    <w:rsid w:val="00E5653B"/>
    <w:rsid w:val="00E56BE2"/>
    <w:rsid w:val="00E607C3"/>
    <w:rsid w:val="00E61439"/>
    <w:rsid w:val="00E6180B"/>
    <w:rsid w:val="00E61D0B"/>
    <w:rsid w:val="00E634D1"/>
    <w:rsid w:val="00E63D81"/>
    <w:rsid w:val="00E63FD9"/>
    <w:rsid w:val="00E6462F"/>
    <w:rsid w:val="00E6538E"/>
    <w:rsid w:val="00E65F4B"/>
    <w:rsid w:val="00E71F08"/>
    <w:rsid w:val="00E7219F"/>
    <w:rsid w:val="00E732A1"/>
    <w:rsid w:val="00E73D50"/>
    <w:rsid w:val="00E7401E"/>
    <w:rsid w:val="00E751EC"/>
    <w:rsid w:val="00E75CB3"/>
    <w:rsid w:val="00E806A2"/>
    <w:rsid w:val="00E81012"/>
    <w:rsid w:val="00E82D85"/>
    <w:rsid w:val="00E83916"/>
    <w:rsid w:val="00E83E7A"/>
    <w:rsid w:val="00E84362"/>
    <w:rsid w:val="00E8561A"/>
    <w:rsid w:val="00E860D3"/>
    <w:rsid w:val="00E90E9B"/>
    <w:rsid w:val="00E91DBA"/>
    <w:rsid w:val="00E93936"/>
    <w:rsid w:val="00E94FB4"/>
    <w:rsid w:val="00E95024"/>
    <w:rsid w:val="00E95DEF"/>
    <w:rsid w:val="00EA0369"/>
    <w:rsid w:val="00EA584F"/>
    <w:rsid w:val="00EA638C"/>
    <w:rsid w:val="00EA6667"/>
    <w:rsid w:val="00EA758A"/>
    <w:rsid w:val="00EA7976"/>
    <w:rsid w:val="00EA7B77"/>
    <w:rsid w:val="00EB1E23"/>
    <w:rsid w:val="00EB225B"/>
    <w:rsid w:val="00EB2E2D"/>
    <w:rsid w:val="00EB3F73"/>
    <w:rsid w:val="00EB5F5B"/>
    <w:rsid w:val="00EB6770"/>
    <w:rsid w:val="00EB6B43"/>
    <w:rsid w:val="00EC0F91"/>
    <w:rsid w:val="00EC139C"/>
    <w:rsid w:val="00EC14A8"/>
    <w:rsid w:val="00EC18A3"/>
    <w:rsid w:val="00EC3579"/>
    <w:rsid w:val="00EC47AC"/>
    <w:rsid w:val="00EC6D33"/>
    <w:rsid w:val="00EC7EE1"/>
    <w:rsid w:val="00ED054E"/>
    <w:rsid w:val="00ED09D4"/>
    <w:rsid w:val="00ED0C58"/>
    <w:rsid w:val="00ED0C63"/>
    <w:rsid w:val="00ED3AFF"/>
    <w:rsid w:val="00ED4466"/>
    <w:rsid w:val="00ED4E8C"/>
    <w:rsid w:val="00ED539F"/>
    <w:rsid w:val="00ED5DB5"/>
    <w:rsid w:val="00ED5F0F"/>
    <w:rsid w:val="00ED6798"/>
    <w:rsid w:val="00ED6873"/>
    <w:rsid w:val="00ED792F"/>
    <w:rsid w:val="00ED7CD7"/>
    <w:rsid w:val="00EE0A85"/>
    <w:rsid w:val="00EE11BA"/>
    <w:rsid w:val="00EE1835"/>
    <w:rsid w:val="00EE1C20"/>
    <w:rsid w:val="00EE1DCE"/>
    <w:rsid w:val="00EE27C0"/>
    <w:rsid w:val="00EE293C"/>
    <w:rsid w:val="00EE3742"/>
    <w:rsid w:val="00EE439D"/>
    <w:rsid w:val="00EE5113"/>
    <w:rsid w:val="00EE683D"/>
    <w:rsid w:val="00EE7590"/>
    <w:rsid w:val="00EE7B04"/>
    <w:rsid w:val="00EF3667"/>
    <w:rsid w:val="00EF40AB"/>
    <w:rsid w:val="00EF434D"/>
    <w:rsid w:val="00EF630C"/>
    <w:rsid w:val="00EF7196"/>
    <w:rsid w:val="00F000CE"/>
    <w:rsid w:val="00F0029C"/>
    <w:rsid w:val="00F00744"/>
    <w:rsid w:val="00F00D9B"/>
    <w:rsid w:val="00F01B80"/>
    <w:rsid w:val="00F02E2E"/>
    <w:rsid w:val="00F03C59"/>
    <w:rsid w:val="00F05BDB"/>
    <w:rsid w:val="00F0652A"/>
    <w:rsid w:val="00F072F7"/>
    <w:rsid w:val="00F0743C"/>
    <w:rsid w:val="00F0776A"/>
    <w:rsid w:val="00F0796C"/>
    <w:rsid w:val="00F10FC0"/>
    <w:rsid w:val="00F11193"/>
    <w:rsid w:val="00F11841"/>
    <w:rsid w:val="00F11E80"/>
    <w:rsid w:val="00F12677"/>
    <w:rsid w:val="00F131D9"/>
    <w:rsid w:val="00F1421D"/>
    <w:rsid w:val="00F155AB"/>
    <w:rsid w:val="00F15950"/>
    <w:rsid w:val="00F16291"/>
    <w:rsid w:val="00F16730"/>
    <w:rsid w:val="00F20A21"/>
    <w:rsid w:val="00F20E95"/>
    <w:rsid w:val="00F213A3"/>
    <w:rsid w:val="00F221CA"/>
    <w:rsid w:val="00F23003"/>
    <w:rsid w:val="00F244E4"/>
    <w:rsid w:val="00F264B9"/>
    <w:rsid w:val="00F266FF"/>
    <w:rsid w:val="00F31733"/>
    <w:rsid w:val="00F31797"/>
    <w:rsid w:val="00F353BA"/>
    <w:rsid w:val="00F3566B"/>
    <w:rsid w:val="00F35A81"/>
    <w:rsid w:val="00F36093"/>
    <w:rsid w:val="00F361D8"/>
    <w:rsid w:val="00F3649E"/>
    <w:rsid w:val="00F36BD9"/>
    <w:rsid w:val="00F36F61"/>
    <w:rsid w:val="00F36F9B"/>
    <w:rsid w:val="00F370EF"/>
    <w:rsid w:val="00F371D3"/>
    <w:rsid w:val="00F3730F"/>
    <w:rsid w:val="00F37AC7"/>
    <w:rsid w:val="00F40924"/>
    <w:rsid w:val="00F40D83"/>
    <w:rsid w:val="00F43C94"/>
    <w:rsid w:val="00F43D22"/>
    <w:rsid w:val="00F4462D"/>
    <w:rsid w:val="00F4484D"/>
    <w:rsid w:val="00F459F4"/>
    <w:rsid w:val="00F45BE0"/>
    <w:rsid w:val="00F47573"/>
    <w:rsid w:val="00F50158"/>
    <w:rsid w:val="00F505D6"/>
    <w:rsid w:val="00F52643"/>
    <w:rsid w:val="00F52C9F"/>
    <w:rsid w:val="00F53402"/>
    <w:rsid w:val="00F53577"/>
    <w:rsid w:val="00F5429F"/>
    <w:rsid w:val="00F54E9E"/>
    <w:rsid w:val="00F56A4E"/>
    <w:rsid w:val="00F56EBE"/>
    <w:rsid w:val="00F57317"/>
    <w:rsid w:val="00F57D43"/>
    <w:rsid w:val="00F57FBC"/>
    <w:rsid w:val="00F609FC"/>
    <w:rsid w:val="00F61172"/>
    <w:rsid w:val="00F63F72"/>
    <w:rsid w:val="00F64105"/>
    <w:rsid w:val="00F64E5E"/>
    <w:rsid w:val="00F6614E"/>
    <w:rsid w:val="00F67587"/>
    <w:rsid w:val="00F70092"/>
    <w:rsid w:val="00F70710"/>
    <w:rsid w:val="00F71104"/>
    <w:rsid w:val="00F71884"/>
    <w:rsid w:val="00F71F38"/>
    <w:rsid w:val="00F71F82"/>
    <w:rsid w:val="00F721CA"/>
    <w:rsid w:val="00F7268B"/>
    <w:rsid w:val="00F74944"/>
    <w:rsid w:val="00F74CFD"/>
    <w:rsid w:val="00F772AE"/>
    <w:rsid w:val="00F7740E"/>
    <w:rsid w:val="00F77AE8"/>
    <w:rsid w:val="00F77C9D"/>
    <w:rsid w:val="00F801A8"/>
    <w:rsid w:val="00F801DA"/>
    <w:rsid w:val="00F824CE"/>
    <w:rsid w:val="00F85B98"/>
    <w:rsid w:val="00F8612D"/>
    <w:rsid w:val="00F86B6D"/>
    <w:rsid w:val="00F90022"/>
    <w:rsid w:val="00F9048D"/>
    <w:rsid w:val="00F905FE"/>
    <w:rsid w:val="00F92BB2"/>
    <w:rsid w:val="00F94164"/>
    <w:rsid w:val="00F94A52"/>
    <w:rsid w:val="00F95140"/>
    <w:rsid w:val="00F951F0"/>
    <w:rsid w:val="00F95F80"/>
    <w:rsid w:val="00F95F92"/>
    <w:rsid w:val="00F96614"/>
    <w:rsid w:val="00F975CD"/>
    <w:rsid w:val="00FA0533"/>
    <w:rsid w:val="00FA2DB7"/>
    <w:rsid w:val="00FA3CC6"/>
    <w:rsid w:val="00FA5560"/>
    <w:rsid w:val="00FA7426"/>
    <w:rsid w:val="00FA7681"/>
    <w:rsid w:val="00FB116E"/>
    <w:rsid w:val="00FB22B9"/>
    <w:rsid w:val="00FB7F96"/>
    <w:rsid w:val="00FC16F3"/>
    <w:rsid w:val="00FC34BF"/>
    <w:rsid w:val="00FC3B98"/>
    <w:rsid w:val="00FC4A7F"/>
    <w:rsid w:val="00FC4C6C"/>
    <w:rsid w:val="00FC731E"/>
    <w:rsid w:val="00FC7BE5"/>
    <w:rsid w:val="00FC7E67"/>
    <w:rsid w:val="00FD217F"/>
    <w:rsid w:val="00FD22B0"/>
    <w:rsid w:val="00FD2736"/>
    <w:rsid w:val="00FD2B62"/>
    <w:rsid w:val="00FD3E88"/>
    <w:rsid w:val="00FD3E90"/>
    <w:rsid w:val="00FD4058"/>
    <w:rsid w:val="00FD559F"/>
    <w:rsid w:val="00FD74F0"/>
    <w:rsid w:val="00FD7A16"/>
    <w:rsid w:val="00FE0267"/>
    <w:rsid w:val="00FE0D2F"/>
    <w:rsid w:val="00FE1E38"/>
    <w:rsid w:val="00FE2AE3"/>
    <w:rsid w:val="00FE2B52"/>
    <w:rsid w:val="00FE2C0F"/>
    <w:rsid w:val="00FE2F93"/>
    <w:rsid w:val="00FE3BD8"/>
    <w:rsid w:val="00FE6030"/>
    <w:rsid w:val="00FE7BB9"/>
    <w:rsid w:val="00FF0B4B"/>
    <w:rsid w:val="00FF2344"/>
    <w:rsid w:val="00FF2489"/>
    <w:rsid w:val="00FF42D7"/>
    <w:rsid w:val="00FF45D8"/>
    <w:rsid w:val="00FF4FD0"/>
    <w:rsid w:val="00FF54C7"/>
    <w:rsid w:val="00FF5ED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BD17CB"/>
  <w15:chartTrackingRefBased/>
  <w15:docId w15:val="{9E927FAF-A156-47E6-A6B0-E1F2E49F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9DA"/>
    <w:pPr>
      <w:spacing w:before="120" w:after="120"/>
    </w:pPr>
    <w:rPr>
      <w:rFonts w:ascii="Helvetica" w:eastAsia="Times" w:hAnsi="Helvetica"/>
      <w:sz w:val="24"/>
    </w:rPr>
  </w:style>
  <w:style w:type="paragraph" w:styleId="Heading1">
    <w:name w:val="heading 1"/>
    <w:basedOn w:val="Normal"/>
    <w:next w:val="Normal"/>
    <w:link w:val="Heading1Char"/>
    <w:qFormat/>
    <w:rsid w:val="00D01A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A90C08"/>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qFormat/>
    <w:rsid w:val="00A90C0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0C08"/>
    <w:pPr>
      <w:keepNext/>
      <w:spacing w:after="60"/>
      <w:outlineLvl w:val="3"/>
    </w:pPr>
    <w:rPr>
      <w:b/>
    </w:rPr>
  </w:style>
  <w:style w:type="paragraph" w:styleId="Heading7">
    <w:name w:val="heading 7"/>
    <w:basedOn w:val="Normal"/>
    <w:next w:val="Normal"/>
    <w:qFormat/>
    <w:rsid w:val="00AB6CF8"/>
    <w:pPr>
      <w:spacing w:before="240" w:after="60"/>
      <w:outlineLvl w:val="6"/>
    </w:pPr>
    <w:rPr>
      <w:rFonts w:ascii="Cambria" w:eastAsia="Times New Roman" w:hAnsi="Cambri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overviewtext"/>
    <w:link w:val="HeaderChar"/>
    <w:rsid w:val="00A90C08"/>
    <w:pPr>
      <w:tabs>
        <w:tab w:val="center" w:pos="4153"/>
        <w:tab w:val="right" w:pos="8306"/>
      </w:tabs>
    </w:pPr>
  </w:style>
  <w:style w:type="paragraph" w:customStyle="1" w:styleId="CommitteeTitle">
    <w:name w:val="Committee Title"/>
    <w:basedOn w:val="Header"/>
    <w:next w:val="Header"/>
    <w:qFormat/>
    <w:rsid w:val="00A90C08"/>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overviewtext"/>
    <w:qFormat/>
    <w:rsid w:val="00A90C08"/>
    <w:pPr>
      <w:ind w:left="720"/>
    </w:pPr>
  </w:style>
  <w:style w:type="paragraph" w:customStyle="1" w:styleId="overviewtext">
    <w:name w:val="overview text"/>
    <w:link w:val="overviewtextChar"/>
    <w:qFormat/>
    <w:rsid w:val="00A90C08"/>
    <w:pPr>
      <w:spacing w:before="60" w:after="60"/>
    </w:pPr>
    <w:rPr>
      <w:rFonts w:ascii="Helvetica" w:eastAsia="Times" w:hAnsi="Helvetica"/>
      <w:sz w:val="24"/>
    </w:rPr>
  </w:style>
  <w:style w:type="paragraph" w:customStyle="1" w:styleId="overviewheading">
    <w:name w:val="overview heading"/>
    <w:basedOn w:val="overviewtext"/>
    <w:qFormat/>
    <w:rsid w:val="00A90C08"/>
    <w:pPr>
      <w:pBdr>
        <w:bottom w:val="single" w:sz="4" w:space="4" w:color="auto"/>
      </w:pBdr>
      <w:spacing w:before="120"/>
    </w:pPr>
    <w:rPr>
      <w:b/>
    </w:rPr>
  </w:style>
  <w:style w:type="paragraph" w:customStyle="1" w:styleId="ReportTitle">
    <w:name w:val="Report Title"/>
    <w:basedOn w:val="overviewtext"/>
    <w:qFormat/>
    <w:rsid w:val="00A90C08"/>
    <w:pPr>
      <w:spacing w:before="120" w:after="120"/>
    </w:pPr>
    <w:rPr>
      <w:b/>
      <w:sz w:val="40"/>
    </w:rPr>
  </w:style>
  <w:style w:type="paragraph" w:customStyle="1" w:styleId="Para2">
    <w:name w:val="Para2"/>
    <w:basedOn w:val="Normal"/>
    <w:link w:val="Para2Char"/>
    <w:autoRedefine/>
    <w:rsid w:val="00C2468A"/>
    <w:pPr>
      <w:spacing w:after="0"/>
      <w:jc w:val="both"/>
    </w:pPr>
  </w:style>
  <w:style w:type="paragraph" w:customStyle="1" w:styleId="Para1">
    <w:name w:val="Para1"/>
    <w:basedOn w:val="Heading3"/>
    <w:rsid w:val="00A90C08"/>
    <w:pPr>
      <w:tabs>
        <w:tab w:val="left" w:pos="1440"/>
      </w:tabs>
      <w:spacing w:after="120"/>
      <w:ind w:left="1440" w:hanging="720"/>
    </w:pPr>
    <w:rPr>
      <w:rFonts w:ascii="Helvetica" w:hAnsi="Helvetica" w:cs="Times New Roman"/>
      <w:b w:val="0"/>
      <w:bCs w:val="0"/>
      <w:sz w:val="24"/>
      <w:szCs w:val="24"/>
    </w:rPr>
  </w:style>
  <w:style w:type="character" w:customStyle="1" w:styleId="Heading2Char">
    <w:name w:val="Heading 2 Char"/>
    <w:link w:val="Heading2"/>
    <w:rsid w:val="00A90C08"/>
    <w:rPr>
      <w:rFonts w:ascii="Helvetica" w:hAnsi="Helvetica"/>
      <w:b/>
      <w:sz w:val="36"/>
      <w:lang w:val="en-GB" w:eastAsia="en-GB" w:bidi="ar-SA"/>
    </w:rPr>
  </w:style>
  <w:style w:type="character" w:customStyle="1" w:styleId="overviewtextChar">
    <w:name w:val="overview text Char"/>
    <w:link w:val="overviewtext"/>
    <w:rsid w:val="00A90C08"/>
    <w:rPr>
      <w:rFonts w:ascii="Helvetica" w:eastAsia="Times" w:hAnsi="Helvetica"/>
      <w:sz w:val="24"/>
      <w:lang w:val="en-GB" w:eastAsia="en-GB" w:bidi="ar-SA"/>
    </w:rPr>
  </w:style>
  <w:style w:type="character" w:customStyle="1" w:styleId="HeaderChar">
    <w:name w:val="Header Char"/>
    <w:basedOn w:val="overviewtextChar"/>
    <w:link w:val="Header"/>
    <w:rsid w:val="00A90C08"/>
    <w:rPr>
      <w:rFonts w:ascii="Helvetica" w:eastAsia="Times" w:hAnsi="Helvetica"/>
      <w:sz w:val="24"/>
      <w:lang w:val="en-GB" w:eastAsia="en-GB" w:bidi="ar-SA"/>
    </w:rPr>
  </w:style>
  <w:style w:type="character" w:customStyle="1" w:styleId="Para2Char">
    <w:name w:val="Para2 Char"/>
    <w:link w:val="Para2"/>
    <w:rsid w:val="00C2468A"/>
    <w:rPr>
      <w:rFonts w:ascii="Helvetica" w:eastAsia="Times" w:hAnsi="Helvetica"/>
      <w:sz w:val="24"/>
    </w:rPr>
  </w:style>
  <w:style w:type="paragraph" w:customStyle="1" w:styleId="NumberedList4">
    <w:name w:val="Numbered List4"/>
    <w:basedOn w:val="Normal"/>
    <w:rsid w:val="00A90C08"/>
    <w:pPr>
      <w:numPr>
        <w:numId w:val="1"/>
      </w:numPr>
      <w:tabs>
        <w:tab w:val="num" w:pos="851"/>
      </w:tabs>
      <w:ind w:left="1134" w:hanging="708"/>
    </w:pPr>
  </w:style>
  <w:style w:type="paragraph" w:styleId="BodyTextIndent3">
    <w:name w:val="Body Text Indent 3"/>
    <w:basedOn w:val="Normal"/>
    <w:rsid w:val="00A90C08"/>
    <w:pPr>
      <w:ind w:left="283"/>
    </w:pPr>
    <w:rPr>
      <w:sz w:val="16"/>
      <w:szCs w:val="16"/>
    </w:rPr>
  </w:style>
  <w:style w:type="paragraph" w:styleId="Footer">
    <w:name w:val="footer"/>
    <w:basedOn w:val="Normal"/>
    <w:link w:val="FooterChar"/>
    <w:uiPriority w:val="99"/>
    <w:rsid w:val="00A90C08"/>
    <w:pPr>
      <w:tabs>
        <w:tab w:val="center" w:pos="4153"/>
        <w:tab w:val="right" w:pos="8306"/>
      </w:tabs>
    </w:pPr>
  </w:style>
  <w:style w:type="paragraph" w:customStyle="1" w:styleId="NormalLatinArial">
    <w:name w:val="Normal + (Latin) Arial"/>
    <w:aliases w:val="Justified,Left:  0 cm,Hanging:  1.27 cm,Before:  0..."/>
    <w:basedOn w:val="Normal"/>
    <w:rsid w:val="00DD7DF6"/>
    <w:pPr>
      <w:spacing w:before="0" w:after="0"/>
      <w:ind w:left="720" w:hanging="720"/>
      <w:jc w:val="both"/>
    </w:pPr>
    <w:rPr>
      <w:rFonts w:ascii="Arial" w:hAnsi="Arial" w:cs="Arial"/>
      <w:szCs w:val="24"/>
    </w:rPr>
  </w:style>
  <w:style w:type="paragraph" w:styleId="BodyTextIndent">
    <w:name w:val="Body Text Indent"/>
    <w:basedOn w:val="Normal"/>
    <w:rsid w:val="00DD7DF6"/>
    <w:pPr>
      <w:ind w:left="283"/>
    </w:pPr>
  </w:style>
  <w:style w:type="character" w:styleId="Emphasis">
    <w:name w:val="Emphasis"/>
    <w:qFormat/>
    <w:rsid w:val="00AB6CF8"/>
    <w:rPr>
      <w:i/>
      <w:iCs/>
    </w:rPr>
  </w:style>
  <w:style w:type="paragraph" w:styleId="BodyText">
    <w:name w:val="Body Text"/>
    <w:basedOn w:val="Normal"/>
    <w:rsid w:val="00E94FB4"/>
  </w:style>
  <w:style w:type="paragraph" w:customStyle="1" w:styleId="NumberedList3">
    <w:name w:val="Numbered List3"/>
    <w:basedOn w:val="Normal"/>
    <w:autoRedefine/>
    <w:rsid w:val="009B20A4"/>
    <w:pPr>
      <w:spacing w:before="0" w:after="0"/>
      <w:ind w:left="709" w:hanging="709"/>
    </w:pPr>
  </w:style>
  <w:style w:type="paragraph" w:styleId="BalloonText">
    <w:name w:val="Balloon Text"/>
    <w:basedOn w:val="Normal"/>
    <w:semiHidden/>
    <w:rsid w:val="00F7268B"/>
    <w:rPr>
      <w:rFonts w:ascii="Tahoma" w:hAnsi="Tahoma" w:cs="Tahoma"/>
      <w:sz w:val="16"/>
      <w:szCs w:val="16"/>
    </w:rPr>
  </w:style>
  <w:style w:type="table" w:styleId="TableGrid">
    <w:name w:val="Table Grid"/>
    <w:basedOn w:val="TableNormal"/>
    <w:uiPriority w:val="39"/>
    <w:rsid w:val="00F7268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0149D"/>
    <w:rPr>
      <w:color w:val="606420"/>
      <w:u w:val="single"/>
    </w:rPr>
  </w:style>
  <w:style w:type="paragraph" w:customStyle="1" w:styleId="a">
    <w:basedOn w:val="Normal"/>
    <w:autoRedefine/>
    <w:rsid w:val="00FE6030"/>
    <w:pPr>
      <w:spacing w:before="0" w:after="160" w:line="240" w:lineRule="exact"/>
    </w:pPr>
    <w:rPr>
      <w:rFonts w:ascii="Verdana" w:eastAsia="Times New Roman" w:hAnsi="Verdana"/>
      <w:sz w:val="20"/>
      <w:lang w:val="en-US" w:eastAsia="en-US"/>
    </w:rPr>
  </w:style>
  <w:style w:type="character" w:styleId="Hyperlink">
    <w:name w:val="Hyperlink"/>
    <w:rsid w:val="00BF5DFB"/>
    <w:rPr>
      <w:color w:val="0000FF"/>
      <w:u w:val="single"/>
    </w:rPr>
  </w:style>
  <w:style w:type="paragraph" w:customStyle="1" w:styleId="Char">
    <w:name w:val="Char"/>
    <w:basedOn w:val="Normal"/>
    <w:autoRedefine/>
    <w:rsid w:val="001418F2"/>
    <w:pPr>
      <w:spacing w:before="0" w:after="160" w:line="240" w:lineRule="exact"/>
    </w:pPr>
    <w:rPr>
      <w:rFonts w:ascii="Verdana" w:eastAsia="Times New Roman" w:hAnsi="Verdana"/>
      <w:sz w:val="20"/>
      <w:lang w:val="en-US" w:eastAsia="en-US"/>
    </w:rPr>
  </w:style>
  <w:style w:type="paragraph" w:styleId="NormalWeb">
    <w:name w:val="Normal (Web)"/>
    <w:basedOn w:val="Normal"/>
    <w:uiPriority w:val="99"/>
    <w:unhideWhenUsed/>
    <w:rsid w:val="00D256C7"/>
    <w:pPr>
      <w:spacing w:before="0" w:after="0"/>
    </w:pPr>
    <w:rPr>
      <w:rFonts w:ascii="Times New Roman" w:eastAsia="Calibri" w:hAnsi="Times New Roman"/>
      <w:szCs w:val="24"/>
    </w:rPr>
  </w:style>
  <w:style w:type="paragraph" w:styleId="NoSpacing">
    <w:name w:val="No Spacing"/>
    <w:uiPriority w:val="1"/>
    <w:qFormat/>
    <w:rsid w:val="0007793C"/>
    <w:rPr>
      <w:rFonts w:ascii="Calibri" w:eastAsia="Calibri" w:hAnsi="Calibri"/>
      <w:sz w:val="22"/>
      <w:szCs w:val="22"/>
      <w:lang w:eastAsia="en-US"/>
    </w:rPr>
  </w:style>
  <w:style w:type="character" w:styleId="CommentReference">
    <w:name w:val="annotation reference"/>
    <w:rsid w:val="006C2E4E"/>
    <w:rPr>
      <w:sz w:val="16"/>
      <w:szCs w:val="16"/>
    </w:rPr>
  </w:style>
  <w:style w:type="paragraph" w:styleId="CommentText">
    <w:name w:val="annotation text"/>
    <w:basedOn w:val="Normal"/>
    <w:link w:val="CommentTextChar"/>
    <w:rsid w:val="006C2E4E"/>
    <w:rPr>
      <w:sz w:val="20"/>
    </w:rPr>
  </w:style>
  <w:style w:type="character" w:customStyle="1" w:styleId="CommentTextChar">
    <w:name w:val="Comment Text Char"/>
    <w:link w:val="CommentText"/>
    <w:rsid w:val="006C2E4E"/>
    <w:rPr>
      <w:rFonts w:ascii="Helvetica" w:eastAsia="Times" w:hAnsi="Helvetica"/>
    </w:rPr>
  </w:style>
  <w:style w:type="paragraph" w:styleId="CommentSubject">
    <w:name w:val="annotation subject"/>
    <w:basedOn w:val="CommentText"/>
    <w:next w:val="CommentText"/>
    <w:link w:val="CommentSubjectChar"/>
    <w:rsid w:val="006C2E4E"/>
    <w:rPr>
      <w:b/>
      <w:bCs/>
    </w:rPr>
  </w:style>
  <w:style w:type="character" w:customStyle="1" w:styleId="CommentSubjectChar">
    <w:name w:val="Comment Subject Char"/>
    <w:link w:val="CommentSubject"/>
    <w:rsid w:val="006C2E4E"/>
    <w:rPr>
      <w:rFonts w:ascii="Helvetica" w:eastAsia="Times" w:hAnsi="Helvetica"/>
      <w:b/>
      <w:bCs/>
    </w:rPr>
  </w:style>
  <w:style w:type="paragraph" w:styleId="ListParagraph">
    <w:name w:val="List Paragraph"/>
    <w:basedOn w:val="Normal"/>
    <w:uiPriority w:val="34"/>
    <w:qFormat/>
    <w:rsid w:val="001509A7"/>
    <w:pPr>
      <w:ind w:left="720"/>
    </w:pPr>
  </w:style>
  <w:style w:type="character" w:customStyle="1" w:styleId="s7">
    <w:name w:val="s7"/>
    <w:rsid w:val="004135B9"/>
  </w:style>
  <w:style w:type="table" w:customStyle="1" w:styleId="TableGrid11">
    <w:name w:val="Table Grid11"/>
    <w:basedOn w:val="TableNormal"/>
    <w:next w:val="TableGrid"/>
    <w:rsid w:val="0014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D1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FF741B"/>
    <w:pPr>
      <w:spacing w:line="321" w:lineRule="atLeast"/>
    </w:pPr>
    <w:rPr>
      <w:rFonts w:ascii="Stone Sans" w:hAnsi="Stone Sans" w:cs="Times New Roman"/>
      <w:color w:val="auto"/>
    </w:rPr>
  </w:style>
  <w:style w:type="paragraph" w:customStyle="1" w:styleId="Pa3">
    <w:name w:val="Pa3"/>
    <w:basedOn w:val="Default"/>
    <w:next w:val="Default"/>
    <w:uiPriority w:val="99"/>
    <w:rsid w:val="00FF741B"/>
    <w:pPr>
      <w:spacing w:line="241" w:lineRule="atLeast"/>
    </w:pPr>
    <w:rPr>
      <w:rFonts w:ascii="Stone Sans" w:hAnsi="Stone Sans" w:cs="Times New Roman"/>
      <w:color w:val="auto"/>
    </w:rPr>
  </w:style>
  <w:style w:type="paragraph" w:customStyle="1" w:styleId="Pa13">
    <w:name w:val="Pa13"/>
    <w:basedOn w:val="Default"/>
    <w:next w:val="Default"/>
    <w:uiPriority w:val="99"/>
    <w:rsid w:val="00FF741B"/>
    <w:pPr>
      <w:spacing w:line="241" w:lineRule="atLeast"/>
    </w:pPr>
    <w:rPr>
      <w:rFonts w:ascii="Stone Sans" w:hAnsi="Stone Sans" w:cs="Times New Roman"/>
      <w:color w:val="auto"/>
    </w:rPr>
  </w:style>
  <w:style w:type="character" w:customStyle="1" w:styleId="Heading4Char">
    <w:name w:val="Heading 4 Char"/>
    <w:link w:val="Heading4"/>
    <w:rsid w:val="002512E1"/>
    <w:rPr>
      <w:rFonts w:ascii="Helvetica" w:eastAsia="Times" w:hAnsi="Helvetica"/>
      <w:b/>
      <w:sz w:val="24"/>
    </w:rPr>
  </w:style>
  <w:style w:type="character" w:customStyle="1" w:styleId="FooterChar">
    <w:name w:val="Footer Char"/>
    <w:link w:val="Footer"/>
    <w:uiPriority w:val="99"/>
    <w:rsid w:val="00972F1D"/>
    <w:rPr>
      <w:rFonts w:ascii="Helvetica" w:eastAsia="Times" w:hAnsi="Helvetica"/>
      <w:sz w:val="24"/>
    </w:rPr>
  </w:style>
  <w:style w:type="paragraph" w:styleId="Title">
    <w:name w:val="Title"/>
    <w:basedOn w:val="Normal"/>
    <w:link w:val="TitleChar"/>
    <w:qFormat/>
    <w:rsid w:val="004E5E84"/>
    <w:pPr>
      <w:spacing w:before="0" w:after="0"/>
      <w:jc w:val="center"/>
    </w:pPr>
    <w:rPr>
      <w:rFonts w:ascii="Centaur" w:eastAsia="Times New Roman" w:hAnsi="Centaur"/>
      <w:b/>
      <w:bCs/>
      <w:szCs w:val="24"/>
      <w:u w:val="single"/>
      <w:lang w:eastAsia="en-US"/>
    </w:rPr>
  </w:style>
  <w:style w:type="character" w:customStyle="1" w:styleId="TitleChar">
    <w:name w:val="Title Char"/>
    <w:link w:val="Title"/>
    <w:rsid w:val="004E5E84"/>
    <w:rPr>
      <w:rFonts w:ascii="Centaur" w:hAnsi="Centaur"/>
      <w:b/>
      <w:bCs/>
      <w:sz w:val="24"/>
      <w:szCs w:val="24"/>
      <w:u w:val="single"/>
      <w:lang w:eastAsia="en-US"/>
    </w:rPr>
  </w:style>
  <w:style w:type="paragraph" w:customStyle="1" w:styleId="ParaX1">
    <w:name w:val="Para X.1"/>
    <w:basedOn w:val="Normal"/>
    <w:rsid w:val="00C97522"/>
    <w:pPr>
      <w:spacing w:before="0" w:after="0"/>
      <w:ind w:left="731" w:hanging="731"/>
    </w:pPr>
    <w:rPr>
      <w:rFonts w:ascii="Arial" w:hAnsi="Arial"/>
    </w:rPr>
  </w:style>
  <w:style w:type="paragraph" w:customStyle="1" w:styleId="Char0">
    <w:name w:val="Char"/>
    <w:basedOn w:val="Normal"/>
    <w:rsid w:val="00520993"/>
    <w:pPr>
      <w:spacing w:before="0" w:after="160" w:line="240" w:lineRule="exact"/>
    </w:pPr>
    <w:rPr>
      <w:rFonts w:ascii="Tahoma" w:eastAsia="Times New Roman" w:hAnsi="Tahoma"/>
      <w:sz w:val="20"/>
      <w:lang w:val="en-US" w:eastAsia="en-US"/>
    </w:rPr>
  </w:style>
  <w:style w:type="paragraph" w:customStyle="1" w:styleId="p1">
    <w:name w:val="p1"/>
    <w:basedOn w:val="Normal"/>
    <w:rsid w:val="00F63F72"/>
    <w:pPr>
      <w:spacing w:before="0" w:after="0"/>
    </w:pPr>
    <w:rPr>
      <w:rFonts w:ascii=".SF UI Text" w:eastAsia="Calibri" w:hAnsi=".SF UI Text"/>
      <w:color w:val="454545"/>
      <w:sz w:val="26"/>
      <w:szCs w:val="26"/>
    </w:rPr>
  </w:style>
  <w:style w:type="character" w:customStyle="1" w:styleId="s1">
    <w:name w:val="s1"/>
    <w:rsid w:val="00F63F72"/>
    <w:rPr>
      <w:rFonts w:ascii=".SFUIText" w:hAnsi=".SFUIText" w:hint="default"/>
      <w:b w:val="0"/>
      <w:bCs w:val="0"/>
      <w:i w:val="0"/>
      <w:iCs w:val="0"/>
      <w:sz w:val="34"/>
      <w:szCs w:val="34"/>
    </w:rPr>
  </w:style>
  <w:style w:type="paragraph" w:styleId="PlainText">
    <w:name w:val="Plain Text"/>
    <w:basedOn w:val="Normal"/>
    <w:link w:val="PlainTextChar"/>
    <w:uiPriority w:val="99"/>
    <w:unhideWhenUsed/>
    <w:rsid w:val="00BC294C"/>
    <w:pPr>
      <w:spacing w:before="0" w:after="0"/>
    </w:pPr>
    <w:rPr>
      <w:rFonts w:ascii="Calibri" w:eastAsia="Calibri" w:hAnsi="Calibri"/>
      <w:sz w:val="22"/>
      <w:szCs w:val="21"/>
      <w:lang w:eastAsia="en-US"/>
    </w:rPr>
  </w:style>
  <w:style w:type="character" w:customStyle="1" w:styleId="PlainTextChar">
    <w:name w:val="Plain Text Char"/>
    <w:link w:val="PlainText"/>
    <w:uiPriority w:val="99"/>
    <w:rsid w:val="00BC294C"/>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3B7CE9"/>
    <w:rPr>
      <w:color w:val="605E5C"/>
      <w:shd w:val="clear" w:color="auto" w:fill="E1DFDD"/>
    </w:rPr>
  </w:style>
  <w:style w:type="character" w:customStyle="1" w:styleId="Heading1Char">
    <w:name w:val="Heading 1 Char"/>
    <w:basedOn w:val="DefaultParagraphFont"/>
    <w:link w:val="Heading1"/>
    <w:rsid w:val="00D01A59"/>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D01A5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7834">
      <w:bodyDiv w:val="1"/>
      <w:marLeft w:val="0"/>
      <w:marRight w:val="0"/>
      <w:marTop w:val="0"/>
      <w:marBottom w:val="0"/>
      <w:divBdr>
        <w:top w:val="none" w:sz="0" w:space="0" w:color="auto"/>
        <w:left w:val="none" w:sz="0" w:space="0" w:color="auto"/>
        <w:bottom w:val="none" w:sz="0" w:space="0" w:color="auto"/>
        <w:right w:val="none" w:sz="0" w:space="0" w:color="auto"/>
      </w:divBdr>
    </w:div>
    <w:div w:id="78840428">
      <w:bodyDiv w:val="1"/>
      <w:marLeft w:val="0"/>
      <w:marRight w:val="0"/>
      <w:marTop w:val="0"/>
      <w:marBottom w:val="0"/>
      <w:divBdr>
        <w:top w:val="none" w:sz="0" w:space="0" w:color="auto"/>
        <w:left w:val="none" w:sz="0" w:space="0" w:color="auto"/>
        <w:bottom w:val="none" w:sz="0" w:space="0" w:color="auto"/>
        <w:right w:val="none" w:sz="0" w:space="0" w:color="auto"/>
      </w:divBdr>
    </w:div>
    <w:div w:id="115369002">
      <w:bodyDiv w:val="1"/>
      <w:marLeft w:val="0"/>
      <w:marRight w:val="0"/>
      <w:marTop w:val="0"/>
      <w:marBottom w:val="0"/>
      <w:divBdr>
        <w:top w:val="none" w:sz="0" w:space="0" w:color="auto"/>
        <w:left w:val="none" w:sz="0" w:space="0" w:color="auto"/>
        <w:bottom w:val="none" w:sz="0" w:space="0" w:color="auto"/>
        <w:right w:val="none" w:sz="0" w:space="0" w:color="auto"/>
      </w:divBdr>
    </w:div>
    <w:div w:id="282272338">
      <w:bodyDiv w:val="1"/>
      <w:marLeft w:val="0"/>
      <w:marRight w:val="0"/>
      <w:marTop w:val="0"/>
      <w:marBottom w:val="0"/>
      <w:divBdr>
        <w:top w:val="none" w:sz="0" w:space="0" w:color="auto"/>
        <w:left w:val="none" w:sz="0" w:space="0" w:color="auto"/>
        <w:bottom w:val="none" w:sz="0" w:space="0" w:color="auto"/>
        <w:right w:val="none" w:sz="0" w:space="0" w:color="auto"/>
      </w:divBdr>
    </w:div>
    <w:div w:id="35612335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80"/>
      <w:marRight w:val="80"/>
      <w:marTop w:val="80"/>
      <w:marBottom w:val="20"/>
      <w:divBdr>
        <w:top w:val="none" w:sz="0" w:space="0" w:color="auto"/>
        <w:left w:val="none" w:sz="0" w:space="0" w:color="auto"/>
        <w:bottom w:val="none" w:sz="0" w:space="0" w:color="auto"/>
        <w:right w:val="none" w:sz="0" w:space="0" w:color="auto"/>
      </w:divBdr>
      <w:divsChild>
        <w:div w:id="1641956144">
          <w:marLeft w:val="0"/>
          <w:marRight w:val="0"/>
          <w:marTop w:val="0"/>
          <w:marBottom w:val="0"/>
          <w:divBdr>
            <w:top w:val="none" w:sz="0" w:space="0" w:color="auto"/>
            <w:left w:val="none" w:sz="0" w:space="0" w:color="auto"/>
            <w:bottom w:val="none" w:sz="0" w:space="0" w:color="auto"/>
            <w:right w:val="none" w:sz="0" w:space="0" w:color="auto"/>
          </w:divBdr>
        </w:div>
        <w:div w:id="1852985586">
          <w:marLeft w:val="0"/>
          <w:marRight w:val="0"/>
          <w:marTop w:val="0"/>
          <w:marBottom w:val="0"/>
          <w:divBdr>
            <w:top w:val="none" w:sz="0" w:space="0" w:color="auto"/>
            <w:left w:val="none" w:sz="0" w:space="0" w:color="auto"/>
            <w:bottom w:val="none" w:sz="0" w:space="0" w:color="auto"/>
            <w:right w:val="none" w:sz="0" w:space="0" w:color="auto"/>
          </w:divBdr>
        </w:div>
      </w:divsChild>
    </w:div>
    <w:div w:id="408231853">
      <w:bodyDiv w:val="1"/>
      <w:marLeft w:val="80"/>
      <w:marRight w:val="80"/>
      <w:marTop w:val="80"/>
      <w:marBottom w:val="20"/>
      <w:divBdr>
        <w:top w:val="none" w:sz="0" w:space="0" w:color="auto"/>
        <w:left w:val="none" w:sz="0" w:space="0" w:color="auto"/>
        <w:bottom w:val="none" w:sz="0" w:space="0" w:color="auto"/>
        <w:right w:val="none" w:sz="0" w:space="0" w:color="auto"/>
      </w:divBdr>
      <w:divsChild>
        <w:div w:id="1960186255">
          <w:marLeft w:val="0"/>
          <w:marRight w:val="0"/>
          <w:marTop w:val="0"/>
          <w:marBottom w:val="0"/>
          <w:divBdr>
            <w:top w:val="none" w:sz="0" w:space="0" w:color="auto"/>
            <w:left w:val="none" w:sz="0" w:space="0" w:color="auto"/>
            <w:bottom w:val="none" w:sz="0" w:space="0" w:color="auto"/>
            <w:right w:val="none" w:sz="0" w:space="0" w:color="auto"/>
          </w:divBdr>
          <w:divsChild>
            <w:div w:id="1686438585">
              <w:marLeft w:val="0"/>
              <w:marRight w:val="0"/>
              <w:marTop w:val="0"/>
              <w:marBottom w:val="0"/>
              <w:divBdr>
                <w:top w:val="none" w:sz="0" w:space="0" w:color="auto"/>
                <w:left w:val="none" w:sz="0" w:space="0" w:color="auto"/>
                <w:bottom w:val="none" w:sz="0" w:space="0" w:color="auto"/>
                <w:right w:val="none" w:sz="0" w:space="0" w:color="auto"/>
              </w:divBdr>
              <w:divsChild>
                <w:div w:id="311912668">
                  <w:marLeft w:val="0"/>
                  <w:marRight w:val="0"/>
                  <w:marTop w:val="0"/>
                  <w:marBottom w:val="0"/>
                  <w:divBdr>
                    <w:top w:val="none" w:sz="0" w:space="0" w:color="auto"/>
                    <w:left w:val="none" w:sz="0" w:space="0" w:color="auto"/>
                    <w:bottom w:val="none" w:sz="0" w:space="0" w:color="auto"/>
                    <w:right w:val="none" w:sz="0" w:space="0" w:color="auto"/>
                  </w:divBdr>
                </w:div>
                <w:div w:id="772554188">
                  <w:marLeft w:val="0"/>
                  <w:marRight w:val="0"/>
                  <w:marTop w:val="0"/>
                  <w:marBottom w:val="0"/>
                  <w:divBdr>
                    <w:top w:val="none" w:sz="0" w:space="0" w:color="auto"/>
                    <w:left w:val="none" w:sz="0" w:space="0" w:color="auto"/>
                    <w:bottom w:val="none" w:sz="0" w:space="0" w:color="auto"/>
                    <w:right w:val="none" w:sz="0" w:space="0" w:color="auto"/>
                  </w:divBdr>
                </w:div>
                <w:div w:id="1120342731">
                  <w:marLeft w:val="0"/>
                  <w:marRight w:val="0"/>
                  <w:marTop w:val="0"/>
                  <w:marBottom w:val="0"/>
                  <w:divBdr>
                    <w:top w:val="none" w:sz="0" w:space="0" w:color="auto"/>
                    <w:left w:val="none" w:sz="0" w:space="0" w:color="auto"/>
                    <w:bottom w:val="none" w:sz="0" w:space="0" w:color="auto"/>
                    <w:right w:val="none" w:sz="0" w:space="0" w:color="auto"/>
                  </w:divBdr>
                </w:div>
                <w:div w:id="1514149051">
                  <w:marLeft w:val="0"/>
                  <w:marRight w:val="0"/>
                  <w:marTop w:val="0"/>
                  <w:marBottom w:val="0"/>
                  <w:divBdr>
                    <w:top w:val="none" w:sz="0" w:space="0" w:color="auto"/>
                    <w:left w:val="none" w:sz="0" w:space="0" w:color="auto"/>
                    <w:bottom w:val="none" w:sz="0" w:space="0" w:color="auto"/>
                    <w:right w:val="none" w:sz="0" w:space="0" w:color="auto"/>
                  </w:divBdr>
                </w:div>
                <w:div w:id="1622687583">
                  <w:marLeft w:val="0"/>
                  <w:marRight w:val="0"/>
                  <w:marTop w:val="0"/>
                  <w:marBottom w:val="0"/>
                  <w:divBdr>
                    <w:top w:val="none" w:sz="0" w:space="0" w:color="auto"/>
                    <w:left w:val="none" w:sz="0" w:space="0" w:color="auto"/>
                    <w:bottom w:val="none" w:sz="0" w:space="0" w:color="auto"/>
                    <w:right w:val="none" w:sz="0" w:space="0" w:color="auto"/>
                  </w:divBdr>
                </w:div>
                <w:div w:id="18855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96">
      <w:bodyDiv w:val="1"/>
      <w:marLeft w:val="80"/>
      <w:marRight w:val="80"/>
      <w:marTop w:val="80"/>
      <w:marBottom w:val="20"/>
      <w:divBdr>
        <w:top w:val="none" w:sz="0" w:space="0" w:color="auto"/>
        <w:left w:val="none" w:sz="0" w:space="0" w:color="auto"/>
        <w:bottom w:val="none" w:sz="0" w:space="0" w:color="auto"/>
        <w:right w:val="none" w:sz="0" w:space="0" w:color="auto"/>
      </w:divBdr>
      <w:divsChild>
        <w:div w:id="145249010">
          <w:marLeft w:val="0"/>
          <w:marRight w:val="0"/>
          <w:marTop w:val="0"/>
          <w:marBottom w:val="0"/>
          <w:divBdr>
            <w:top w:val="none" w:sz="0" w:space="0" w:color="auto"/>
            <w:left w:val="none" w:sz="0" w:space="0" w:color="auto"/>
            <w:bottom w:val="none" w:sz="0" w:space="0" w:color="auto"/>
            <w:right w:val="none" w:sz="0" w:space="0" w:color="auto"/>
          </w:divBdr>
          <w:divsChild>
            <w:div w:id="1511065604">
              <w:marLeft w:val="0"/>
              <w:marRight w:val="0"/>
              <w:marTop w:val="0"/>
              <w:marBottom w:val="0"/>
              <w:divBdr>
                <w:top w:val="none" w:sz="0" w:space="0" w:color="auto"/>
                <w:left w:val="none" w:sz="0" w:space="0" w:color="auto"/>
                <w:bottom w:val="none" w:sz="0" w:space="0" w:color="auto"/>
                <w:right w:val="none" w:sz="0" w:space="0" w:color="auto"/>
              </w:divBdr>
              <w:divsChild>
                <w:div w:id="472528248">
                  <w:marLeft w:val="0"/>
                  <w:marRight w:val="0"/>
                  <w:marTop w:val="0"/>
                  <w:marBottom w:val="0"/>
                  <w:divBdr>
                    <w:top w:val="none" w:sz="0" w:space="0" w:color="auto"/>
                    <w:left w:val="none" w:sz="0" w:space="0" w:color="auto"/>
                    <w:bottom w:val="none" w:sz="0" w:space="0" w:color="auto"/>
                    <w:right w:val="none" w:sz="0" w:space="0" w:color="auto"/>
                  </w:divBdr>
                </w:div>
                <w:div w:id="1189443101">
                  <w:marLeft w:val="0"/>
                  <w:marRight w:val="0"/>
                  <w:marTop w:val="0"/>
                  <w:marBottom w:val="0"/>
                  <w:divBdr>
                    <w:top w:val="none" w:sz="0" w:space="0" w:color="auto"/>
                    <w:left w:val="none" w:sz="0" w:space="0" w:color="auto"/>
                    <w:bottom w:val="none" w:sz="0" w:space="0" w:color="auto"/>
                    <w:right w:val="none" w:sz="0" w:space="0" w:color="auto"/>
                  </w:divBdr>
                </w:div>
                <w:div w:id="1388408998">
                  <w:marLeft w:val="0"/>
                  <w:marRight w:val="0"/>
                  <w:marTop w:val="0"/>
                  <w:marBottom w:val="0"/>
                  <w:divBdr>
                    <w:top w:val="none" w:sz="0" w:space="0" w:color="auto"/>
                    <w:left w:val="none" w:sz="0" w:space="0" w:color="auto"/>
                    <w:bottom w:val="none" w:sz="0" w:space="0" w:color="auto"/>
                    <w:right w:val="none" w:sz="0" w:space="0" w:color="auto"/>
                  </w:divBdr>
                </w:div>
                <w:div w:id="1428113100">
                  <w:marLeft w:val="0"/>
                  <w:marRight w:val="0"/>
                  <w:marTop w:val="0"/>
                  <w:marBottom w:val="0"/>
                  <w:divBdr>
                    <w:top w:val="none" w:sz="0" w:space="0" w:color="auto"/>
                    <w:left w:val="none" w:sz="0" w:space="0" w:color="auto"/>
                    <w:bottom w:val="none" w:sz="0" w:space="0" w:color="auto"/>
                    <w:right w:val="none" w:sz="0" w:space="0" w:color="auto"/>
                  </w:divBdr>
                </w:div>
                <w:div w:id="1518738731">
                  <w:marLeft w:val="0"/>
                  <w:marRight w:val="0"/>
                  <w:marTop w:val="0"/>
                  <w:marBottom w:val="0"/>
                  <w:divBdr>
                    <w:top w:val="none" w:sz="0" w:space="0" w:color="auto"/>
                    <w:left w:val="none" w:sz="0" w:space="0" w:color="auto"/>
                    <w:bottom w:val="none" w:sz="0" w:space="0" w:color="auto"/>
                    <w:right w:val="none" w:sz="0" w:space="0" w:color="auto"/>
                  </w:divBdr>
                </w:div>
                <w:div w:id="20316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8373">
      <w:bodyDiv w:val="1"/>
      <w:marLeft w:val="0"/>
      <w:marRight w:val="0"/>
      <w:marTop w:val="0"/>
      <w:marBottom w:val="0"/>
      <w:divBdr>
        <w:top w:val="none" w:sz="0" w:space="0" w:color="auto"/>
        <w:left w:val="none" w:sz="0" w:space="0" w:color="auto"/>
        <w:bottom w:val="none" w:sz="0" w:space="0" w:color="auto"/>
        <w:right w:val="none" w:sz="0" w:space="0" w:color="auto"/>
      </w:divBdr>
    </w:div>
    <w:div w:id="1163622424">
      <w:bodyDiv w:val="1"/>
      <w:marLeft w:val="0"/>
      <w:marRight w:val="0"/>
      <w:marTop w:val="0"/>
      <w:marBottom w:val="0"/>
      <w:divBdr>
        <w:top w:val="none" w:sz="0" w:space="0" w:color="auto"/>
        <w:left w:val="none" w:sz="0" w:space="0" w:color="auto"/>
        <w:bottom w:val="none" w:sz="0" w:space="0" w:color="auto"/>
        <w:right w:val="none" w:sz="0" w:space="0" w:color="auto"/>
      </w:divBdr>
    </w:div>
    <w:div w:id="1176845173">
      <w:bodyDiv w:val="1"/>
      <w:marLeft w:val="0"/>
      <w:marRight w:val="0"/>
      <w:marTop w:val="0"/>
      <w:marBottom w:val="0"/>
      <w:divBdr>
        <w:top w:val="none" w:sz="0" w:space="0" w:color="auto"/>
        <w:left w:val="none" w:sz="0" w:space="0" w:color="auto"/>
        <w:bottom w:val="none" w:sz="0" w:space="0" w:color="auto"/>
        <w:right w:val="none" w:sz="0" w:space="0" w:color="auto"/>
      </w:divBdr>
    </w:div>
    <w:div w:id="1219441233">
      <w:bodyDiv w:val="1"/>
      <w:marLeft w:val="0"/>
      <w:marRight w:val="0"/>
      <w:marTop w:val="0"/>
      <w:marBottom w:val="0"/>
      <w:divBdr>
        <w:top w:val="none" w:sz="0" w:space="0" w:color="auto"/>
        <w:left w:val="none" w:sz="0" w:space="0" w:color="auto"/>
        <w:bottom w:val="none" w:sz="0" w:space="0" w:color="auto"/>
        <w:right w:val="none" w:sz="0" w:space="0" w:color="auto"/>
      </w:divBdr>
    </w:div>
    <w:div w:id="1256553438">
      <w:bodyDiv w:val="1"/>
      <w:marLeft w:val="0"/>
      <w:marRight w:val="0"/>
      <w:marTop w:val="0"/>
      <w:marBottom w:val="0"/>
      <w:divBdr>
        <w:top w:val="none" w:sz="0" w:space="0" w:color="auto"/>
        <w:left w:val="none" w:sz="0" w:space="0" w:color="auto"/>
        <w:bottom w:val="none" w:sz="0" w:space="0" w:color="auto"/>
        <w:right w:val="none" w:sz="0" w:space="0" w:color="auto"/>
      </w:divBdr>
    </w:div>
    <w:div w:id="1292320826">
      <w:bodyDiv w:val="1"/>
      <w:marLeft w:val="0"/>
      <w:marRight w:val="0"/>
      <w:marTop w:val="0"/>
      <w:marBottom w:val="0"/>
      <w:divBdr>
        <w:top w:val="none" w:sz="0" w:space="0" w:color="auto"/>
        <w:left w:val="none" w:sz="0" w:space="0" w:color="auto"/>
        <w:bottom w:val="none" w:sz="0" w:space="0" w:color="auto"/>
        <w:right w:val="none" w:sz="0" w:space="0" w:color="auto"/>
      </w:divBdr>
    </w:div>
    <w:div w:id="1513379916">
      <w:bodyDiv w:val="1"/>
      <w:marLeft w:val="0"/>
      <w:marRight w:val="0"/>
      <w:marTop w:val="0"/>
      <w:marBottom w:val="0"/>
      <w:divBdr>
        <w:top w:val="none" w:sz="0" w:space="0" w:color="auto"/>
        <w:left w:val="none" w:sz="0" w:space="0" w:color="auto"/>
        <w:bottom w:val="none" w:sz="0" w:space="0" w:color="auto"/>
        <w:right w:val="none" w:sz="0" w:space="0" w:color="auto"/>
      </w:divBdr>
      <w:divsChild>
        <w:div w:id="970523073">
          <w:marLeft w:val="0"/>
          <w:marRight w:val="0"/>
          <w:marTop w:val="0"/>
          <w:marBottom w:val="0"/>
          <w:divBdr>
            <w:top w:val="none" w:sz="0" w:space="0" w:color="auto"/>
            <w:left w:val="none" w:sz="0" w:space="0" w:color="auto"/>
            <w:bottom w:val="none" w:sz="0" w:space="0" w:color="auto"/>
            <w:right w:val="none" w:sz="0" w:space="0" w:color="auto"/>
          </w:divBdr>
        </w:div>
      </w:divsChild>
    </w:div>
    <w:div w:id="1559588302">
      <w:bodyDiv w:val="1"/>
      <w:marLeft w:val="80"/>
      <w:marRight w:val="80"/>
      <w:marTop w:val="80"/>
      <w:marBottom w:val="20"/>
      <w:divBdr>
        <w:top w:val="none" w:sz="0" w:space="0" w:color="auto"/>
        <w:left w:val="none" w:sz="0" w:space="0" w:color="auto"/>
        <w:bottom w:val="none" w:sz="0" w:space="0" w:color="auto"/>
        <w:right w:val="none" w:sz="0" w:space="0" w:color="auto"/>
      </w:divBdr>
      <w:divsChild>
        <w:div w:id="211770417">
          <w:marLeft w:val="0"/>
          <w:marRight w:val="0"/>
          <w:marTop w:val="0"/>
          <w:marBottom w:val="0"/>
          <w:divBdr>
            <w:top w:val="none" w:sz="0" w:space="0" w:color="auto"/>
            <w:left w:val="none" w:sz="0" w:space="0" w:color="auto"/>
            <w:bottom w:val="none" w:sz="0" w:space="0" w:color="auto"/>
            <w:right w:val="none" w:sz="0" w:space="0" w:color="auto"/>
          </w:divBdr>
        </w:div>
      </w:divsChild>
    </w:div>
    <w:div w:id="1665277678">
      <w:bodyDiv w:val="1"/>
      <w:marLeft w:val="80"/>
      <w:marRight w:val="80"/>
      <w:marTop w:val="80"/>
      <w:marBottom w:val="20"/>
      <w:divBdr>
        <w:top w:val="none" w:sz="0" w:space="0" w:color="auto"/>
        <w:left w:val="none" w:sz="0" w:space="0" w:color="auto"/>
        <w:bottom w:val="none" w:sz="0" w:space="0" w:color="auto"/>
        <w:right w:val="none" w:sz="0" w:space="0" w:color="auto"/>
      </w:divBdr>
      <w:divsChild>
        <w:div w:id="196625976">
          <w:marLeft w:val="0"/>
          <w:marRight w:val="0"/>
          <w:marTop w:val="0"/>
          <w:marBottom w:val="0"/>
          <w:divBdr>
            <w:top w:val="none" w:sz="0" w:space="0" w:color="auto"/>
            <w:left w:val="none" w:sz="0" w:space="0" w:color="auto"/>
            <w:bottom w:val="none" w:sz="0" w:space="0" w:color="auto"/>
            <w:right w:val="none" w:sz="0" w:space="0" w:color="auto"/>
          </w:divBdr>
        </w:div>
      </w:divsChild>
    </w:div>
    <w:div w:id="1698769336">
      <w:bodyDiv w:val="1"/>
      <w:marLeft w:val="0"/>
      <w:marRight w:val="0"/>
      <w:marTop w:val="0"/>
      <w:marBottom w:val="0"/>
      <w:divBdr>
        <w:top w:val="none" w:sz="0" w:space="0" w:color="auto"/>
        <w:left w:val="none" w:sz="0" w:space="0" w:color="auto"/>
        <w:bottom w:val="none" w:sz="0" w:space="0" w:color="auto"/>
        <w:right w:val="none" w:sz="0" w:space="0" w:color="auto"/>
      </w:divBdr>
    </w:div>
    <w:div w:id="1771126455">
      <w:bodyDiv w:val="1"/>
      <w:marLeft w:val="0"/>
      <w:marRight w:val="0"/>
      <w:marTop w:val="0"/>
      <w:marBottom w:val="0"/>
      <w:divBdr>
        <w:top w:val="none" w:sz="0" w:space="0" w:color="auto"/>
        <w:left w:val="none" w:sz="0" w:space="0" w:color="auto"/>
        <w:bottom w:val="none" w:sz="0" w:space="0" w:color="auto"/>
        <w:right w:val="none" w:sz="0" w:space="0" w:color="auto"/>
      </w:divBdr>
    </w:div>
    <w:div w:id="1789658811">
      <w:bodyDiv w:val="1"/>
      <w:marLeft w:val="0"/>
      <w:marRight w:val="0"/>
      <w:marTop w:val="0"/>
      <w:marBottom w:val="0"/>
      <w:divBdr>
        <w:top w:val="none" w:sz="0" w:space="0" w:color="auto"/>
        <w:left w:val="none" w:sz="0" w:space="0" w:color="auto"/>
        <w:bottom w:val="none" w:sz="0" w:space="0" w:color="auto"/>
        <w:right w:val="none" w:sz="0" w:space="0" w:color="auto"/>
      </w:divBdr>
    </w:div>
    <w:div w:id="1814372750">
      <w:bodyDiv w:val="1"/>
      <w:marLeft w:val="0"/>
      <w:marRight w:val="0"/>
      <w:marTop w:val="0"/>
      <w:marBottom w:val="0"/>
      <w:divBdr>
        <w:top w:val="none" w:sz="0" w:space="0" w:color="auto"/>
        <w:left w:val="none" w:sz="0" w:space="0" w:color="auto"/>
        <w:bottom w:val="none" w:sz="0" w:space="0" w:color="auto"/>
        <w:right w:val="none" w:sz="0" w:space="0" w:color="auto"/>
      </w:divBdr>
    </w:div>
    <w:div w:id="1870218329">
      <w:bodyDiv w:val="1"/>
      <w:marLeft w:val="0"/>
      <w:marRight w:val="0"/>
      <w:marTop w:val="0"/>
      <w:marBottom w:val="0"/>
      <w:divBdr>
        <w:top w:val="none" w:sz="0" w:space="0" w:color="auto"/>
        <w:left w:val="none" w:sz="0" w:space="0" w:color="auto"/>
        <w:bottom w:val="none" w:sz="0" w:space="0" w:color="auto"/>
        <w:right w:val="none" w:sz="0" w:space="0" w:color="auto"/>
      </w:divBdr>
    </w:div>
    <w:div w:id="1927229257">
      <w:bodyDiv w:val="1"/>
      <w:marLeft w:val="0"/>
      <w:marRight w:val="0"/>
      <w:marTop w:val="0"/>
      <w:marBottom w:val="0"/>
      <w:divBdr>
        <w:top w:val="none" w:sz="0" w:space="0" w:color="auto"/>
        <w:left w:val="none" w:sz="0" w:space="0" w:color="auto"/>
        <w:bottom w:val="none" w:sz="0" w:space="0" w:color="auto"/>
        <w:right w:val="none" w:sz="0" w:space="0" w:color="auto"/>
      </w:divBdr>
    </w:div>
    <w:div w:id="2064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7" Type="http://schemas.openxmlformats.org/officeDocument/2006/relationships/settings" Target="settings.xml"/><Relationship Id="rId12" Type="http://schemas.openxmlformats.org/officeDocument/2006/relationships/hyperlink" Target="mailto:Jacqui.prokes@fife.gov.uk"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1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Stage 1 Complaints dealt with within 5 days (%)</a:t>
            </a:r>
          </a:p>
          <a:p>
            <a:pPr>
              <a:defRPr sz="1000"/>
            </a:pPr>
            <a:r>
              <a:rPr lang="en-GB" sz="1000"/>
              <a:t>Finance &amp; Corporate Services</a:t>
            </a:r>
          </a:p>
        </c:rich>
      </c:tx>
      <c:layout>
        <c:manualLayout>
          <c:xMode val="edge"/>
          <c:yMode val="edge"/>
          <c:x val="0.14597222222222223"/>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64221798299736"/>
          <c:y val="0.19631319346436096"/>
          <c:w val="0.85391305161445852"/>
          <c:h val="0.6147838078404444"/>
        </c:manualLayout>
      </c:layout>
      <c:lineChart>
        <c:grouping val="standard"/>
        <c:varyColors val="0"/>
        <c:ser>
          <c:idx val="0"/>
          <c:order val="0"/>
          <c:tx>
            <c:strRef>
              <c:f>Sheet1!$B$8</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6.5206559940517481E-2"/>
                  <c:y val="-6.3797520738723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9-43EA-9AB7-6A44FE083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Sheet1!$A$9:$A$13</c:f>
              <c:strCache>
                <c:ptCount val="4"/>
                <c:pt idx="0">
                  <c:v>2016/17</c:v>
                </c:pt>
                <c:pt idx="1">
                  <c:v>2017/18</c:v>
                </c:pt>
                <c:pt idx="2">
                  <c:v>2018/19</c:v>
                </c:pt>
                <c:pt idx="3">
                  <c:v>2019/20</c:v>
                </c:pt>
              </c:strCache>
            </c:strRef>
          </c:cat>
          <c:val>
            <c:numRef>
              <c:f>Sheet1!$B$9:$B$13</c:f>
              <c:numCache>
                <c:formatCode>0.00</c:formatCode>
                <c:ptCount val="4"/>
                <c:pt idx="0">
                  <c:v>91.8</c:v>
                </c:pt>
                <c:pt idx="1">
                  <c:v>88.25</c:v>
                </c:pt>
                <c:pt idx="2">
                  <c:v>90.77</c:v>
                </c:pt>
                <c:pt idx="3" formatCode="General">
                  <c:v>85.51</c:v>
                </c:pt>
              </c:numCache>
            </c:numRef>
          </c:val>
          <c:smooth val="0"/>
          <c:extLst>
            <c:ext xmlns:c16="http://schemas.microsoft.com/office/drawing/2014/chart" uri="{C3380CC4-5D6E-409C-BE32-E72D297353CC}">
              <c16:uniqueId val="{00000001-E5E9-43EA-9AB7-6A44FE083B33}"/>
            </c:ext>
          </c:extLst>
        </c:ser>
        <c:ser>
          <c:idx val="1"/>
          <c:order val="1"/>
          <c:tx>
            <c:strRef>
              <c:f>Sheet1!$C$8</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6.8683308704081625E-2"/>
                  <c:y val="-6.3797520738723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9-43EA-9AB7-6A44FE083B33}"/>
                </c:ext>
              </c:extLst>
            </c:dLbl>
            <c:dLbl>
              <c:idx val="1"/>
              <c:layout>
                <c:manualLayout>
                  <c:x val="-6.5206559940517481E-2"/>
                  <c:y val="-6.9341525072650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2168609722084585E-2"/>
                      <c:h val="8.8621127545712941E-2"/>
                    </c:manualLayout>
                  </c15:layout>
                </c:ext>
                <c:ext xmlns:c16="http://schemas.microsoft.com/office/drawing/2014/chart" uri="{C3380CC4-5D6E-409C-BE32-E72D297353CC}">
                  <c16:uniqueId val="{00000003-E5E9-43EA-9AB7-6A44FE083B33}"/>
                </c:ext>
              </c:extLst>
            </c:dLbl>
            <c:dLbl>
              <c:idx val="2"/>
              <c:layout>
                <c:manualLayout>
                  <c:x val="-6.5206559940517481E-2"/>
                  <c:y val="-6.379752073872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E9-43EA-9AB7-6A44FE083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Sheet1!$A$9:$A$13</c:f>
              <c:strCache>
                <c:ptCount val="4"/>
                <c:pt idx="0">
                  <c:v>2016/17</c:v>
                </c:pt>
                <c:pt idx="1">
                  <c:v>2017/18</c:v>
                </c:pt>
                <c:pt idx="2">
                  <c:v>2018/19</c:v>
                </c:pt>
                <c:pt idx="3">
                  <c:v>2019/20</c:v>
                </c:pt>
              </c:strCache>
            </c:strRef>
          </c:cat>
          <c:val>
            <c:numRef>
              <c:f>Sheet1!$C$9:$C$13</c:f>
              <c:numCache>
                <c:formatCode>0.00</c:formatCode>
                <c:ptCount val="4"/>
                <c:pt idx="0">
                  <c:v>93.6</c:v>
                </c:pt>
                <c:pt idx="1">
                  <c:v>93.04</c:v>
                </c:pt>
                <c:pt idx="2">
                  <c:v>93.24</c:v>
                </c:pt>
                <c:pt idx="3" formatCode="General">
                  <c:v>79.41</c:v>
                </c:pt>
              </c:numCache>
            </c:numRef>
          </c:val>
          <c:smooth val="0"/>
          <c:extLst>
            <c:ext xmlns:c16="http://schemas.microsoft.com/office/drawing/2014/chart" uri="{C3380CC4-5D6E-409C-BE32-E72D297353CC}">
              <c16:uniqueId val="{00000005-E5E9-43EA-9AB7-6A44FE083B33}"/>
            </c:ext>
          </c:extLst>
        </c:ser>
        <c:dLbls>
          <c:dLblPos val="t"/>
          <c:showLegendKey val="0"/>
          <c:showVal val="1"/>
          <c:showCatName val="0"/>
          <c:showSerName val="0"/>
          <c:showPercent val="0"/>
          <c:showBubbleSize val="0"/>
        </c:dLbls>
        <c:marker val="1"/>
        <c:smooth val="0"/>
        <c:axId val="412051448"/>
        <c:axId val="412051840"/>
      </c:lineChart>
      <c:catAx>
        <c:axId val="412051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1840"/>
        <c:crosses val="autoZero"/>
        <c:auto val="1"/>
        <c:lblAlgn val="ctr"/>
        <c:lblOffset val="100"/>
        <c:noMultiLvlLbl val="0"/>
      </c:catAx>
      <c:valAx>
        <c:axId val="412051840"/>
        <c:scaling>
          <c:orientation val="minMax"/>
          <c:max val="100"/>
          <c:min val="6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1448"/>
        <c:crosses val="autoZero"/>
        <c:crossBetween val="between"/>
      </c:valAx>
      <c:spPr>
        <a:noFill/>
        <a:ln>
          <a:noFill/>
        </a:ln>
        <a:effectLst/>
      </c:spPr>
    </c:plotArea>
    <c:legend>
      <c:legendPos val="b"/>
      <c:layout>
        <c:manualLayout>
          <c:xMode val="edge"/>
          <c:yMode val="edge"/>
          <c:x val="0.31236494809273407"/>
          <c:y val="0.89535626339346319"/>
          <c:w val="0.45730525142368761"/>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Rent collected as % of total due in the reporting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558748338276"/>
          <c:y val="0.17929036777398938"/>
          <c:w val="0.83944888707093435"/>
          <c:h val="0.61988358952463529"/>
        </c:manualLayout>
      </c:layout>
      <c:lineChart>
        <c:grouping val="standard"/>
        <c:varyColors val="0"/>
        <c:ser>
          <c:idx val="0"/>
          <c:order val="0"/>
          <c:tx>
            <c:strRef>
              <c:f>Sheet1!$B$151</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Sheet1!$A$152:$A$156</c:f>
              <c:strCache>
                <c:ptCount val="4"/>
                <c:pt idx="0">
                  <c:v>2016/17</c:v>
                </c:pt>
                <c:pt idx="1">
                  <c:v>2017/18</c:v>
                </c:pt>
                <c:pt idx="2">
                  <c:v>2018/19</c:v>
                </c:pt>
                <c:pt idx="3">
                  <c:v>2019/20</c:v>
                </c:pt>
              </c:strCache>
            </c:strRef>
          </c:cat>
          <c:val>
            <c:numRef>
              <c:f>Sheet1!$B$152:$B$156</c:f>
              <c:numCache>
                <c:formatCode>0.00</c:formatCode>
                <c:ptCount val="4"/>
                <c:pt idx="0">
                  <c:v>96.74</c:v>
                </c:pt>
                <c:pt idx="1">
                  <c:v>98.11</c:v>
                </c:pt>
                <c:pt idx="2">
                  <c:v>97.94</c:v>
                </c:pt>
                <c:pt idx="3" formatCode="General">
                  <c:v>99.96</c:v>
                </c:pt>
              </c:numCache>
            </c:numRef>
          </c:val>
          <c:smooth val="0"/>
          <c:extLst>
            <c:ext xmlns:c16="http://schemas.microsoft.com/office/drawing/2014/chart" uri="{C3380CC4-5D6E-409C-BE32-E72D297353CC}">
              <c16:uniqueId val="{00000000-4831-44D5-A98B-0873307EF7D6}"/>
            </c:ext>
          </c:extLst>
        </c:ser>
        <c:ser>
          <c:idx val="1"/>
          <c:order val="1"/>
          <c:tx>
            <c:strRef>
              <c:f>Sheet1!$C$151</c:f>
              <c:strCache>
                <c:ptCount val="1"/>
                <c:pt idx="0">
                  <c:v>Peer Group</c:v>
                </c:pt>
              </c:strCache>
            </c:strRef>
          </c:tx>
          <c:spPr>
            <a:ln w="2857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1"/>
              <c:layout>
                <c:manualLayout>
                  <c:x val="-5.7056413402870099E-2"/>
                  <c:y val="4.7279152810885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31-44D5-A98B-0873307EF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Sheet1!$A$152:$A$156</c:f>
              <c:strCache>
                <c:ptCount val="4"/>
                <c:pt idx="0">
                  <c:v>2016/17</c:v>
                </c:pt>
                <c:pt idx="1">
                  <c:v>2017/18</c:v>
                </c:pt>
                <c:pt idx="2">
                  <c:v>2018/19</c:v>
                </c:pt>
                <c:pt idx="3">
                  <c:v>2019/20</c:v>
                </c:pt>
              </c:strCache>
            </c:strRef>
          </c:cat>
          <c:val>
            <c:numRef>
              <c:f>Sheet1!$C$152:$C$156</c:f>
              <c:numCache>
                <c:formatCode>0.00</c:formatCode>
                <c:ptCount val="4"/>
                <c:pt idx="0">
                  <c:v>99.2</c:v>
                </c:pt>
                <c:pt idx="1">
                  <c:v>99.1</c:v>
                </c:pt>
                <c:pt idx="2">
                  <c:v>98.5</c:v>
                </c:pt>
              </c:numCache>
            </c:numRef>
          </c:val>
          <c:smooth val="0"/>
          <c:extLst>
            <c:ext xmlns:c16="http://schemas.microsoft.com/office/drawing/2014/chart" uri="{C3380CC4-5D6E-409C-BE32-E72D297353CC}">
              <c16:uniqueId val="{00000002-4831-44D5-A98B-0873307EF7D6}"/>
            </c:ext>
          </c:extLst>
        </c:ser>
        <c:ser>
          <c:idx val="2"/>
          <c:order val="2"/>
          <c:tx>
            <c:strRef>
              <c:f>Sheet1!$D$151</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0"/>
              <c:layout>
                <c:manualLayout>
                  <c:x val="-5.7056413402870099E-2"/>
                  <c:y val="-4.1712000238467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31-44D5-A98B-0873307EF7D6}"/>
                </c:ext>
              </c:extLst>
            </c:dLbl>
            <c:dLbl>
              <c:idx val="1"/>
              <c:layout>
                <c:manualLayout>
                  <c:x val="-5.7056413402870099E-2"/>
                  <c:y val="-3.6144847666047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31-44D5-A98B-0873307EF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Sheet1!$A$152:$A$156</c:f>
              <c:strCache>
                <c:ptCount val="4"/>
                <c:pt idx="0">
                  <c:v>2016/17</c:v>
                </c:pt>
                <c:pt idx="1">
                  <c:v>2017/18</c:v>
                </c:pt>
                <c:pt idx="2">
                  <c:v>2018/19</c:v>
                </c:pt>
                <c:pt idx="3">
                  <c:v>2019/20</c:v>
                </c:pt>
              </c:strCache>
            </c:strRef>
          </c:cat>
          <c:val>
            <c:numRef>
              <c:f>Sheet1!$D$152:$D$156</c:f>
              <c:numCache>
                <c:formatCode>0.00</c:formatCode>
                <c:ptCount val="4"/>
                <c:pt idx="0">
                  <c:v>99.6</c:v>
                </c:pt>
                <c:pt idx="1">
                  <c:v>99.4</c:v>
                </c:pt>
                <c:pt idx="2">
                  <c:v>99.1</c:v>
                </c:pt>
              </c:numCache>
            </c:numRef>
          </c:val>
          <c:smooth val="0"/>
          <c:extLst>
            <c:ext xmlns:c16="http://schemas.microsoft.com/office/drawing/2014/chart" uri="{C3380CC4-5D6E-409C-BE32-E72D297353CC}">
              <c16:uniqueId val="{00000005-4831-44D5-A98B-0873307EF7D6}"/>
            </c:ext>
          </c:extLst>
        </c:ser>
        <c:ser>
          <c:idx val="3"/>
          <c:order val="3"/>
          <c:tx>
            <c:strRef>
              <c:f>Sheet1!$E$151</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Sheet1!$A$152:$A$156</c:f>
              <c:strCache>
                <c:ptCount val="4"/>
                <c:pt idx="0">
                  <c:v>2016/17</c:v>
                </c:pt>
                <c:pt idx="1">
                  <c:v>2017/18</c:v>
                </c:pt>
                <c:pt idx="2">
                  <c:v>2018/19</c:v>
                </c:pt>
                <c:pt idx="3">
                  <c:v>2019/20</c:v>
                </c:pt>
              </c:strCache>
            </c:strRef>
          </c:cat>
          <c:val>
            <c:numRef>
              <c:f>Sheet1!$E$152:$E$156</c:f>
              <c:numCache>
                <c:formatCode>0.00</c:formatCode>
                <c:ptCount val="4"/>
                <c:pt idx="0">
                  <c:v>100.6</c:v>
                </c:pt>
                <c:pt idx="1">
                  <c:v>100.2</c:v>
                </c:pt>
                <c:pt idx="2">
                  <c:v>100.1</c:v>
                </c:pt>
              </c:numCache>
            </c:numRef>
          </c:val>
          <c:smooth val="0"/>
          <c:extLst>
            <c:ext xmlns:c16="http://schemas.microsoft.com/office/drawing/2014/chart" uri="{C3380CC4-5D6E-409C-BE32-E72D297353CC}">
              <c16:uniqueId val="{00000006-4831-44D5-A98B-0873307EF7D6}"/>
            </c:ext>
          </c:extLst>
        </c:ser>
        <c:dLbls>
          <c:dLblPos val="t"/>
          <c:showLegendKey val="0"/>
          <c:showVal val="1"/>
          <c:showCatName val="0"/>
          <c:showSerName val="0"/>
          <c:showPercent val="0"/>
          <c:showBubbleSize val="0"/>
        </c:dLbls>
        <c:marker val="1"/>
        <c:smooth val="0"/>
        <c:axId val="412049096"/>
        <c:axId val="412049488"/>
      </c:lineChart>
      <c:catAx>
        <c:axId val="412049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9488"/>
        <c:crosses val="autoZero"/>
        <c:auto val="1"/>
        <c:lblAlgn val="ctr"/>
        <c:lblOffset val="100"/>
        <c:noMultiLvlLbl val="0"/>
      </c:catAx>
      <c:valAx>
        <c:axId val="412049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9096"/>
        <c:crosses val="autoZero"/>
        <c:crossBetween val="between"/>
      </c:valAx>
      <c:spPr>
        <a:noFill/>
        <a:ln>
          <a:noFill/>
        </a:ln>
        <a:effectLst/>
      </c:spPr>
    </c:plotArea>
    <c:legend>
      <c:legendPos val="b"/>
      <c:layout>
        <c:manualLayout>
          <c:xMode val="edge"/>
          <c:yMode val="edge"/>
          <c:x val="4.9999931826703481E-2"/>
          <c:y val="0.88935218508546687"/>
          <c:w val="0.89999986365340701"/>
          <c:h val="0.11064781491453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In year collection of Non Domestic Rates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Sheet1!$B$167</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2"/>
              <c:layout>
                <c:manualLayout>
                  <c:x val="-1.3055328487055817E-2"/>
                  <c:y val="5.2846305383304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3-4E19-9395-586EB52AB8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Sheet1!$A$168:$A$172</c:f>
              <c:strCache>
                <c:ptCount val="4"/>
                <c:pt idx="0">
                  <c:v>2016/17</c:v>
                </c:pt>
                <c:pt idx="1">
                  <c:v>2017/18</c:v>
                </c:pt>
                <c:pt idx="2">
                  <c:v>2018/19</c:v>
                </c:pt>
                <c:pt idx="3">
                  <c:v>2019/20</c:v>
                </c:pt>
              </c:strCache>
            </c:strRef>
          </c:cat>
          <c:val>
            <c:numRef>
              <c:f>Sheet1!$B$168:$B$172</c:f>
              <c:numCache>
                <c:formatCode>0.00</c:formatCode>
                <c:ptCount val="4"/>
                <c:pt idx="0">
                  <c:v>97.8</c:v>
                </c:pt>
                <c:pt idx="1">
                  <c:v>97.9</c:v>
                </c:pt>
                <c:pt idx="2">
                  <c:v>98.4</c:v>
                </c:pt>
                <c:pt idx="3">
                  <c:v>98.2</c:v>
                </c:pt>
              </c:numCache>
            </c:numRef>
          </c:val>
          <c:smooth val="0"/>
          <c:extLst>
            <c:ext xmlns:c16="http://schemas.microsoft.com/office/drawing/2014/chart" uri="{C3380CC4-5D6E-409C-BE32-E72D297353CC}">
              <c16:uniqueId val="{00000001-5043-4E19-9395-586EB52AB805}"/>
            </c:ext>
          </c:extLst>
        </c:ser>
        <c:dLbls>
          <c:dLblPos val="t"/>
          <c:showLegendKey val="0"/>
          <c:showVal val="1"/>
          <c:showCatName val="0"/>
          <c:showSerName val="0"/>
          <c:showPercent val="0"/>
          <c:showBubbleSize val="0"/>
        </c:dLbls>
        <c:marker val="1"/>
        <c:smooth val="0"/>
        <c:axId val="413003216"/>
        <c:axId val="413003608"/>
      </c:lineChart>
      <c:catAx>
        <c:axId val="413003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3608"/>
        <c:crosses val="autoZero"/>
        <c:auto val="1"/>
        <c:lblAlgn val="ctr"/>
        <c:lblOffset val="100"/>
        <c:noMultiLvlLbl val="0"/>
      </c:catAx>
      <c:valAx>
        <c:axId val="413003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3216"/>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F&amp;CS % Calls Answered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Sheet1!$B$183</c:f>
              <c:strCache>
                <c:ptCount val="1"/>
                <c:pt idx="0">
                  <c:v>Value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Sheet1!$A$184:$A$187</c:f>
              <c:strCache>
                <c:ptCount val="4"/>
                <c:pt idx="0">
                  <c:v>2016/17</c:v>
                </c:pt>
                <c:pt idx="1">
                  <c:v>2017/18</c:v>
                </c:pt>
                <c:pt idx="2">
                  <c:v>2018/19</c:v>
                </c:pt>
                <c:pt idx="3">
                  <c:v>2019/20</c:v>
                </c:pt>
              </c:strCache>
            </c:strRef>
          </c:cat>
          <c:val>
            <c:numRef>
              <c:f>Sheet1!$B$184:$B$187</c:f>
              <c:numCache>
                <c:formatCode>0.00</c:formatCode>
                <c:ptCount val="4"/>
                <c:pt idx="0">
                  <c:v>91.35</c:v>
                </c:pt>
                <c:pt idx="1">
                  <c:v>92.4</c:v>
                </c:pt>
                <c:pt idx="2">
                  <c:v>92.75</c:v>
                </c:pt>
                <c:pt idx="3">
                  <c:v>91.89</c:v>
                </c:pt>
              </c:numCache>
            </c:numRef>
          </c:val>
          <c:smooth val="0"/>
          <c:extLst>
            <c:ext xmlns:c16="http://schemas.microsoft.com/office/drawing/2014/chart" uri="{C3380CC4-5D6E-409C-BE32-E72D297353CC}">
              <c16:uniqueId val="{00000000-7D1F-4A21-8426-3B3132DD8091}"/>
            </c:ext>
          </c:extLst>
        </c:ser>
        <c:dLbls>
          <c:dLblPos val="t"/>
          <c:showLegendKey val="0"/>
          <c:showVal val="1"/>
          <c:showCatName val="0"/>
          <c:showSerName val="0"/>
          <c:showPercent val="0"/>
          <c:showBubbleSize val="0"/>
        </c:dLbls>
        <c:marker val="1"/>
        <c:smooth val="0"/>
        <c:axId val="411735424"/>
        <c:axId val="411735816"/>
      </c:lineChart>
      <c:catAx>
        <c:axId val="4117354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5816"/>
        <c:crosses val="autoZero"/>
        <c:auto val="1"/>
        <c:lblAlgn val="ctr"/>
        <c:lblOffset val="100"/>
        <c:noMultiLvlLbl val="0"/>
      </c:catAx>
      <c:valAx>
        <c:axId val="411735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5424"/>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Average Time to process new Housing/Council</a:t>
            </a:r>
            <a:r>
              <a:rPr lang="en-US" sz="1000" baseline="0"/>
              <a:t> </a:t>
            </a:r>
            <a:r>
              <a:rPr lang="en-US" sz="1000"/>
              <a:t>Tax </a:t>
            </a:r>
          </a:p>
          <a:p>
            <a:pPr>
              <a:defRPr sz="1000"/>
            </a:pPr>
            <a:r>
              <a:rPr lang="en-US" sz="1000"/>
              <a:t>Benefit claims (in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Sheet1!$B$199</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Sheet1!$A$200:$A$204</c:f>
              <c:strCache>
                <c:ptCount val="4"/>
                <c:pt idx="0">
                  <c:v>2016/17</c:v>
                </c:pt>
                <c:pt idx="1">
                  <c:v>2017/18</c:v>
                </c:pt>
                <c:pt idx="2">
                  <c:v>2018/19</c:v>
                </c:pt>
                <c:pt idx="3">
                  <c:v>2019/20</c:v>
                </c:pt>
              </c:strCache>
            </c:strRef>
          </c:cat>
          <c:val>
            <c:numRef>
              <c:f>Sheet1!$B$200:$B$204</c:f>
              <c:numCache>
                <c:formatCode>0.00</c:formatCode>
                <c:ptCount val="4"/>
                <c:pt idx="0">
                  <c:v>17.5</c:v>
                </c:pt>
                <c:pt idx="1">
                  <c:v>19.5</c:v>
                </c:pt>
                <c:pt idx="2">
                  <c:v>18.899999999999999</c:v>
                </c:pt>
                <c:pt idx="3">
                  <c:v>14.2</c:v>
                </c:pt>
              </c:numCache>
            </c:numRef>
          </c:val>
          <c:smooth val="0"/>
          <c:extLst>
            <c:ext xmlns:c16="http://schemas.microsoft.com/office/drawing/2014/chart" uri="{C3380CC4-5D6E-409C-BE32-E72D297353CC}">
              <c16:uniqueId val="{00000000-BFFA-42B7-A1DC-9D70B0FFCB7E}"/>
            </c:ext>
          </c:extLst>
        </c:ser>
        <c:dLbls>
          <c:dLblPos val="t"/>
          <c:showLegendKey val="0"/>
          <c:showVal val="1"/>
          <c:showCatName val="0"/>
          <c:showSerName val="0"/>
          <c:showPercent val="0"/>
          <c:showBubbleSize val="0"/>
        </c:dLbls>
        <c:marker val="1"/>
        <c:smooth val="0"/>
        <c:axId val="411733072"/>
        <c:axId val="411733464"/>
      </c:lineChart>
      <c:catAx>
        <c:axId val="411733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3464"/>
        <c:crosses val="autoZero"/>
        <c:auto val="1"/>
        <c:lblAlgn val="ctr"/>
        <c:lblOffset val="100"/>
        <c:noMultiLvlLbl val="0"/>
      </c:catAx>
      <c:valAx>
        <c:axId val="411733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income due from council tax received </a:t>
            </a:r>
          </a:p>
          <a:p>
            <a:pPr>
              <a:defRPr sz="1000"/>
            </a:pPr>
            <a:r>
              <a:rPr lang="en-GB" sz="1000"/>
              <a:t>by the end of the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08085056057783"/>
          <c:y val="0.24723724574112829"/>
          <c:w val="0.85467491304021692"/>
          <c:h val="0.55750386412991537"/>
        </c:manualLayout>
      </c:layout>
      <c:lineChart>
        <c:grouping val="standard"/>
        <c:varyColors val="0"/>
        <c:ser>
          <c:idx val="0"/>
          <c:order val="0"/>
          <c:tx>
            <c:strRef>
              <c:f>Sheet1!$B$215</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558914826946427E-2"/>
                  <c:y val="3.9259368945698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A3-40A6-A13F-CDB4337AE630}"/>
                </c:ext>
              </c:extLst>
            </c:dLbl>
            <c:dLbl>
              <c:idx val="1"/>
              <c:layout>
                <c:manualLayout>
                  <c:x val="-8.718763634769984E-3"/>
                  <c:y val="3.925936894569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A3-40A6-A13F-CDB4337A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Sheet1!$B$216:$B$220</c:f>
              <c:numCache>
                <c:formatCode>0.00</c:formatCode>
                <c:ptCount val="4"/>
                <c:pt idx="0">
                  <c:v>95.77</c:v>
                </c:pt>
                <c:pt idx="1">
                  <c:v>95.79</c:v>
                </c:pt>
                <c:pt idx="2">
                  <c:v>95.7</c:v>
                </c:pt>
                <c:pt idx="3">
                  <c:v>95.33</c:v>
                </c:pt>
              </c:numCache>
            </c:numRef>
          </c:val>
          <c:smooth val="0"/>
          <c:extLst>
            <c:ext xmlns:c16="http://schemas.microsoft.com/office/drawing/2014/chart" uri="{C3380CC4-5D6E-409C-BE32-E72D297353CC}">
              <c16:uniqueId val="{00000002-3EA3-40A6-A13F-CDB4337AE630}"/>
            </c:ext>
          </c:extLst>
        </c:ser>
        <c:ser>
          <c:idx val="1"/>
          <c:order val="1"/>
          <c:tx>
            <c:strRef>
              <c:f>Sheet1!$C$215</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0"/>
              <c:layout>
                <c:manualLayout>
                  <c:x val="-6.606794106201215E-2"/>
                  <c:y val="-6.3446815946383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3-40A6-A13F-CDB4337AE630}"/>
                </c:ext>
              </c:extLst>
            </c:dLbl>
            <c:dLbl>
              <c:idx val="1"/>
              <c:layout>
                <c:manualLayout>
                  <c:x val="-4.6006158304654952E-2"/>
                  <c:y val="-5.7399954196212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A3-40A6-A13F-CDB4337A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Sheet1!$C$216:$C$220</c:f>
              <c:numCache>
                <c:formatCode>0.00</c:formatCode>
                <c:ptCount val="4"/>
                <c:pt idx="0">
                  <c:v>96.84</c:v>
                </c:pt>
                <c:pt idx="1">
                  <c:v>96.99</c:v>
                </c:pt>
                <c:pt idx="2">
                  <c:v>96.94</c:v>
                </c:pt>
              </c:numCache>
            </c:numRef>
          </c:val>
          <c:smooth val="0"/>
          <c:extLst>
            <c:ext xmlns:c16="http://schemas.microsoft.com/office/drawing/2014/chart" uri="{C3380CC4-5D6E-409C-BE32-E72D297353CC}">
              <c16:uniqueId val="{00000005-3EA3-40A6-A13F-CDB4337AE630}"/>
            </c:ext>
          </c:extLst>
        </c:ser>
        <c:ser>
          <c:idx val="2"/>
          <c:order val="2"/>
          <c:tx>
            <c:strRef>
              <c:f>Sheet1!$D$215</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Sheet1!$D$216:$D$220</c:f>
              <c:numCache>
                <c:formatCode>0.00</c:formatCode>
                <c:ptCount val="4"/>
                <c:pt idx="0">
                  <c:v>95.83</c:v>
                </c:pt>
                <c:pt idx="1">
                  <c:v>96</c:v>
                </c:pt>
                <c:pt idx="2">
                  <c:v>96.01</c:v>
                </c:pt>
              </c:numCache>
            </c:numRef>
          </c:val>
          <c:smooth val="0"/>
          <c:extLst>
            <c:ext xmlns:c16="http://schemas.microsoft.com/office/drawing/2014/chart" uri="{C3380CC4-5D6E-409C-BE32-E72D297353CC}">
              <c16:uniqueId val="{00000006-3EA3-40A6-A13F-CDB4337AE630}"/>
            </c:ext>
          </c:extLst>
        </c:ser>
        <c:dLbls>
          <c:dLblPos val="t"/>
          <c:showLegendKey val="0"/>
          <c:showVal val="1"/>
          <c:showCatName val="0"/>
          <c:showSerName val="0"/>
          <c:showPercent val="0"/>
          <c:showBubbleSize val="0"/>
        </c:dLbls>
        <c:marker val="1"/>
        <c:smooth val="0"/>
        <c:axId val="412046744"/>
        <c:axId val="412047136"/>
      </c:lineChart>
      <c:catAx>
        <c:axId val="412046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7136"/>
        <c:crosses val="autoZero"/>
        <c:auto val="1"/>
        <c:lblAlgn val="ctr"/>
        <c:lblOffset val="100"/>
        <c:noMultiLvlLbl val="0"/>
      </c:catAx>
      <c:valAx>
        <c:axId val="412047136"/>
        <c:scaling>
          <c:orientation val="minMax"/>
          <c:max val="99"/>
          <c:min val="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6744"/>
        <c:crosses val="autoZero"/>
        <c:crossBetween val="between"/>
        <c:majorUnit val="4"/>
      </c:valAx>
      <c:spPr>
        <a:noFill/>
        <a:ln>
          <a:noFill/>
        </a:ln>
        <a:effectLst/>
      </c:spPr>
    </c:plotArea>
    <c:legend>
      <c:legendPos val="b"/>
      <c:layout>
        <c:manualLayout>
          <c:xMode val="edge"/>
          <c:yMode val="edge"/>
          <c:x val="5.0000027375974518E-2"/>
          <c:y val="0.89491933765788589"/>
          <c:w val="0.8999999452480509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3 year collection of Council Tax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Sheet1!$B$231</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8.2806226091472243E-2"/>
                  <c:y val="6.9258583275528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7C-4274-9585-8FEBB7C21F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Sheet1!$A$232:$A$236</c:f>
              <c:strCache>
                <c:ptCount val="4"/>
                <c:pt idx="0">
                  <c:v>2016/17</c:v>
                </c:pt>
                <c:pt idx="1">
                  <c:v>2017/18</c:v>
                </c:pt>
                <c:pt idx="2">
                  <c:v>2018/19</c:v>
                </c:pt>
                <c:pt idx="3">
                  <c:v>2019/20</c:v>
                </c:pt>
              </c:strCache>
            </c:strRef>
          </c:cat>
          <c:val>
            <c:numRef>
              <c:f>Sheet1!$B$232:$B$236</c:f>
              <c:numCache>
                <c:formatCode>0.00</c:formatCode>
                <c:ptCount val="4"/>
                <c:pt idx="0">
                  <c:v>97.41</c:v>
                </c:pt>
                <c:pt idx="1">
                  <c:v>97.23</c:v>
                </c:pt>
                <c:pt idx="2">
                  <c:v>97.26</c:v>
                </c:pt>
                <c:pt idx="3">
                  <c:v>97.16</c:v>
                </c:pt>
              </c:numCache>
            </c:numRef>
          </c:val>
          <c:smooth val="0"/>
          <c:extLst>
            <c:ext xmlns:c16="http://schemas.microsoft.com/office/drawing/2014/chart" uri="{C3380CC4-5D6E-409C-BE32-E72D297353CC}">
              <c16:uniqueId val="{00000001-767C-4274-9585-8FEBB7C21FBD}"/>
            </c:ext>
          </c:extLst>
        </c:ser>
        <c:dLbls>
          <c:dLblPos val="t"/>
          <c:showLegendKey val="0"/>
          <c:showVal val="1"/>
          <c:showCatName val="0"/>
          <c:showSerName val="0"/>
          <c:showPercent val="0"/>
          <c:showBubbleSize val="0"/>
        </c:dLbls>
        <c:marker val="1"/>
        <c:smooth val="0"/>
        <c:axId val="411734248"/>
        <c:axId val="411734640"/>
      </c:lineChart>
      <c:catAx>
        <c:axId val="411734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4640"/>
        <c:crosses val="autoZero"/>
        <c:auto val="1"/>
        <c:lblAlgn val="ctr"/>
        <c:lblOffset val="100"/>
        <c:noMultiLvlLbl val="0"/>
      </c:catAx>
      <c:valAx>
        <c:axId val="411734640"/>
        <c:scaling>
          <c:orientation val="minMax"/>
          <c:max val="100"/>
          <c:min val="9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4248"/>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invoices sampled that were paid within 30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Sheet1!$B$248</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Sheet1!$A$249:$A$253</c:f>
              <c:strCache>
                <c:ptCount val="4"/>
                <c:pt idx="0">
                  <c:v>2016/17</c:v>
                </c:pt>
                <c:pt idx="1">
                  <c:v>2017/18</c:v>
                </c:pt>
                <c:pt idx="2">
                  <c:v>2018/19</c:v>
                </c:pt>
                <c:pt idx="3">
                  <c:v>2019/20</c:v>
                </c:pt>
              </c:strCache>
            </c:strRef>
          </c:cat>
          <c:val>
            <c:numRef>
              <c:f>Sheet1!$B$249:$B$253</c:f>
              <c:numCache>
                <c:formatCode>0.00</c:formatCode>
                <c:ptCount val="4"/>
                <c:pt idx="0">
                  <c:v>97.2</c:v>
                </c:pt>
                <c:pt idx="1">
                  <c:v>97</c:v>
                </c:pt>
                <c:pt idx="2">
                  <c:v>96.2</c:v>
                </c:pt>
                <c:pt idx="3">
                  <c:v>96.9</c:v>
                </c:pt>
              </c:numCache>
            </c:numRef>
          </c:val>
          <c:smooth val="0"/>
          <c:extLst>
            <c:ext xmlns:c16="http://schemas.microsoft.com/office/drawing/2014/chart" uri="{C3380CC4-5D6E-409C-BE32-E72D297353CC}">
              <c16:uniqueId val="{00000000-1BB5-44E2-B67A-34E9CCBD7D2B}"/>
            </c:ext>
          </c:extLst>
        </c:ser>
        <c:ser>
          <c:idx val="1"/>
          <c:order val="1"/>
          <c:tx>
            <c:strRef>
              <c:f>Sheet1!$C$248</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prstDash val="dashDot"/>
              </a:ln>
              <a:effectLst/>
            </c:spPr>
          </c:marker>
          <c:dLbls>
            <c:dLbl>
              <c:idx val="0"/>
              <c:layout>
                <c:manualLayout>
                  <c:x val="-5.7279572759591377E-2"/>
                  <c:y val="5.2626570273747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B5-44E2-B67A-34E9CCBD7D2B}"/>
                </c:ext>
              </c:extLst>
            </c:dLbl>
            <c:dLbl>
              <c:idx val="1"/>
              <c:layout>
                <c:manualLayout>
                  <c:x val="-5.7279572759591307E-2"/>
                  <c:y val="4.1538561605892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5-44E2-B67A-34E9CCBD7D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Sheet1!$A$249:$A$253</c:f>
              <c:strCache>
                <c:ptCount val="4"/>
                <c:pt idx="0">
                  <c:v>2016/17</c:v>
                </c:pt>
                <c:pt idx="1">
                  <c:v>2017/18</c:v>
                </c:pt>
                <c:pt idx="2">
                  <c:v>2018/19</c:v>
                </c:pt>
                <c:pt idx="3">
                  <c:v>2019/20</c:v>
                </c:pt>
              </c:strCache>
            </c:strRef>
          </c:cat>
          <c:val>
            <c:numRef>
              <c:f>Sheet1!$C$249:$C$253</c:f>
              <c:numCache>
                <c:formatCode>0.00</c:formatCode>
                <c:ptCount val="4"/>
                <c:pt idx="0">
                  <c:v>95.4</c:v>
                </c:pt>
                <c:pt idx="1">
                  <c:v>95.7</c:v>
                </c:pt>
                <c:pt idx="2">
                  <c:v>95.9</c:v>
                </c:pt>
              </c:numCache>
            </c:numRef>
          </c:val>
          <c:smooth val="0"/>
          <c:extLst>
            <c:ext xmlns:c16="http://schemas.microsoft.com/office/drawing/2014/chart" uri="{C3380CC4-5D6E-409C-BE32-E72D297353CC}">
              <c16:uniqueId val="{00000003-1BB5-44E2-B67A-34E9CCBD7D2B}"/>
            </c:ext>
          </c:extLst>
        </c:ser>
        <c:ser>
          <c:idx val="2"/>
          <c:order val="2"/>
          <c:tx>
            <c:strRef>
              <c:f>Sheet1!$D$248</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prstDash val="sysDot"/>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Sheet1!$A$249:$A$253</c:f>
              <c:strCache>
                <c:ptCount val="4"/>
                <c:pt idx="0">
                  <c:v>2016/17</c:v>
                </c:pt>
                <c:pt idx="1">
                  <c:v>2017/18</c:v>
                </c:pt>
                <c:pt idx="2">
                  <c:v>2018/19</c:v>
                </c:pt>
                <c:pt idx="3">
                  <c:v>2019/20</c:v>
                </c:pt>
              </c:strCache>
            </c:strRef>
          </c:cat>
          <c:val>
            <c:numRef>
              <c:f>Sheet1!$D$249:$D$253</c:f>
              <c:numCache>
                <c:formatCode>0.00</c:formatCode>
                <c:ptCount val="4"/>
                <c:pt idx="0">
                  <c:v>93.1</c:v>
                </c:pt>
                <c:pt idx="1">
                  <c:v>93.2</c:v>
                </c:pt>
                <c:pt idx="2">
                  <c:v>92.7</c:v>
                </c:pt>
              </c:numCache>
            </c:numRef>
          </c:val>
          <c:smooth val="0"/>
          <c:extLst>
            <c:ext xmlns:c16="http://schemas.microsoft.com/office/drawing/2014/chart" uri="{C3380CC4-5D6E-409C-BE32-E72D297353CC}">
              <c16:uniqueId val="{00000004-1BB5-44E2-B67A-34E9CCBD7D2B}"/>
            </c:ext>
          </c:extLst>
        </c:ser>
        <c:dLbls>
          <c:dLblPos val="t"/>
          <c:showLegendKey val="0"/>
          <c:showVal val="1"/>
          <c:showCatName val="0"/>
          <c:showSerName val="0"/>
          <c:showPercent val="0"/>
          <c:showBubbleSize val="0"/>
        </c:dLbls>
        <c:marker val="1"/>
        <c:smooth val="0"/>
        <c:axId val="412047920"/>
        <c:axId val="412048312"/>
      </c:lineChart>
      <c:catAx>
        <c:axId val="4120479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8312"/>
        <c:crosses val="autoZero"/>
        <c:auto val="1"/>
        <c:lblAlgn val="ctr"/>
        <c:lblOffset val="100"/>
        <c:noMultiLvlLbl val="0"/>
      </c:catAx>
      <c:valAx>
        <c:axId val="412048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7920"/>
        <c:crosses val="autoZero"/>
        <c:crossBetween val="between"/>
        <c:majorUnit val="5"/>
      </c:valAx>
      <c:spPr>
        <a:noFill/>
        <a:ln>
          <a:noFill/>
        </a:ln>
        <a:effectLst/>
      </c:spPr>
    </c:plotArea>
    <c:legend>
      <c:legendPos val="b"/>
      <c:layout>
        <c:manualLayout>
          <c:xMode val="edge"/>
          <c:yMode val="edge"/>
          <c:x val="5.0000027375974518E-2"/>
          <c:y val="0.90644427206131761"/>
          <c:w val="0.89999994524805094"/>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Gross rent arrears (all tenants) as at 31 March </a:t>
            </a:r>
          </a:p>
          <a:p>
            <a:pPr>
              <a:defRPr sz="1000"/>
            </a:pPr>
            <a:r>
              <a:rPr lang="en-GB" sz="1000"/>
              <a:t>each year as a % of rent due for the reporting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52530796146288"/>
          <c:y val="0.19631319346436096"/>
          <c:w val="0.85542886929013084"/>
          <c:h val="0.57043177316902705"/>
        </c:manualLayout>
      </c:layout>
      <c:lineChart>
        <c:grouping val="standard"/>
        <c:varyColors val="0"/>
        <c:ser>
          <c:idx val="0"/>
          <c:order val="0"/>
          <c:tx>
            <c:strRef>
              <c:f>Sheet1!$B$263</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Sheet1!$A$264:$A$268</c:f>
              <c:strCache>
                <c:ptCount val="4"/>
                <c:pt idx="0">
                  <c:v>2016/17</c:v>
                </c:pt>
                <c:pt idx="1">
                  <c:v>2017/18</c:v>
                </c:pt>
                <c:pt idx="2">
                  <c:v>2018/19</c:v>
                </c:pt>
                <c:pt idx="3">
                  <c:v>2019/20</c:v>
                </c:pt>
              </c:strCache>
            </c:strRef>
          </c:cat>
          <c:val>
            <c:numRef>
              <c:f>Sheet1!$B$264:$B$268</c:f>
              <c:numCache>
                <c:formatCode>0.00</c:formatCode>
                <c:ptCount val="4"/>
                <c:pt idx="0">
                  <c:v>7.55</c:v>
                </c:pt>
                <c:pt idx="1">
                  <c:v>8.2100000000000009</c:v>
                </c:pt>
                <c:pt idx="2">
                  <c:v>9.0500000000000007</c:v>
                </c:pt>
                <c:pt idx="3">
                  <c:v>7.79</c:v>
                </c:pt>
              </c:numCache>
            </c:numRef>
          </c:val>
          <c:smooth val="0"/>
          <c:extLst>
            <c:ext xmlns:c16="http://schemas.microsoft.com/office/drawing/2014/chart" uri="{C3380CC4-5D6E-409C-BE32-E72D297353CC}">
              <c16:uniqueId val="{00000000-2B0F-475B-81EE-B24A44E532CE}"/>
            </c:ext>
          </c:extLst>
        </c:ser>
        <c:ser>
          <c:idx val="1"/>
          <c:order val="1"/>
          <c:tx>
            <c:strRef>
              <c:f>Sheet1!$C$263</c:f>
              <c:strCache>
                <c:ptCount val="1"/>
                <c:pt idx="0">
                  <c:v>Peer Group</c:v>
                </c:pt>
              </c:strCache>
            </c:strRef>
          </c:tx>
          <c:spPr>
            <a:ln w="2857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0"/>
              <c:layout>
                <c:manualLayout>
                  <c:x val="-4.9096541070969488E-2"/>
                  <c:y val="-3.5994557271965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0F-475B-81EE-B24A44E532CE}"/>
                </c:ext>
              </c:extLst>
            </c:dLbl>
            <c:dLbl>
              <c:idx val="1"/>
              <c:layout>
                <c:manualLayout>
                  <c:x val="-4.9096541070969488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0F-475B-81EE-B24A44E532CE}"/>
                </c:ext>
              </c:extLst>
            </c:dLbl>
            <c:dLbl>
              <c:idx val="2"/>
              <c:layout>
                <c:manualLayout>
                  <c:x val="-4.9096541070969613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0F-475B-81EE-B24A44E53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Sheet1!$A$264:$A$268</c:f>
              <c:strCache>
                <c:ptCount val="4"/>
                <c:pt idx="0">
                  <c:v>2016/17</c:v>
                </c:pt>
                <c:pt idx="1">
                  <c:v>2017/18</c:v>
                </c:pt>
                <c:pt idx="2">
                  <c:v>2018/19</c:v>
                </c:pt>
                <c:pt idx="3">
                  <c:v>2019/20</c:v>
                </c:pt>
              </c:strCache>
            </c:strRef>
          </c:cat>
          <c:val>
            <c:numRef>
              <c:f>Sheet1!$C$264:$C$268</c:f>
              <c:numCache>
                <c:formatCode>0.00</c:formatCode>
                <c:ptCount val="4"/>
                <c:pt idx="0">
                  <c:v>6</c:v>
                </c:pt>
                <c:pt idx="1">
                  <c:v>6.3</c:v>
                </c:pt>
                <c:pt idx="2">
                  <c:v>6.9</c:v>
                </c:pt>
              </c:numCache>
            </c:numRef>
          </c:val>
          <c:smooth val="0"/>
          <c:extLst>
            <c:ext xmlns:c16="http://schemas.microsoft.com/office/drawing/2014/chart" uri="{C3380CC4-5D6E-409C-BE32-E72D297353CC}">
              <c16:uniqueId val="{00000004-2B0F-475B-81EE-B24A44E532CE}"/>
            </c:ext>
          </c:extLst>
        </c:ser>
        <c:ser>
          <c:idx val="2"/>
          <c:order val="2"/>
          <c:tx>
            <c:strRef>
              <c:f>Sheet1!$D$263</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Sheet1!$A$264:$A$268</c:f>
              <c:strCache>
                <c:ptCount val="4"/>
                <c:pt idx="0">
                  <c:v>2016/17</c:v>
                </c:pt>
                <c:pt idx="1">
                  <c:v>2017/18</c:v>
                </c:pt>
                <c:pt idx="2">
                  <c:v>2018/19</c:v>
                </c:pt>
                <c:pt idx="3">
                  <c:v>2019/20</c:v>
                </c:pt>
              </c:strCache>
            </c:strRef>
          </c:cat>
          <c:val>
            <c:numRef>
              <c:f>Sheet1!$D$264:$D$268</c:f>
              <c:numCache>
                <c:formatCode>0.00</c:formatCode>
                <c:ptCount val="4"/>
                <c:pt idx="0">
                  <c:v>5.3</c:v>
                </c:pt>
                <c:pt idx="1">
                  <c:v>5.2</c:v>
                </c:pt>
                <c:pt idx="2">
                  <c:v>5.7</c:v>
                </c:pt>
              </c:numCache>
            </c:numRef>
          </c:val>
          <c:smooth val="0"/>
          <c:extLst>
            <c:ext xmlns:c16="http://schemas.microsoft.com/office/drawing/2014/chart" uri="{C3380CC4-5D6E-409C-BE32-E72D297353CC}">
              <c16:uniqueId val="{00000005-2B0F-475B-81EE-B24A44E532CE}"/>
            </c:ext>
          </c:extLst>
        </c:ser>
        <c:ser>
          <c:idx val="3"/>
          <c:order val="3"/>
          <c:tx>
            <c:strRef>
              <c:f>Sheet1!$E$263</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Sheet1!$A$264:$A$268</c:f>
              <c:strCache>
                <c:ptCount val="4"/>
                <c:pt idx="0">
                  <c:v>2016/17</c:v>
                </c:pt>
                <c:pt idx="1">
                  <c:v>2017/18</c:v>
                </c:pt>
                <c:pt idx="2">
                  <c:v>2018/19</c:v>
                </c:pt>
                <c:pt idx="3">
                  <c:v>2019/20</c:v>
                </c:pt>
              </c:strCache>
            </c:strRef>
          </c:cat>
          <c:val>
            <c:numRef>
              <c:f>Sheet1!$E$264:$E$268</c:f>
              <c:numCache>
                <c:formatCode>0.00</c:formatCode>
                <c:ptCount val="4"/>
                <c:pt idx="0">
                  <c:v>2.7</c:v>
                </c:pt>
                <c:pt idx="1">
                  <c:v>2.7</c:v>
                </c:pt>
                <c:pt idx="2">
                  <c:v>2.9</c:v>
                </c:pt>
              </c:numCache>
            </c:numRef>
          </c:val>
          <c:smooth val="0"/>
          <c:extLst>
            <c:ext xmlns:c16="http://schemas.microsoft.com/office/drawing/2014/chart" uri="{C3380CC4-5D6E-409C-BE32-E72D297353CC}">
              <c16:uniqueId val="{00000006-2B0F-475B-81EE-B24A44E532CE}"/>
            </c:ext>
          </c:extLst>
        </c:ser>
        <c:dLbls>
          <c:dLblPos val="t"/>
          <c:showLegendKey val="0"/>
          <c:showVal val="1"/>
          <c:showCatName val="0"/>
          <c:showSerName val="0"/>
          <c:showPercent val="0"/>
          <c:showBubbleSize val="0"/>
        </c:dLbls>
        <c:marker val="1"/>
        <c:smooth val="0"/>
        <c:axId val="412050272"/>
        <c:axId val="412050664"/>
      </c:lineChart>
      <c:catAx>
        <c:axId val="412050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0664"/>
        <c:crosses val="autoZero"/>
        <c:auto val="1"/>
        <c:lblAlgn val="ctr"/>
        <c:lblOffset val="100"/>
        <c:noMultiLvlLbl val="0"/>
      </c:catAx>
      <c:valAx>
        <c:axId val="412050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0272"/>
        <c:crosses val="autoZero"/>
        <c:crossBetween val="between"/>
      </c:valAx>
      <c:spPr>
        <a:noFill/>
        <a:ln>
          <a:noFill/>
        </a:ln>
        <a:effectLst/>
      </c:spPr>
    </c:plotArea>
    <c:legend>
      <c:legendPos val="b"/>
      <c:layout>
        <c:manualLayout>
          <c:xMode val="edge"/>
          <c:yMode val="edge"/>
          <c:x val="4.9999891064215464E-2"/>
          <c:y val="0.88426825472560888"/>
          <c:w val="0.8999999455321076"/>
          <c:h val="0.110187740940463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Level of Balances as a percentage of budget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Sheet1!$B$279</c:f>
              <c:strCache>
                <c:ptCount val="1"/>
                <c:pt idx="0">
                  <c:v>Fife</c:v>
                </c:pt>
              </c:strCache>
            </c:strRef>
          </c:tx>
          <c:spPr>
            <a:ln w="28575" cap="rnd">
              <a:solidFill>
                <a:srgbClr val="0070C0"/>
              </a:solidFill>
              <a:prstDash val="solid"/>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Sheet1!$A$280:$A$284</c:f>
              <c:strCache>
                <c:ptCount val="4"/>
                <c:pt idx="0">
                  <c:v>2016/17</c:v>
                </c:pt>
                <c:pt idx="1">
                  <c:v>2017/18</c:v>
                </c:pt>
                <c:pt idx="2">
                  <c:v>2018/19</c:v>
                </c:pt>
                <c:pt idx="3">
                  <c:v>2019/20</c:v>
                </c:pt>
              </c:strCache>
            </c:strRef>
          </c:cat>
          <c:val>
            <c:numRef>
              <c:f>Sheet1!$B$280:$B$284</c:f>
              <c:numCache>
                <c:formatCode>0.00</c:formatCode>
                <c:ptCount val="4"/>
                <c:pt idx="0">
                  <c:v>5.43</c:v>
                </c:pt>
                <c:pt idx="1">
                  <c:v>2.9</c:v>
                </c:pt>
                <c:pt idx="2">
                  <c:v>1.53</c:v>
                </c:pt>
                <c:pt idx="3">
                  <c:v>2.31</c:v>
                </c:pt>
              </c:numCache>
            </c:numRef>
          </c:val>
          <c:smooth val="0"/>
          <c:extLst>
            <c:ext xmlns:c16="http://schemas.microsoft.com/office/drawing/2014/chart" uri="{C3380CC4-5D6E-409C-BE32-E72D297353CC}">
              <c16:uniqueId val="{00000000-E153-45A7-8832-DE0DF7B63BEE}"/>
            </c:ext>
          </c:extLst>
        </c:ser>
        <c:dLbls>
          <c:dLblPos val="t"/>
          <c:showLegendKey val="0"/>
          <c:showVal val="1"/>
          <c:showCatName val="0"/>
          <c:showSerName val="0"/>
          <c:showPercent val="0"/>
          <c:showBubbleSize val="0"/>
        </c:dLbls>
        <c:marker val="1"/>
        <c:smooth val="0"/>
        <c:axId val="407486664"/>
        <c:axId val="407487056"/>
      </c:lineChart>
      <c:catAx>
        <c:axId val="407486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7056"/>
        <c:crosses val="autoZero"/>
        <c:auto val="1"/>
        <c:lblAlgn val="ctr"/>
        <c:lblOffset val="100"/>
        <c:noMultiLvlLbl val="0"/>
      </c:catAx>
      <c:valAx>
        <c:axId val="407487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6664"/>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Support services as a % of total gross expenditure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21735051188228"/>
          <c:y val="0.19473942072968956"/>
          <c:w val="0.85083526352517358"/>
          <c:h val="0.61131724931591902"/>
        </c:manualLayout>
      </c:layout>
      <c:lineChart>
        <c:grouping val="standard"/>
        <c:varyColors val="0"/>
        <c:ser>
          <c:idx val="0"/>
          <c:order val="0"/>
          <c:tx>
            <c:strRef>
              <c:f>Sheet1!$B$295</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5.3385208342557597E-2"/>
                  <c:y val="4.716550773694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88-44E4-AEDA-5DE5F8E1A6B9}"/>
                </c:ext>
              </c:extLst>
            </c:dLbl>
            <c:dLbl>
              <c:idx val="1"/>
              <c:layout>
                <c:manualLayout>
                  <c:x val="-1.443066491688539E-2"/>
                  <c:y val="-1.1539442986293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88-44E4-AEDA-5DE5F8E1A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Sheet1!$A$296:$A$300</c:f>
              <c:strCache>
                <c:ptCount val="4"/>
                <c:pt idx="0">
                  <c:v>2016/17</c:v>
                </c:pt>
                <c:pt idx="1">
                  <c:v>2017/18</c:v>
                </c:pt>
                <c:pt idx="2">
                  <c:v>2018/19</c:v>
                </c:pt>
                <c:pt idx="3">
                  <c:v>2019/20</c:v>
                </c:pt>
              </c:strCache>
            </c:strRef>
          </c:cat>
          <c:val>
            <c:numRef>
              <c:f>Sheet1!$B$296:$B$300</c:f>
              <c:numCache>
                <c:formatCode>0.00</c:formatCode>
                <c:ptCount val="4"/>
                <c:pt idx="0">
                  <c:v>4.97</c:v>
                </c:pt>
                <c:pt idx="1">
                  <c:v>4.79</c:v>
                </c:pt>
                <c:pt idx="2">
                  <c:v>4.76</c:v>
                </c:pt>
              </c:numCache>
            </c:numRef>
          </c:val>
          <c:smooth val="0"/>
          <c:extLst>
            <c:ext xmlns:c16="http://schemas.microsoft.com/office/drawing/2014/chart" uri="{C3380CC4-5D6E-409C-BE32-E72D297353CC}">
              <c16:uniqueId val="{00000002-0D88-44E4-AEDA-5DE5F8E1A6B9}"/>
            </c:ext>
          </c:extLst>
        </c:ser>
        <c:ser>
          <c:idx val="1"/>
          <c:order val="1"/>
          <c:tx>
            <c:strRef>
              <c:f>Sheet1!$C$295</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Sheet1!$A$296:$A$300</c:f>
              <c:strCache>
                <c:ptCount val="4"/>
                <c:pt idx="0">
                  <c:v>2016/17</c:v>
                </c:pt>
                <c:pt idx="1">
                  <c:v>2017/18</c:v>
                </c:pt>
                <c:pt idx="2">
                  <c:v>2018/19</c:v>
                </c:pt>
                <c:pt idx="3">
                  <c:v>2019/20</c:v>
                </c:pt>
              </c:strCache>
            </c:strRef>
          </c:cat>
          <c:val>
            <c:numRef>
              <c:f>Sheet1!$C$296:$C$300</c:f>
              <c:numCache>
                <c:formatCode>0.00</c:formatCode>
                <c:ptCount val="4"/>
                <c:pt idx="0">
                  <c:v>4.03</c:v>
                </c:pt>
                <c:pt idx="1">
                  <c:v>3.62</c:v>
                </c:pt>
                <c:pt idx="2">
                  <c:v>3.49</c:v>
                </c:pt>
              </c:numCache>
            </c:numRef>
          </c:val>
          <c:smooth val="0"/>
          <c:extLst>
            <c:ext xmlns:c16="http://schemas.microsoft.com/office/drawing/2014/chart" uri="{C3380CC4-5D6E-409C-BE32-E72D297353CC}">
              <c16:uniqueId val="{00000003-0D88-44E4-AEDA-5DE5F8E1A6B9}"/>
            </c:ext>
          </c:extLst>
        </c:ser>
        <c:ser>
          <c:idx val="2"/>
          <c:order val="2"/>
          <c:tx>
            <c:strRef>
              <c:f>Sheet1!$D$295</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0"/>
              <c:layout>
                <c:manualLayout>
                  <c:x val="-5.683497070282531E-2"/>
                  <c:y val="-5.825351640479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88-44E4-AEDA-5DE5F8E1A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Sheet1!$A$296:$A$300</c:f>
              <c:strCache>
                <c:ptCount val="4"/>
                <c:pt idx="0">
                  <c:v>2016/17</c:v>
                </c:pt>
                <c:pt idx="1">
                  <c:v>2017/18</c:v>
                </c:pt>
                <c:pt idx="2">
                  <c:v>2018/19</c:v>
                </c:pt>
                <c:pt idx="3">
                  <c:v>2019/20</c:v>
                </c:pt>
              </c:strCache>
            </c:strRef>
          </c:cat>
          <c:val>
            <c:numRef>
              <c:f>Sheet1!$D$296:$D$300</c:f>
              <c:numCache>
                <c:formatCode>0.00</c:formatCode>
                <c:ptCount val="4"/>
                <c:pt idx="0">
                  <c:v>5</c:v>
                </c:pt>
                <c:pt idx="1">
                  <c:v>4.46</c:v>
                </c:pt>
                <c:pt idx="2">
                  <c:v>4.37</c:v>
                </c:pt>
              </c:numCache>
            </c:numRef>
          </c:val>
          <c:smooth val="0"/>
          <c:extLst>
            <c:ext xmlns:c16="http://schemas.microsoft.com/office/drawing/2014/chart" uri="{C3380CC4-5D6E-409C-BE32-E72D297353CC}">
              <c16:uniqueId val="{00000005-0D88-44E4-AEDA-5DE5F8E1A6B9}"/>
            </c:ext>
          </c:extLst>
        </c:ser>
        <c:dLbls>
          <c:dLblPos val="t"/>
          <c:showLegendKey val="0"/>
          <c:showVal val="1"/>
          <c:showCatName val="0"/>
          <c:showSerName val="0"/>
          <c:showPercent val="0"/>
          <c:showBubbleSize val="0"/>
        </c:dLbls>
        <c:marker val="1"/>
        <c:smooth val="0"/>
        <c:axId val="411736600"/>
        <c:axId val="411483208"/>
      </c:lineChart>
      <c:catAx>
        <c:axId val="4117366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3208"/>
        <c:crosses val="autoZero"/>
        <c:auto val="1"/>
        <c:lblAlgn val="ctr"/>
        <c:lblOffset val="100"/>
        <c:noMultiLvlLbl val="0"/>
      </c:catAx>
      <c:valAx>
        <c:axId val="41148320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6600"/>
        <c:crosses val="autoZero"/>
        <c:crossBetween val="between"/>
      </c:valAx>
      <c:spPr>
        <a:noFill/>
        <a:ln>
          <a:noFill/>
        </a:ln>
        <a:effectLst/>
      </c:spPr>
    </c:plotArea>
    <c:legend>
      <c:legendPos val="b"/>
      <c:layout>
        <c:manualLayout>
          <c:xMode val="edge"/>
          <c:yMode val="edge"/>
          <c:x val="5.0000095072191032E-2"/>
          <c:y val="0.88586477026924715"/>
          <c:w val="0.89999980985561789"/>
          <c:h val="0.10204150623041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Stage 2 Complaints dealt with within 20 days (%) Finance and Corporate Services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723724574112829"/>
          <c:w val="0.8388209386783646"/>
          <c:h val="0.56863816927475341"/>
        </c:manualLayout>
      </c:layout>
      <c:lineChart>
        <c:grouping val="standard"/>
        <c:varyColors val="0"/>
        <c:ser>
          <c:idx val="0"/>
          <c:order val="0"/>
          <c:tx>
            <c:strRef>
              <c:f>Sheet1!$B$24</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21600574676457E-2"/>
                  <c:y val="-5.2929593492656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57-4FD4-AF08-22EA38133D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Sheet1!$A$25:$A$29</c:f>
              <c:strCache>
                <c:ptCount val="4"/>
                <c:pt idx="0">
                  <c:v>2016/17</c:v>
                </c:pt>
                <c:pt idx="1">
                  <c:v>2017/18</c:v>
                </c:pt>
                <c:pt idx="2">
                  <c:v>2018/19</c:v>
                </c:pt>
                <c:pt idx="3">
                  <c:v>2019/20</c:v>
                </c:pt>
              </c:strCache>
            </c:strRef>
          </c:cat>
          <c:val>
            <c:numRef>
              <c:f>Sheet1!$B$25:$B$29</c:f>
              <c:numCache>
                <c:formatCode>0.00</c:formatCode>
                <c:ptCount val="4"/>
                <c:pt idx="0">
                  <c:v>75.680000000000007</c:v>
                </c:pt>
                <c:pt idx="1">
                  <c:v>86.59</c:v>
                </c:pt>
                <c:pt idx="2">
                  <c:v>81.91</c:v>
                </c:pt>
                <c:pt idx="3" formatCode="General">
                  <c:v>84.23</c:v>
                </c:pt>
              </c:numCache>
            </c:numRef>
          </c:val>
          <c:smooth val="0"/>
          <c:extLst>
            <c:ext xmlns:c16="http://schemas.microsoft.com/office/drawing/2014/chart" uri="{C3380CC4-5D6E-409C-BE32-E72D297353CC}">
              <c16:uniqueId val="{00000001-DD57-4FD4-AF08-22EA38133D41}"/>
            </c:ext>
          </c:extLst>
        </c:ser>
        <c:ser>
          <c:idx val="1"/>
          <c:order val="1"/>
          <c:tx>
            <c:strRef>
              <c:f>Sheet1!$C$24</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Sheet1!$A$25:$A$29</c:f>
              <c:strCache>
                <c:ptCount val="4"/>
                <c:pt idx="0">
                  <c:v>2016/17</c:v>
                </c:pt>
                <c:pt idx="1">
                  <c:v>2017/18</c:v>
                </c:pt>
                <c:pt idx="2">
                  <c:v>2018/19</c:v>
                </c:pt>
                <c:pt idx="3">
                  <c:v>2019/20</c:v>
                </c:pt>
              </c:strCache>
            </c:strRef>
          </c:cat>
          <c:val>
            <c:numRef>
              <c:f>Sheet1!$C$25:$C$29</c:f>
              <c:numCache>
                <c:formatCode>0.00</c:formatCode>
                <c:ptCount val="4"/>
                <c:pt idx="0">
                  <c:v>94.87</c:v>
                </c:pt>
                <c:pt idx="1">
                  <c:v>98.31</c:v>
                </c:pt>
                <c:pt idx="2">
                  <c:v>97.62</c:v>
                </c:pt>
                <c:pt idx="3" formatCode="General">
                  <c:v>75</c:v>
                </c:pt>
              </c:numCache>
            </c:numRef>
          </c:val>
          <c:smooth val="0"/>
          <c:extLst>
            <c:ext xmlns:c16="http://schemas.microsoft.com/office/drawing/2014/chart" uri="{C3380CC4-5D6E-409C-BE32-E72D297353CC}">
              <c16:uniqueId val="{00000002-DD57-4FD4-AF08-22EA38133D41}"/>
            </c:ext>
          </c:extLst>
        </c:ser>
        <c:dLbls>
          <c:dLblPos val="b"/>
          <c:showLegendKey val="0"/>
          <c:showVal val="1"/>
          <c:showCatName val="0"/>
          <c:showSerName val="0"/>
          <c:showPercent val="0"/>
          <c:showBubbleSize val="0"/>
        </c:dLbls>
        <c:marker val="1"/>
        <c:smooth val="0"/>
        <c:axId val="412052624"/>
        <c:axId val="412053016"/>
      </c:lineChart>
      <c:catAx>
        <c:axId val="4120526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3016"/>
        <c:crosses val="autoZero"/>
        <c:auto val="1"/>
        <c:lblAlgn val="ctr"/>
        <c:lblOffset val="100"/>
        <c:noMultiLvlLbl val="0"/>
      </c:catAx>
      <c:valAx>
        <c:axId val="412053016"/>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2624"/>
        <c:crosses val="autoZero"/>
        <c:crossBetween val="between"/>
      </c:valAx>
      <c:spPr>
        <a:noFill/>
        <a:ln>
          <a:noFill/>
        </a:ln>
        <a:effectLst/>
      </c:spPr>
    </c:plotArea>
    <c:legend>
      <c:legendPos val="b"/>
      <c:layout>
        <c:manualLayout>
          <c:xMode val="edge"/>
          <c:yMode val="edge"/>
          <c:x val="0.30555146436825287"/>
          <c:y val="0.90605364280272382"/>
          <c:w val="0.45730525142368761"/>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Cost of collecting Council Tax per dwelling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25622311341353"/>
          <c:y val="0.17929036777398938"/>
          <c:w val="0.83839955556934032"/>
          <c:h val="0.62545074209705431"/>
        </c:manualLayout>
      </c:layout>
      <c:lineChart>
        <c:grouping val="standard"/>
        <c:varyColors val="0"/>
        <c:ser>
          <c:idx val="0"/>
          <c:order val="0"/>
          <c:tx>
            <c:strRef>
              <c:f>Sheet1!$B$311</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Sheet1!$A$312:$A$316</c:f>
              <c:strCache>
                <c:ptCount val="4"/>
                <c:pt idx="0">
                  <c:v>2016/17</c:v>
                </c:pt>
                <c:pt idx="1">
                  <c:v>2017/18</c:v>
                </c:pt>
                <c:pt idx="2">
                  <c:v>2018/19</c:v>
                </c:pt>
                <c:pt idx="3">
                  <c:v>2019/20</c:v>
                </c:pt>
              </c:strCache>
            </c:strRef>
          </c:cat>
          <c:val>
            <c:numRef>
              <c:f>Sheet1!$B$312:$B$316</c:f>
              <c:numCache>
                <c:formatCode>0.00</c:formatCode>
                <c:ptCount val="4"/>
                <c:pt idx="0">
                  <c:v>2.64</c:v>
                </c:pt>
                <c:pt idx="1">
                  <c:v>2.78</c:v>
                </c:pt>
                <c:pt idx="2">
                  <c:v>3.43</c:v>
                </c:pt>
              </c:numCache>
            </c:numRef>
          </c:val>
          <c:smooth val="0"/>
          <c:extLst>
            <c:ext xmlns:c16="http://schemas.microsoft.com/office/drawing/2014/chart" uri="{C3380CC4-5D6E-409C-BE32-E72D297353CC}">
              <c16:uniqueId val="{00000000-D908-4E0D-9450-CCAE4E173CB9}"/>
            </c:ext>
          </c:extLst>
        </c:ser>
        <c:ser>
          <c:idx val="1"/>
          <c:order val="1"/>
          <c:tx>
            <c:strRef>
              <c:f>Sheet1!$C$311</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1"/>
              <c:layout>
                <c:manualLayout>
                  <c:x val="-8.6275870341087912E-3"/>
                  <c:y val="8.3090848039529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08-4E0D-9450-CCAE4E173C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Sheet1!$A$312:$A$316</c:f>
              <c:strCache>
                <c:ptCount val="4"/>
                <c:pt idx="0">
                  <c:v>2016/17</c:v>
                </c:pt>
                <c:pt idx="1">
                  <c:v>2017/18</c:v>
                </c:pt>
                <c:pt idx="2">
                  <c:v>2018/19</c:v>
                </c:pt>
                <c:pt idx="3">
                  <c:v>2019/20</c:v>
                </c:pt>
              </c:strCache>
            </c:strRef>
          </c:cat>
          <c:val>
            <c:numRef>
              <c:f>Sheet1!$C$312:$C$316</c:f>
              <c:numCache>
                <c:formatCode>0.00</c:formatCode>
                <c:ptCount val="4"/>
                <c:pt idx="0">
                  <c:v>7.16</c:v>
                </c:pt>
                <c:pt idx="1">
                  <c:v>6.57</c:v>
                </c:pt>
                <c:pt idx="2">
                  <c:v>6.26</c:v>
                </c:pt>
              </c:numCache>
            </c:numRef>
          </c:val>
          <c:smooth val="0"/>
          <c:extLst>
            <c:ext xmlns:c16="http://schemas.microsoft.com/office/drawing/2014/chart" uri="{C3380CC4-5D6E-409C-BE32-E72D297353CC}">
              <c16:uniqueId val="{00000002-D908-4E0D-9450-CCAE4E173CB9}"/>
            </c:ext>
          </c:extLst>
        </c:ser>
        <c:ser>
          <c:idx val="2"/>
          <c:order val="2"/>
          <c:tx>
            <c:strRef>
              <c:f>Sheet1!$D$311</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Sheet1!$A$312:$A$316</c:f>
              <c:strCache>
                <c:ptCount val="4"/>
                <c:pt idx="0">
                  <c:v>2016/17</c:v>
                </c:pt>
                <c:pt idx="1">
                  <c:v>2017/18</c:v>
                </c:pt>
                <c:pt idx="2">
                  <c:v>2018/19</c:v>
                </c:pt>
                <c:pt idx="3">
                  <c:v>2019/20</c:v>
                </c:pt>
              </c:strCache>
            </c:strRef>
          </c:cat>
          <c:val>
            <c:numRef>
              <c:f>Sheet1!$D$312:$D$316</c:f>
              <c:numCache>
                <c:formatCode>0.00</c:formatCode>
                <c:ptCount val="4"/>
                <c:pt idx="0">
                  <c:v>8.9700000000000006</c:v>
                </c:pt>
                <c:pt idx="1">
                  <c:v>7.35</c:v>
                </c:pt>
                <c:pt idx="2">
                  <c:v>6.92</c:v>
                </c:pt>
              </c:numCache>
            </c:numRef>
          </c:val>
          <c:smooth val="0"/>
          <c:extLst>
            <c:ext xmlns:c16="http://schemas.microsoft.com/office/drawing/2014/chart" uri="{C3380CC4-5D6E-409C-BE32-E72D297353CC}">
              <c16:uniqueId val="{00000003-D908-4E0D-9450-CCAE4E173CB9}"/>
            </c:ext>
          </c:extLst>
        </c:ser>
        <c:dLbls>
          <c:dLblPos val="t"/>
          <c:showLegendKey val="0"/>
          <c:showVal val="1"/>
          <c:showCatName val="0"/>
          <c:showSerName val="0"/>
          <c:showPercent val="0"/>
          <c:showBubbleSize val="0"/>
        </c:dLbls>
        <c:marker val="1"/>
        <c:smooth val="0"/>
        <c:axId val="411486344"/>
        <c:axId val="411486736"/>
      </c:lineChart>
      <c:catAx>
        <c:axId val="411486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6736"/>
        <c:crosses val="autoZero"/>
        <c:auto val="1"/>
        <c:lblAlgn val="ctr"/>
        <c:lblOffset val="100"/>
        <c:noMultiLvlLbl val="0"/>
      </c:catAx>
      <c:valAx>
        <c:axId val="411486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6344"/>
        <c:crosses val="autoZero"/>
        <c:crossBetween val="between"/>
        <c:majorUnit val="5"/>
      </c:valAx>
      <c:spPr>
        <a:noFill/>
        <a:ln>
          <a:noFill/>
        </a:ln>
        <a:effectLst/>
      </c:spPr>
    </c:plotArea>
    <c:legend>
      <c:legendPos val="b"/>
      <c:layout>
        <c:manualLayout>
          <c:xMode val="edge"/>
          <c:yMode val="edge"/>
          <c:x val="5.0000096066409885E-2"/>
          <c:y val="0.9004864902303048"/>
          <c:w val="0.89999980786718015"/>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Level</a:t>
            </a:r>
            <a:r>
              <a:rPr lang="en-GB" sz="1000" baseline="0"/>
              <a:t> of Slippage (Council) as % of Capital Budget</a:t>
            </a:r>
            <a:endParaRPr lang="en-GB"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Sheet1!$B$327</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Sheet1!$A$328:$A$332</c:f>
              <c:strCache>
                <c:ptCount val="4"/>
                <c:pt idx="0">
                  <c:v>2016/17</c:v>
                </c:pt>
                <c:pt idx="1">
                  <c:v>2017/18</c:v>
                </c:pt>
                <c:pt idx="2">
                  <c:v>2018/19</c:v>
                </c:pt>
                <c:pt idx="3">
                  <c:v>2019/20</c:v>
                </c:pt>
              </c:strCache>
            </c:strRef>
          </c:cat>
          <c:val>
            <c:numRef>
              <c:f>Sheet1!$B$328:$B$332</c:f>
              <c:numCache>
                <c:formatCode>0.00</c:formatCode>
                <c:ptCount val="4"/>
                <c:pt idx="0">
                  <c:v>31</c:v>
                </c:pt>
                <c:pt idx="1">
                  <c:v>24.4</c:v>
                </c:pt>
                <c:pt idx="2">
                  <c:v>21.92</c:v>
                </c:pt>
                <c:pt idx="3" formatCode="General">
                  <c:v>-1.6</c:v>
                </c:pt>
              </c:numCache>
            </c:numRef>
          </c:val>
          <c:smooth val="0"/>
          <c:extLst>
            <c:ext xmlns:c16="http://schemas.microsoft.com/office/drawing/2014/chart" uri="{C3380CC4-5D6E-409C-BE32-E72D297353CC}">
              <c16:uniqueId val="{00000000-B235-44B3-AC21-0AB91EC96188}"/>
            </c:ext>
          </c:extLst>
        </c:ser>
        <c:dLbls>
          <c:dLblPos val="b"/>
          <c:showLegendKey val="0"/>
          <c:showVal val="1"/>
          <c:showCatName val="0"/>
          <c:showSerName val="0"/>
          <c:showPercent val="0"/>
          <c:showBubbleSize val="0"/>
        </c:dLbls>
        <c:marker val="1"/>
        <c:smooth val="0"/>
        <c:axId val="413004000"/>
        <c:axId val="413004392"/>
      </c:lineChart>
      <c:catAx>
        <c:axId val="4130040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4392"/>
        <c:crosses val="autoZero"/>
        <c:auto val="1"/>
        <c:lblAlgn val="ctr"/>
        <c:lblOffset val="100"/>
        <c:noMultiLvlLbl val="0"/>
      </c:catAx>
      <c:valAx>
        <c:axId val="41300439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4000"/>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Final Outturn v Budget(%) overspend/(underspend)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Sheet1!$B$343</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Sheet1!$A$344:$A$348</c:f>
              <c:strCache>
                <c:ptCount val="4"/>
                <c:pt idx="0">
                  <c:v>2016/17</c:v>
                </c:pt>
                <c:pt idx="1">
                  <c:v>2017/18</c:v>
                </c:pt>
                <c:pt idx="2">
                  <c:v>2018/19</c:v>
                </c:pt>
                <c:pt idx="3">
                  <c:v>2019/20</c:v>
                </c:pt>
              </c:strCache>
            </c:strRef>
          </c:cat>
          <c:val>
            <c:numRef>
              <c:f>Sheet1!$B$344:$B$348</c:f>
              <c:numCache>
                <c:formatCode>0.00</c:formatCode>
                <c:ptCount val="4"/>
                <c:pt idx="0">
                  <c:v>-1.69</c:v>
                </c:pt>
                <c:pt idx="1">
                  <c:v>-0.93</c:v>
                </c:pt>
                <c:pt idx="2">
                  <c:v>0.22</c:v>
                </c:pt>
                <c:pt idx="3" formatCode="General">
                  <c:v>-0.41</c:v>
                </c:pt>
              </c:numCache>
            </c:numRef>
          </c:val>
          <c:smooth val="0"/>
          <c:extLst>
            <c:ext xmlns:c16="http://schemas.microsoft.com/office/drawing/2014/chart" uri="{C3380CC4-5D6E-409C-BE32-E72D297353CC}">
              <c16:uniqueId val="{00000000-0245-4F9A-848E-9E4280432765}"/>
            </c:ext>
          </c:extLst>
        </c:ser>
        <c:dLbls>
          <c:dLblPos val="t"/>
          <c:showLegendKey val="0"/>
          <c:showVal val="1"/>
          <c:showCatName val="0"/>
          <c:showSerName val="0"/>
          <c:showPercent val="0"/>
          <c:showBubbleSize val="0"/>
        </c:dLbls>
        <c:marker val="1"/>
        <c:smooth val="0"/>
        <c:axId val="413005176"/>
        <c:axId val="413005568"/>
      </c:lineChart>
      <c:catAx>
        <c:axId val="413005176"/>
        <c:scaling>
          <c:orientation val="minMax"/>
        </c:scaling>
        <c:delete val="0"/>
        <c:axPos val="t"/>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5568"/>
        <c:crosses val="max"/>
        <c:auto val="1"/>
        <c:lblAlgn val="ctr"/>
        <c:lblOffset val="100"/>
        <c:noMultiLvlLbl val="0"/>
      </c:catAx>
      <c:valAx>
        <c:axId val="413005568"/>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5176"/>
        <c:crosses val="autoZero"/>
        <c:crossBetween val="between"/>
        <c:majorUnit val="2"/>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female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FCS</c:v>
                </c:pt>
              </c:strCache>
            </c:strRef>
          </c:tx>
          <c:spPr>
            <a:solidFill>
              <a:srgbClr val="00B050"/>
            </a:solidFill>
            <a:ln>
              <a:noFill/>
            </a:ln>
            <a:effectLst/>
          </c:spPr>
          <c:invertIfNegative val="0"/>
          <c:cat>
            <c:strRef>
              <c:f>Sheet1!$A$6:$A$7</c:f>
              <c:strCache>
                <c:ptCount val="2"/>
                <c:pt idx="0">
                  <c:v>2018/19</c:v>
                </c:pt>
                <c:pt idx="1">
                  <c:v>2019/20</c:v>
                </c:pt>
              </c:strCache>
            </c:strRef>
          </c:cat>
          <c:val>
            <c:numRef>
              <c:f>Sheet1!$B$6:$B$7</c:f>
              <c:numCache>
                <c:formatCode>0.00%</c:formatCode>
                <c:ptCount val="2"/>
                <c:pt idx="0">
                  <c:v>0.76200000000000001</c:v>
                </c:pt>
                <c:pt idx="1">
                  <c:v>0.73199999999999998</c:v>
                </c:pt>
              </c:numCache>
            </c:numRef>
          </c:val>
          <c:extLst>
            <c:ext xmlns:c16="http://schemas.microsoft.com/office/drawing/2014/chart" uri="{C3380CC4-5D6E-409C-BE32-E72D297353CC}">
              <c16:uniqueId val="{00000000-9044-4C2D-B7DE-FB923E561A67}"/>
            </c:ext>
          </c:extLst>
        </c:ser>
        <c:ser>
          <c:idx val="1"/>
          <c:order val="1"/>
          <c:tx>
            <c:strRef>
              <c:f>Sheet1!$C$5</c:f>
              <c:strCache>
                <c:ptCount val="1"/>
                <c:pt idx="0">
                  <c:v>Fife Council</c:v>
                </c:pt>
              </c:strCache>
            </c:strRef>
          </c:tx>
          <c:spPr>
            <a:solidFill>
              <a:srgbClr val="0070C0"/>
            </a:solidFill>
            <a:ln>
              <a:noFill/>
            </a:ln>
            <a:effectLst/>
          </c:spPr>
          <c:invertIfNegative val="0"/>
          <c:cat>
            <c:strRef>
              <c:f>Sheet1!$A$6:$A$7</c:f>
              <c:strCache>
                <c:ptCount val="2"/>
                <c:pt idx="0">
                  <c:v>2018/19</c:v>
                </c:pt>
                <c:pt idx="1">
                  <c:v>2019/20</c:v>
                </c:pt>
              </c:strCache>
            </c:strRef>
          </c:cat>
          <c:val>
            <c:numRef>
              <c:f>Sheet1!$C$6:$C$7</c:f>
              <c:numCache>
                <c:formatCode>0.00%</c:formatCode>
                <c:ptCount val="2"/>
                <c:pt idx="0">
                  <c:v>0.72399999999999998</c:v>
                </c:pt>
                <c:pt idx="1">
                  <c:v>0.72099999999999997</c:v>
                </c:pt>
              </c:numCache>
            </c:numRef>
          </c:val>
          <c:extLst>
            <c:ext xmlns:c16="http://schemas.microsoft.com/office/drawing/2014/chart" uri="{C3380CC4-5D6E-409C-BE32-E72D297353CC}">
              <c16:uniqueId val="{00000001-9044-4C2D-B7DE-FB923E561A67}"/>
            </c:ext>
          </c:extLst>
        </c:ser>
        <c:dLbls>
          <c:showLegendKey val="0"/>
          <c:showVal val="0"/>
          <c:showCatName val="0"/>
          <c:showSerName val="0"/>
          <c:showPercent val="0"/>
          <c:showBubbleSize val="0"/>
        </c:dLbls>
        <c:gapWidth val="219"/>
        <c:overlap val="-27"/>
        <c:axId val="707169888"/>
        <c:axId val="707170216"/>
      </c:barChart>
      <c:catAx>
        <c:axId val="7071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70216"/>
        <c:crosses val="autoZero"/>
        <c:auto val="1"/>
        <c:lblAlgn val="ctr"/>
        <c:lblOffset val="100"/>
        <c:noMultiLvlLbl val="0"/>
      </c:catAx>
      <c:valAx>
        <c:axId val="707170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6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full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Sheet1!$B$24</c:f>
              <c:strCache>
                <c:ptCount val="1"/>
                <c:pt idx="0">
                  <c:v>FCS</c:v>
                </c:pt>
              </c:strCache>
            </c:strRef>
          </c:tx>
          <c:spPr>
            <a:solidFill>
              <a:srgbClr val="00B050"/>
            </a:solidFill>
            <a:ln>
              <a:noFill/>
            </a:ln>
            <a:effectLst/>
          </c:spPr>
          <c:invertIfNegative val="0"/>
          <c:cat>
            <c:strRef>
              <c:f>Sheet1!$A$25:$A$26</c:f>
              <c:strCache>
                <c:ptCount val="2"/>
                <c:pt idx="0">
                  <c:v>2018/19</c:v>
                </c:pt>
                <c:pt idx="1">
                  <c:v>2019/20</c:v>
                </c:pt>
              </c:strCache>
            </c:strRef>
          </c:cat>
          <c:val>
            <c:numRef>
              <c:f>Sheet1!$B$25:$B$26</c:f>
              <c:numCache>
                <c:formatCode>0.00%</c:formatCode>
                <c:ptCount val="2"/>
                <c:pt idx="0">
                  <c:v>0.71460000000000001</c:v>
                </c:pt>
                <c:pt idx="1">
                  <c:v>0.7198</c:v>
                </c:pt>
              </c:numCache>
            </c:numRef>
          </c:val>
          <c:extLst>
            <c:ext xmlns:c16="http://schemas.microsoft.com/office/drawing/2014/chart" uri="{C3380CC4-5D6E-409C-BE32-E72D297353CC}">
              <c16:uniqueId val="{00000000-9747-433D-BC2B-D3953A6C5B8E}"/>
            </c:ext>
          </c:extLst>
        </c:ser>
        <c:ser>
          <c:idx val="1"/>
          <c:order val="1"/>
          <c:tx>
            <c:strRef>
              <c:f>Sheet1!$C$24</c:f>
              <c:strCache>
                <c:ptCount val="1"/>
                <c:pt idx="0">
                  <c:v>Fife Council</c:v>
                </c:pt>
              </c:strCache>
            </c:strRef>
          </c:tx>
          <c:spPr>
            <a:solidFill>
              <a:srgbClr val="0070C0"/>
            </a:solidFill>
            <a:ln>
              <a:noFill/>
            </a:ln>
            <a:effectLst/>
          </c:spPr>
          <c:invertIfNegative val="0"/>
          <c:cat>
            <c:strRef>
              <c:f>Sheet1!$A$25:$A$26</c:f>
              <c:strCache>
                <c:ptCount val="2"/>
                <c:pt idx="0">
                  <c:v>2018/19</c:v>
                </c:pt>
                <c:pt idx="1">
                  <c:v>2019/20</c:v>
                </c:pt>
              </c:strCache>
            </c:strRef>
          </c:cat>
          <c:val>
            <c:numRef>
              <c:f>Sheet1!$C$25:$C$26</c:f>
              <c:numCache>
                <c:formatCode>0.00%</c:formatCode>
                <c:ptCount val="2"/>
                <c:pt idx="0">
                  <c:v>0.54810000000000003</c:v>
                </c:pt>
                <c:pt idx="1">
                  <c:v>0.5413</c:v>
                </c:pt>
              </c:numCache>
            </c:numRef>
          </c:val>
          <c:extLst>
            <c:ext xmlns:c16="http://schemas.microsoft.com/office/drawing/2014/chart" uri="{C3380CC4-5D6E-409C-BE32-E72D297353CC}">
              <c16:uniqueId val="{00000001-9747-433D-BC2B-D3953A6C5B8E}"/>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permanent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Sheet1!$B$40</c:f>
              <c:strCache>
                <c:ptCount val="1"/>
                <c:pt idx="0">
                  <c:v>FCS</c:v>
                </c:pt>
              </c:strCache>
            </c:strRef>
          </c:tx>
          <c:spPr>
            <a:solidFill>
              <a:srgbClr val="00B050"/>
            </a:solidFill>
            <a:ln>
              <a:noFill/>
            </a:ln>
            <a:effectLst/>
          </c:spPr>
          <c:invertIfNegative val="0"/>
          <c:cat>
            <c:strRef>
              <c:f>Sheet1!$A$41:$A$42</c:f>
              <c:strCache>
                <c:ptCount val="2"/>
                <c:pt idx="0">
                  <c:v>2018/19</c:v>
                </c:pt>
                <c:pt idx="1">
                  <c:v>2019/20</c:v>
                </c:pt>
              </c:strCache>
            </c:strRef>
          </c:cat>
          <c:val>
            <c:numRef>
              <c:f>Sheet1!$B$41:$B$42</c:f>
              <c:numCache>
                <c:formatCode>0.00%</c:formatCode>
                <c:ptCount val="2"/>
                <c:pt idx="0">
                  <c:v>0.81820000000000004</c:v>
                </c:pt>
                <c:pt idx="1">
                  <c:v>0.76800000000000002</c:v>
                </c:pt>
              </c:numCache>
            </c:numRef>
          </c:val>
          <c:extLst>
            <c:ext xmlns:c16="http://schemas.microsoft.com/office/drawing/2014/chart" uri="{C3380CC4-5D6E-409C-BE32-E72D297353CC}">
              <c16:uniqueId val="{00000000-1256-4717-A158-5864E4D55C3A}"/>
            </c:ext>
          </c:extLst>
        </c:ser>
        <c:ser>
          <c:idx val="1"/>
          <c:order val="1"/>
          <c:tx>
            <c:strRef>
              <c:f>Sheet1!$C$40</c:f>
              <c:strCache>
                <c:ptCount val="1"/>
                <c:pt idx="0">
                  <c:v>Fife Council</c:v>
                </c:pt>
              </c:strCache>
            </c:strRef>
          </c:tx>
          <c:spPr>
            <a:solidFill>
              <a:srgbClr val="0070C0"/>
            </a:solidFill>
            <a:ln>
              <a:noFill/>
            </a:ln>
            <a:effectLst/>
          </c:spPr>
          <c:invertIfNegative val="0"/>
          <c:cat>
            <c:strRef>
              <c:f>Sheet1!$A$41:$A$42</c:f>
              <c:strCache>
                <c:ptCount val="2"/>
                <c:pt idx="0">
                  <c:v>2018/19</c:v>
                </c:pt>
                <c:pt idx="1">
                  <c:v>2019/20</c:v>
                </c:pt>
              </c:strCache>
            </c:strRef>
          </c:cat>
          <c:val>
            <c:numRef>
              <c:f>Sheet1!$C$41:$C$42</c:f>
              <c:numCache>
                <c:formatCode>0.00%</c:formatCode>
                <c:ptCount val="2"/>
                <c:pt idx="0">
                  <c:v>0.8216</c:v>
                </c:pt>
                <c:pt idx="1">
                  <c:v>0.80310000000000004</c:v>
                </c:pt>
              </c:numCache>
            </c:numRef>
          </c:val>
          <c:extLst>
            <c:ext xmlns:c16="http://schemas.microsoft.com/office/drawing/2014/chart" uri="{C3380CC4-5D6E-409C-BE32-E72D297353CC}">
              <c16:uniqueId val="{00000001-1256-4717-A158-5864E4D55C3A}"/>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voluntary redundancies (FTE)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Sheet1!$B$55</c:f>
              <c:strCache>
                <c:ptCount val="1"/>
                <c:pt idx="0">
                  <c:v>FCS</c:v>
                </c:pt>
              </c:strCache>
            </c:strRef>
          </c:tx>
          <c:spPr>
            <a:solidFill>
              <a:srgbClr val="00B050"/>
            </a:solidFill>
            <a:ln>
              <a:noFill/>
            </a:ln>
            <a:effectLst/>
          </c:spPr>
          <c:invertIfNegative val="0"/>
          <c:cat>
            <c:strRef>
              <c:f>Sheet1!$A$56:$A$57</c:f>
              <c:strCache>
                <c:ptCount val="2"/>
                <c:pt idx="0">
                  <c:v>2018/19</c:v>
                </c:pt>
                <c:pt idx="1">
                  <c:v>2019/20</c:v>
                </c:pt>
              </c:strCache>
            </c:strRef>
          </c:cat>
          <c:val>
            <c:numRef>
              <c:f>Sheet1!$B$56:$B$57</c:f>
              <c:numCache>
                <c:formatCode>0.00</c:formatCode>
                <c:ptCount val="2"/>
                <c:pt idx="0">
                  <c:v>11.4</c:v>
                </c:pt>
                <c:pt idx="1">
                  <c:v>17.100000000000001</c:v>
                </c:pt>
              </c:numCache>
            </c:numRef>
          </c:val>
          <c:extLst>
            <c:ext xmlns:c16="http://schemas.microsoft.com/office/drawing/2014/chart" uri="{C3380CC4-5D6E-409C-BE32-E72D297353CC}">
              <c16:uniqueId val="{00000000-5DF3-4035-89AF-442A3769A12D}"/>
            </c:ext>
          </c:extLst>
        </c:ser>
        <c:ser>
          <c:idx val="1"/>
          <c:order val="1"/>
          <c:tx>
            <c:strRef>
              <c:f>Sheet1!$C$55</c:f>
              <c:strCache>
                <c:ptCount val="1"/>
                <c:pt idx="0">
                  <c:v>Fife Council</c:v>
                </c:pt>
              </c:strCache>
            </c:strRef>
          </c:tx>
          <c:spPr>
            <a:solidFill>
              <a:srgbClr val="0070C0"/>
            </a:solidFill>
            <a:ln>
              <a:noFill/>
            </a:ln>
            <a:effectLst/>
          </c:spPr>
          <c:invertIfNegative val="0"/>
          <c:cat>
            <c:strRef>
              <c:f>Sheet1!$A$56:$A$57</c:f>
              <c:strCache>
                <c:ptCount val="2"/>
                <c:pt idx="0">
                  <c:v>2018/19</c:v>
                </c:pt>
                <c:pt idx="1">
                  <c:v>2019/20</c:v>
                </c:pt>
              </c:strCache>
            </c:strRef>
          </c:cat>
          <c:val>
            <c:numRef>
              <c:f>Sheet1!$C$56:$C$57</c:f>
              <c:numCache>
                <c:formatCode>0.00</c:formatCode>
                <c:ptCount val="2"/>
                <c:pt idx="0">
                  <c:v>73.3</c:v>
                </c:pt>
                <c:pt idx="1">
                  <c:v>44.3</c:v>
                </c:pt>
              </c:numCache>
            </c:numRef>
          </c:val>
          <c:extLst>
            <c:ext xmlns:c16="http://schemas.microsoft.com/office/drawing/2014/chart" uri="{C3380CC4-5D6E-409C-BE32-E72D297353CC}">
              <c16:uniqueId val="{00000001-5DF3-4035-89AF-442A3769A12D}"/>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employees aged 24 or under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Sheet1!$B$70</c:f>
              <c:strCache>
                <c:ptCount val="1"/>
                <c:pt idx="0">
                  <c:v>FCS</c:v>
                </c:pt>
              </c:strCache>
            </c:strRef>
          </c:tx>
          <c:spPr>
            <a:solidFill>
              <a:srgbClr val="00B050"/>
            </a:solidFill>
            <a:ln>
              <a:noFill/>
            </a:ln>
            <a:effectLst/>
          </c:spPr>
          <c:invertIfNegative val="0"/>
          <c:cat>
            <c:strRef>
              <c:f>Sheet1!$A$71:$A$72</c:f>
              <c:strCache>
                <c:ptCount val="2"/>
                <c:pt idx="0">
                  <c:v>2018/19</c:v>
                </c:pt>
                <c:pt idx="1">
                  <c:v>2019/20</c:v>
                </c:pt>
              </c:strCache>
            </c:strRef>
          </c:cat>
          <c:val>
            <c:numRef>
              <c:f>Sheet1!$B$71:$B$72</c:f>
              <c:numCache>
                <c:formatCode>0.00%</c:formatCode>
                <c:ptCount val="2"/>
                <c:pt idx="0">
                  <c:v>3.3500000000000002E-2</c:v>
                </c:pt>
                <c:pt idx="1">
                  <c:v>7.7899999999999997E-2</c:v>
                </c:pt>
              </c:numCache>
            </c:numRef>
          </c:val>
          <c:extLst>
            <c:ext xmlns:c16="http://schemas.microsoft.com/office/drawing/2014/chart" uri="{C3380CC4-5D6E-409C-BE32-E72D297353CC}">
              <c16:uniqueId val="{00000000-63D8-4552-8D0B-088E6018A19D}"/>
            </c:ext>
          </c:extLst>
        </c:ser>
        <c:ser>
          <c:idx val="1"/>
          <c:order val="1"/>
          <c:tx>
            <c:strRef>
              <c:f>Sheet1!$C$70</c:f>
              <c:strCache>
                <c:ptCount val="1"/>
                <c:pt idx="0">
                  <c:v>Fife Council</c:v>
                </c:pt>
              </c:strCache>
            </c:strRef>
          </c:tx>
          <c:spPr>
            <a:solidFill>
              <a:srgbClr val="0070C0"/>
            </a:solidFill>
            <a:ln>
              <a:noFill/>
            </a:ln>
            <a:effectLst/>
          </c:spPr>
          <c:invertIfNegative val="0"/>
          <c:cat>
            <c:strRef>
              <c:f>Sheet1!$A$71:$A$72</c:f>
              <c:strCache>
                <c:ptCount val="2"/>
                <c:pt idx="0">
                  <c:v>2018/19</c:v>
                </c:pt>
                <c:pt idx="1">
                  <c:v>2019/20</c:v>
                </c:pt>
              </c:strCache>
            </c:strRef>
          </c:cat>
          <c:val>
            <c:numRef>
              <c:f>Sheet1!$C$71:$C$72</c:f>
              <c:numCache>
                <c:formatCode>0.00%</c:formatCode>
                <c:ptCount val="2"/>
                <c:pt idx="0">
                  <c:v>4.9399999999999999E-2</c:v>
                </c:pt>
                <c:pt idx="1">
                  <c:v>5.3199999999999997E-2</c:v>
                </c:pt>
              </c:numCache>
            </c:numRef>
          </c:val>
          <c:extLst>
            <c:ext xmlns:c16="http://schemas.microsoft.com/office/drawing/2014/chart" uri="{C3380CC4-5D6E-409C-BE32-E72D297353CC}">
              <c16:uniqueId val="{00000001-63D8-4552-8D0B-088E6018A19D}"/>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employees aged 29 or under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Sheet1!$B$85</c:f>
              <c:strCache>
                <c:ptCount val="1"/>
                <c:pt idx="0">
                  <c:v>FCS</c:v>
                </c:pt>
              </c:strCache>
            </c:strRef>
          </c:tx>
          <c:spPr>
            <a:solidFill>
              <a:srgbClr val="00B050"/>
            </a:solidFill>
            <a:ln>
              <a:noFill/>
            </a:ln>
            <a:effectLst/>
          </c:spPr>
          <c:invertIfNegative val="0"/>
          <c:cat>
            <c:strRef>
              <c:f>Sheet1!$A$86:$A$87</c:f>
              <c:strCache>
                <c:ptCount val="2"/>
                <c:pt idx="0">
                  <c:v>2018/19</c:v>
                </c:pt>
                <c:pt idx="1">
                  <c:v>2019/20</c:v>
                </c:pt>
              </c:strCache>
            </c:strRef>
          </c:cat>
          <c:val>
            <c:numRef>
              <c:f>Sheet1!$B$86:$B$87</c:f>
              <c:numCache>
                <c:formatCode>0.00%</c:formatCode>
                <c:ptCount val="2"/>
                <c:pt idx="0">
                  <c:v>7.7899999999999997E-2</c:v>
                </c:pt>
                <c:pt idx="1">
                  <c:v>0.10249999999999999</c:v>
                </c:pt>
              </c:numCache>
            </c:numRef>
          </c:val>
          <c:extLst>
            <c:ext xmlns:c16="http://schemas.microsoft.com/office/drawing/2014/chart" uri="{C3380CC4-5D6E-409C-BE32-E72D297353CC}">
              <c16:uniqueId val="{00000000-AFC9-457D-8B30-213C8CADE476}"/>
            </c:ext>
          </c:extLst>
        </c:ser>
        <c:ser>
          <c:idx val="1"/>
          <c:order val="1"/>
          <c:tx>
            <c:strRef>
              <c:f>Sheet1!$C$85</c:f>
              <c:strCache>
                <c:ptCount val="1"/>
                <c:pt idx="0">
                  <c:v>Fife Council</c:v>
                </c:pt>
              </c:strCache>
            </c:strRef>
          </c:tx>
          <c:spPr>
            <a:solidFill>
              <a:srgbClr val="0070C0"/>
            </a:solidFill>
            <a:ln>
              <a:noFill/>
            </a:ln>
            <a:effectLst/>
          </c:spPr>
          <c:invertIfNegative val="0"/>
          <c:cat>
            <c:strRef>
              <c:f>Sheet1!$A$86:$A$87</c:f>
              <c:strCache>
                <c:ptCount val="2"/>
                <c:pt idx="0">
                  <c:v>2018/19</c:v>
                </c:pt>
                <c:pt idx="1">
                  <c:v>2019/20</c:v>
                </c:pt>
              </c:strCache>
            </c:strRef>
          </c:cat>
          <c:val>
            <c:numRef>
              <c:f>Sheet1!$C$86:$C$87</c:f>
              <c:numCache>
                <c:formatCode>0.00%</c:formatCode>
                <c:ptCount val="2"/>
                <c:pt idx="0">
                  <c:v>0.1217</c:v>
                </c:pt>
                <c:pt idx="1">
                  <c:v>0.12770000000000001</c:v>
                </c:pt>
              </c:numCache>
            </c:numRef>
          </c:val>
          <c:extLst>
            <c:ext xmlns:c16="http://schemas.microsoft.com/office/drawing/2014/chart" uri="{C3380CC4-5D6E-409C-BE32-E72D297353CC}">
              <c16:uniqueId val="{00000001-AFC9-457D-8B30-213C8CADE476}"/>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WYI bids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Sheet1!$B$100</c:f>
              <c:strCache>
                <c:ptCount val="1"/>
                <c:pt idx="0">
                  <c:v>FCS</c:v>
                </c:pt>
              </c:strCache>
            </c:strRef>
          </c:tx>
          <c:spPr>
            <a:solidFill>
              <a:srgbClr val="00B050"/>
            </a:solidFill>
            <a:ln>
              <a:noFill/>
            </a:ln>
            <a:effectLst/>
          </c:spPr>
          <c:invertIfNegative val="0"/>
          <c:cat>
            <c:strRef>
              <c:f>Sheet1!$A$101:$A$102</c:f>
              <c:strCache>
                <c:ptCount val="2"/>
                <c:pt idx="0">
                  <c:v>2018/19</c:v>
                </c:pt>
                <c:pt idx="1">
                  <c:v>2019/20</c:v>
                </c:pt>
              </c:strCache>
            </c:strRef>
          </c:cat>
          <c:val>
            <c:numRef>
              <c:f>Sheet1!$B$101:$B$102</c:f>
              <c:numCache>
                <c:formatCode>0</c:formatCode>
                <c:ptCount val="2"/>
                <c:pt idx="0">
                  <c:v>6</c:v>
                </c:pt>
                <c:pt idx="1">
                  <c:v>12</c:v>
                </c:pt>
              </c:numCache>
            </c:numRef>
          </c:val>
          <c:extLst>
            <c:ext xmlns:c16="http://schemas.microsoft.com/office/drawing/2014/chart" uri="{C3380CC4-5D6E-409C-BE32-E72D297353CC}">
              <c16:uniqueId val="{00000000-D589-4697-9807-12C3082D43B1}"/>
            </c:ext>
          </c:extLst>
        </c:ser>
        <c:ser>
          <c:idx val="1"/>
          <c:order val="1"/>
          <c:tx>
            <c:strRef>
              <c:f>Sheet1!$C$100</c:f>
              <c:strCache>
                <c:ptCount val="1"/>
                <c:pt idx="0">
                  <c:v>Fife Council</c:v>
                </c:pt>
              </c:strCache>
            </c:strRef>
          </c:tx>
          <c:spPr>
            <a:solidFill>
              <a:srgbClr val="0070C0"/>
            </a:solidFill>
            <a:ln>
              <a:noFill/>
            </a:ln>
            <a:effectLst/>
          </c:spPr>
          <c:invertIfNegative val="0"/>
          <c:cat>
            <c:strRef>
              <c:f>Sheet1!$A$101:$A$102</c:f>
              <c:strCache>
                <c:ptCount val="2"/>
                <c:pt idx="0">
                  <c:v>2018/19</c:v>
                </c:pt>
                <c:pt idx="1">
                  <c:v>2019/20</c:v>
                </c:pt>
              </c:strCache>
            </c:strRef>
          </c:cat>
          <c:val>
            <c:numRef>
              <c:f>Sheet1!$C$101:$C$102</c:f>
              <c:numCache>
                <c:formatCode>0</c:formatCode>
                <c:ptCount val="2"/>
                <c:pt idx="0">
                  <c:v>25</c:v>
                </c:pt>
                <c:pt idx="1">
                  <c:v>57</c:v>
                </c:pt>
              </c:numCache>
            </c:numRef>
          </c:val>
          <c:extLst>
            <c:ext xmlns:c16="http://schemas.microsoft.com/office/drawing/2014/chart" uri="{C3380CC4-5D6E-409C-BE32-E72D297353CC}">
              <c16:uniqueId val="{00000001-D589-4697-9807-12C3082D43B1}"/>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Compliments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Sheet1!$B$40</c:f>
              <c:strCache>
                <c:ptCount val="1"/>
                <c:pt idx="0">
                  <c:v>Value</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Sheet1!$A$41:$A$45</c:f>
              <c:strCache>
                <c:ptCount val="4"/>
                <c:pt idx="0">
                  <c:v>2016/17</c:v>
                </c:pt>
                <c:pt idx="1">
                  <c:v>2017/18</c:v>
                </c:pt>
                <c:pt idx="2">
                  <c:v>2018/19</c:v>
                </c:pt>
                <c:pt idx="3">
                  <c:v>2019/20</c:v>
                </c:pt>
              </c:strCache>
            </c:strRef>
          </c:cat>
          <c:val>
            <c:numRef>
              <c:f>Sheet1!$B$41:$B$45</c:f>
              <c:numCache>
                <c:formatCode>0</c:formatCode>
                <c:ptCount val="4"/>
                <c:pt idx="0">
                  <c:v>25</c:v>
                </c:pt>
                <c:pt idx="1">
                  <c:v>25</c:v>
                </c:pt>
                <c:pt idx="2">
                  <c:v>19</c:v>
                </c:pt>
                <c:pt idx="3" formatCode="General">
                  <c:v>12</c:v>
                </c:pt>
              </c:numCache>
            </c:numRef>
          </c:val>
          <c:smooth val="0"/>
          <c:extLst>
            <c:ext xmlns:c16="http://schemas.microsoft.com/office/drawing/2014/chart" uri="{C3380CC4-5D6E-409C-BE32-E72D297353CC}">
              <c16:uniqueId val="{00000000-5B11-473C-8CE5-7BBC31CB43F8}"/>
            </c:ext>
          </c:extLst>
        </c:ser>
        <c:dLbls>
          <c:dLblPos val="t"/>
          <c:showLegendKey val="0"/>
          <c:showVal val="1"/>
          <c:showCatName val="0"/>
          <c:showSerName val="0"/>
          <c:showPercent val="0"/>
          <c:showBubbleSize val="0"/>
        </c:dLbls>
        <c:marker val="1"/>
        <c:smooth val="0"/>
        <c:axId val="407485488"/>
        <c:axId val="407485880"/>
      </c:lineChart>
      <c:catAx>
        <c:axId val="407485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5880"/>
        <c:crosses val="autoZero"/>
        <c:auto val="1"/>
        <c:lblAlgn val="ctr"/>
        <c:lblOffset val="100"/>
        <c:noMultiLvlLbl val="0"/>
      </c:catAx>
      <c:valAx>
        <c:axId val="407485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WYI programme new starts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Sheet1!$B$115</c:f>
              <c:strCache>
                <c:ptCount val="1"/>
                <c:pt idx="0">
                  <c:v>FCS</c:v>
                </c:pt>
              </c:strCache>
            </c:strRef>
          </c:tx>
          <c:spPr>
            <a:solidFill>
              <a:srgbClr val="00B050"/>
            </a:solidFill>
            <a:ln>
              <a:noFill/>
            </a:ln>
            <a:effectLst/>
          </c:spPr>
          <c:invertIfNegative val="0"/>
          <c:cat>
            <c:strRef>
              <c:f>Sheet1!$A$116:$A$117</c:f>
              <c:strCache>
                <c:ptCount val="2"/>
                <c:pt idx="0">
                  <c:v>2018/19</c:v>
                </c:pt>
                <c:pt idx="1">
                  <c:v>2019/20</c:v>
                </c:pt>
              </c:strCache>
            </c:strRef>
          </c:cat>
          <c:val>
            <c:numRef>
              <c:f>Sheet1!$B$116:$B$117</c:f>
              <c:numCache>
                <c:formatCode>0</c:formatCode>
                <c:ptCount val="2"/>
                <c:pt idx="0">
                  <c:v>9</c:v>
                </c:pt>
                <c:pt idx="1">
                  <c:v>5</c:v>
                </c:pt>
              </c:numCache>
            </c:numRef>
          </c:val>
          <c:extLst>
            <c:ext xmlns:c16="http://schemas.microsoft.com/office/drawing/2014/chart" uri="{C3380CC4-5D6E-409C-BE32-E72D297353CC}">
              <c16:uniqueId val="{00000000-9388-4446-AC16-18B07DACB67E}"/>
            </c:ext>
          </c:extLst>
        </c:ser>
        <c:ser>
          <c:idx val="1"/>
          <c:order val="1"/>
          <c:tx>
            <c:strRef>
              <c:f>Sheet1!$C$115</c:f>
              <c:strCache>
                <c:ptCount val="1"/>
                <c:pt idx="0">
                  <c:v>Fife Council</c:v>
                </c:pt>
              </c:strCache>
            </c:strRef>
          </c:tx>
          <c:spPr>
            <a:solidFill>
              <a:srgbClr val="0070C0"/>
            </a:solidFill>
            <a:ln>
              <a:noFill/>
            </a:ln>
            <a:effectLst/>
          </c:spPr>
          <c:invertIfNegative val="0"/>
          <c:cat>
            <c:strRef>
              <c:f>Sheet1!$A$116:$A$117</c:f>
              <c:strCache>
                <c:ptCount val="2"/>
                <c:pt idx="0">
                  <c:v>2018/19</c:v>
                </c:pt>
                <c:pt idx="1">
                  <c:v>2019/20</c:v>
                </c:pt>
              </c:strCache>
            </c:strRef>
          </c:cat>
          <c:val>
            <c:numRef>
              <c:f>Sheet1!$C$116:$C$117</c:f>
              <c:numCache>
                <c:formatCode>0</c:formatCode>
                <c:ptCount val="2"/>
                <c:pt idx="0">
                  <c:v>51</c:v>
                </c:pt>
                <c:pt idx="1">
                  <c:v>24</c:v>
                </c:pt>
              </c:numCache>
            </c:numRef>
          </c:val>
          <c:extLst>
            <c:ext xmlns:c16="http://schemas.microsoft.com/office/drawing/2014/chart" uri="{C3380CC4-5D6E-409C-BE32-E72D297353CC}">
              <c16:uniqueId val="{00000001-9388-4446-AC16-18B07DACB67E}"/>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Average Working Days Lost per Full Time Equivalent </a:t>
            </a:r>
          </a:p>
          <a:p>
            <a:pPr>
              <a:defRPr sz="1000"/>
            </a:pPr>
            <a:r>
              <a:rPr lang="en-GB" sz="1000"/>
              <a:t>Finance and Corporate Services</a:t>
            </a:r>
          </a:p>
        </c:rich>
      </c:tx>
      <c:layout>
        <c:manualLayout>
          <c:xMode val="edge"/>
          <c:yMode val="edge"/>
          <c:x val="0.13279314733595493"/>
          <c:y val="1.113430514483802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36080045826422"/>
          <c:y val="0.24723724574112829"/>
          <c:w val="0.85429497822448963"/>
          <c:h val="0.56307101670233439"/>
        </c:manualLayout>
      </c:layout>
      <c:lineChart>
        <c:grouping val="standard"/>
        <c:varyColors val="0"/>
        <c:ser>
          <c:idx val="0"/>
          <c:order val="0"/>
          <c:tx>
            <c:strRef>
              <c:f>Sheet1!$B$55</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947843075793931E-2"/>
                  <c:y val="5.849674606507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7D-4A71-A9DA-B5A016CF47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Sheet1!$A$56:$A$60</c:f>
              <c:strCache>
                <c:ptCount val="4"/>
                <c:pt idx="0">
                  <c:v>2016/17</c:v>
                </c:pt>
                <c:pt idx="1">
                  <c:v>2017/18</c:v>
                </c:pt>
                <c:pt idx="2">
                  <c:v>2018/19</c:v>
                </c:pt>
                <c:pt idx="3">
                  <c:v>2019/20</c:v>
                </c:pt>
              </c:strCache>
            </c:strRef>
          </c:cat>
          <c:val>
            <c:numRef>
              <c:f>Sheet1!$B$56:$B$60</c:f>
              <c:numCache>
                <c:formatCode>0.00</c:formatCode>
                <c:ptCount val="4"/>
                <c:pt idx="0">
                  <c:v>10.130000000000001</c:v>
                </c:pt>
                <c:pt idx="1">
                  <c:v>11.78</c:v>
                </c:pt>
                <c:pt idx="2">
                  <c:v>11.59</c:v>
                </c:pt>
                <c:pt idx="3">
                  <c:v>12.06</c:v>
                </c:pt>
              </c:numCache>
            </c:numRef>
          </c:val>
          <c:smooth val="0"/>
          <c:extLst>
            <c:ext xmlns:c16="http://schemas.microsoft.com/office/drawing/2014/chart" uri="{C3380CC4-5D6E-409C-BE32-E72D297353CC}">
              <c16:uniqueId val="{00000001-8F7D-4A71-A9DA-B5A016CF475C}"/>
            </c:ext>
          </c:extLst>
        </c:ser>
        <c:ser>
          <c:idx val="1"/>
          <c:order val="1"/>
          <c:tx>
            <c:strRef>
              <c:f>Sheet1!$C$55</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7.2348711186768749E-2"/>
                  <c:y val="-4.736244092023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7D-4A71-A9DA-B5A016CF47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Sheet1!$A$56:$A$60</c:f>
              <c:strCache>
                <c:ptCount val="4"/>
                <c:pt idx="0">
                  <c:v>2016/17</c:v>
                </c:pt>
                <c:pt idx="1">
                  <c:v>2017/18</c:v>
                </c:pt>
                <c:pt idx="2">
                  <c:v>2018/19</c:v>
                </c:pt>
                <c:pt idx="3">
                  <c:v>2019/20</c:v>
                </c:pt>
              </c:strCache>
            </c:strRef>
          </c:cat>
          <c:val>
            <c:numRef>
              <c:f>Sheet1!$C$56:$C$60</c:f>
              <c:numCache>
                <c:formatCode>0.00</c:formatCode>
                <c:ptCount val="4"/>
                <c:pt idx="0">
                  <c:v>10.34</c:v>
                </c:pt>
                <c:pt idx="1">
                  <c:v>11.7</c:v>
                </c:pt>
                <c:pt idx="2">
                  <c:v>11.17</c:v>
                </c:pt>
                <c:pt idx="3">
                  <c:v>10.51</c:v>
                </c:pt>
              </c:numCache>
            </c:numRef>
          </c:val>
          <c:smooth val="0"/>
          <c:extLst>
            <c:ext xmlns:c16="http://schemas.microsoft.com/office/drawing/2014/chart" uri="{C3380CC4-5D6E-409C-BE32-E72D297353CC}">
              <c16:uniqueId val="{00000003-8F7D-4A71-A9DA-B5A016CF475C}"/>
            </c:ext>
          </c:extLst>
        </c:ser>
        <c:dLbls>
          <c:dLblPos val="t"/>
          <c:showLegendKey val="0"/>
          <c:showVal val="1"/>
          <c:showCatName val="0"/>
          <c:showSerName val="0"/>
          <c:showPercent val="0"/>
          <c:showBubbleSize val="0"/>
        </c:dLbls>
        <c:marker val="1"/>
        <c:smooth val="0"/>
        <c:axId val="412053800"/>
        <c:axId val="412999688"/>
      </c:lineChart>
      <c:catAx>
        <c:axId val="4120538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999688"/>
        <c:crosses val="autoZero"/>
        <c:auto val="1"/>
        <c:lblAlgn val="ctr"/>
        <c:lblOffset val="100"/>
        <c:noMultiLvlLbl val="0"/>
      </c:catAx>
      <c:valAx>
        <c:axId val="412999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53800"/>
        <c:crosses val="autoZero"/>
        <c:crossBetween val="between"/>
      </c:valAx>
      <c:spPr>
        <a:noFill/>
        <a:ln>
          <a:noFill/>
        </a:ln>
        <a:effectLst/>
      </c:spPr>
    </c:plotArea>
    <c:legend>
      <c:legendPos val="b"/>
      <c:layout>
        <c:manualLayout>
          <c:xMode val="edge"/>
          <c:yMode val="edge"/>
          <c:x val="0.27074945249008253"/>
          <c:y val="0.9004864902303048"/>
          <c:w val="0.4585008205443782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Long Term Working Days Lost per Full Time Equivalent </a:t>
            </a:r>
          </a:p>
          <a:p>
            <a:pPr>
              <a:defRPr sz="1000"/>
            </a:pPr>
            <a:r>
              <a:rPr lang="en-GB" sz="1000"/>
              <a:t>Finance and Corporate Services</a:t>
            </a:r>
          </a:p>
        </c:rich>
      </c:tx>
      <c:layout>
        <c:manualLayout>
          <c:xMode val="edge"/>
          <c:yMode val="edge"/>
          <c:x val="0.13238203343892843"/>
          <c:y val="3.340291543451406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29703084625675"/>
          <c:y val="0.19156572001693814"/>
          <c:w val="0.83965714640533695"/>
          <c:h val="0.6187425424265246"/>
        </c:manualLayout>
      </c:layout>
      <c:lineChart>
        <c:grouping val="standard"/>
        <c:varyColors val="0"/>
        <c:ser>
          <c:idx val="0"/>
          <c:order val="0"/>
          <c:tx>
            <c:strRef>
              <c:f>Sheet1!$B$71</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Sheet1!$A$72:$A$76</c:f>
              <c:strCache>
                <c:ptCount val="4"/>
                <c:pt idx="0">
                  <c:v>2016/17</c:v>
                </c:pt>
                <c:pt idx="1">
                  <c:v>2017/18</c:v>
                </c:pt>
                <c:pt idx="2">
                  <c:v>2018/19</c:v>
                </c:pt>
                <c:pt idx="3">
                  <c:v>2019/20</c:v>
                </c:pt>
              </c:strCache>
            </c:strRef>
          </c:cat>
          <c:val>
            <c:numRef>
              <c:f>Sheet1!$B$72:$B$76</c:f>
              <c:numCache>
                <c:formatCode>0.00</c:formatCode>
                <c:ptCount val="4"/>
                <c:pt idx="0">
                  <c:v>6.88</c:v>
                </c:pt>
                <c:pt idx="1">
                  <c:v>7.79</c:v>
                </c:pt>
                <c:pt idx="2">
                  <c:v>7.76</c:v>
                </c:pt>
                <c:pt idx="3">
                  <c:v>7.92</c:v>
                </c:pt>
              </c:numCache>
            </c:numRef>
          </c:val>
          <c:smooth val="0"/>
          <c:extLst>
            <c:ext xmlns:c16="http://schemas.microsoft.com/office/drawing/2014/chart" uri="{C3380CC4-5D6E-409C-BE32-E72D297353CC}">
              <c16:uniqueId val="{00000000-15BE-462E-9D2D-994F40AD4BC5}"/>
            </c:ext>
          </c:extLst>
        </c:ser>
        <c:ser>
          <c:idx val="1"/>
          <c:order val="1"/>
          <c:tx>
            <c:strRef>
              <c:f>Sheet1!$C$71</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Sheet1!$A$72:$A$76</c:f>
              <c:strCache>
                <c:ptCount val="4"/>
                <c:pt idx="0">
                  <c:v>2016/17</c:v>
                </c:pt>
                <c:pt idx="1">
                  <c:v>2017/18</c:v>
                </c:pt>
                <c:pt idx="2">
                  <c:v>2018/19</c:v>
                </c:pt>
                <c:pt idx="3">
                  <c:v>2019/20</c:v>
                </c:pt>
              </c:strCache>
            </c:strRef>
          </c:cat>
          <c:val>
            <c:numRef>
              <c:f>Sheet1!$C$72:$C$76</c:f>
              <c:numCache>
                <c:formatCode>0.00</c:formatCode>
                <c:ptCount val="4"/>
                <c:pt idx="0">
                  <c:v>6.37</c:v>
                </c:pt>
                <c:pt idx="1">
                  <c:v>7.22</c:v>
                </c:pt>
                <c:pt idx="2">
                  <c:v>7.1</c:v>
                </c:pt>
                <c:pt idx="3">
                  <c:v>6.49</c:v>
                </c:pt>
              </c:numCache>
            </c:numRef>
          </c:val>
          <c:smooth val="0"/>
          <c:extLst>
            <c:ext xmlns:c16="http://schemas.microsoft.com/office/drawing/2014/chart" uri="{C3380CC4-5D6E-409C-BE32-E72D297353CC}">
              <c16:uniqueId val="{00000001-15BE-462E-9D2D-994F40AD4BC5}"/>
            </c:ext>
          </c:extLst>
        </c:ser>
        <c:dLbls>
          <c:dLblPos val="t"/>
          <c:showLegendKey val="0"/>
          <c:showVal val="1"/>
          <c:showCatName val="0"/>
          <c:showSerName val="0"/>
          <c:showPercent val="0"/>
          <c:showBubbleSize val="0"/>
        </c:dLbls>
        <c:marker val="1"/>
        <c:smooth val="0"/>
        <c:axId val="413000472"/>
        <c:axId val="413000864"/>
      </c:lineChart>
      <c:catAx>
        <c:axId val="413000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0864"/>
        <c:crosses val="autoZero"/>
        <c:auto val="1"/>
        <c:lblAlgn val="ctr"/>
        <c:lblOffset val="100"/>
        <c:noMultiLvlLbl val="0"/>
      </c:catAx>
      <c:valAx>
        <c:axId val="41300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0472"/>
        <c:crosses val="autoZero"/>
        <c:crossBetween val="between"/>
      </c:valAx>
      <c:spPr>
        <a:noFill/>
        <a:ln>
          <a:noFill/>
        </a:ln>
        <a:effectLst/>
      </c:spPr>
    </c:plotArea>
    <c:legend>
      <c:legendPos val="b"/>
      <c:layout>
        <c:manualLayout>
          <c:xMode val="edge"/>
          <c:yMode val="edge"/>
          <c:x val="0.30712075095972424"/>
          <c:y val="0.90605364280272382"/>
          <c:w val="0.4549327212594720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 Absence Rate</a:t>
            </a:r>
          </a:p>
          <a:p>
            <a:pPr>
              <a:defRPr sz="1000"/>
            </a:pPr>
            <a:r>
              <a:rPr lang="en-GB" sz="1000" b="0" i="0" u="none" strike="noStrike" baseline="0">
                <a:effectLst/>
              </a:rPr>
              <a:t>Finance and Corporate Services</a:t>
            </a:r>
            <a:endParaRPr lang="en-GB" sz="1000"/>
          </a:p>
        </c:rich>
      </c:tx>
      <c:layout>
        <c:manualLayout>
          <c:xMode val="edge"/>
          <c:yMode val="edge"/>
          <c:x val="0.26731933965173416"/>
          <c:y val="1.66320130017815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345983840792747E-2"/>
          <c:y val="0.2074012021322153"/>
          <c:w val="0.87035984731673555"/>
          <c:h val="0.6092398035065173"/>
        </c:manualLayout>
      </c:layout>
      <c:lineChart>
        <c:grouping val="standard"/>
        <c:varyColors val="0"/>
        <c:ser>
          <c:idx val="0"/>
          <c:order val="0"/>
          <c:tx>
            <c:strRef>
              <c:f>Sheet1!$B$118</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Sheet1!$A$119:$A$122</c:f>
              <c:strCache>
                <c:ptCount val="4"/>
                <c:pt idx="0">
                  <c:v>2016/17</c:v>
                </c:pt>
                <c:pt idx="1">
                  <c:v>2017/18</c:v>
                </c:pt>
                <c:pt idx="2">
                  <c:v>2018/19</c:v>
                </c:pt>
                <c:pt idx="3">
                  <c:v>2019/20</c:v>
                </c:pt>
              </c:strCache>
            </c:strRef>
          </c:cat>
          <c:val>
            <c:numRef>
              <c:f>Sheet1!$B$119:$B$122</c:f>
              <c:numCache>
                <c:formatCode>0.00</c:formatCode>
                <c:ptCount val="4"/>
                <c:pt idx="0">
                  <c:v>4.67</c:v>
                </c:pt>
                <c:pt idx="1">
                  <c:v>5.43</c:v>
                </c:pt>
                <c:pt idx="2">
                  <c:v>5.3</c:v>
                </c:pt>
                <c:pt idx="3">
                  <c:v>5.51</c:v>
                </c:pt>
              </c:numCache>
            </c:numRef>
          </c:val>
          <c:smooth val="0"/>
          <c:extLst>
            <c:ext xmlns:c16="http://schemas.microsoft.com/office/drawing/2014/chart" uri="{C3380CC4-5D6E-409C-BE32-E72D297353CC}">
              <c16:uniqueId val="{00000000-A25B-4DB7-B60F-04F606F8CD4F}"/>
            </c:ext>
          </c:extLst>
        </c:ser>
        <c:ser>
          <c:idx val="1"/>
          <c:order val="1"/>
          <c:tx>
            <c:strRef>
              <c:f>Sheet1!$C$118</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Sheet1!$A$119:$A$122</c:f>
              <c:strCache>
                <c:ptCount val="4"/>
                <c:pt idx="0">
                  <c:v>2016/17</c:v>
                </c:pt>
                <c:pt idx="1">
                  <c:v>2017/18</c:v>
                </c:pt>
                <c:pt idx="2">
                  <c:v>2018/19</c:v>
                </c:pt>
                <c:pt idx="3">
                  <c:v>2019/20</c:v>
                </c:pt>
              </c:strCache>
            </c:strRef>
          </c:cat>
          <c:val>
            <c:numRef>
              <c:f>Sheet1!$C$119:$C$122</c:f>
              <c:numCache>
                <c:formatCode>0.00</c:formatCode>
                <c:ptCount val="4"/>
                <c:pt idx="0">
                  <c:v>4.5999999999999996</c:v>
                </c:pt>
                <c:pt idx="1">
                  <c:v>5.14</c:v>
                </c:pt>
                <c:pt idx="2">
                  <c:v>4.87</c:v>
                </c:pt>
                <c:pt idx="3">
                  <c:v>4.57</c:v>
                </c:pt>
              </c:numCache>
            </c:numRef>
          </c:val>
          <c:smooth val="0"/>
          <c:extLst>
            <c:ext xmlns:c16="http://schemas.microsoft.com/office/drawing/2014/chart" uri="{C3380CC4-5D6E-409C-BE32-E72D297353CC}">
              <c16:uniqueId val="{00000001-A25B-4DB7-B60F-04F606F8CD4F}"/>
            </c:ext>
          </c:extLst>
        </c:ser>
        <c:dLbls>
          <c:dLblPos val="t"/>
          <c:showLegendKey val="0"/>
          <c:showVal val="1"/>
          <c:showCatName val="0"/>
          <c:showSerName val="0"/>
          <c:showPercent val="0"/>
          <c:showBubbleSize val="0"/>
        </c:dLbls>
        <c:marker val="1"/>
        <c:smooth val="0"/>
        <c:axId val="413001648"/>
        <c:axId val="413002040"/>
      </c:lineChart>
      <c:catAx>
        <c:axId val="413001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2040"/>
        <c:crosses val="autoZero"/>
        <c:auto val="1"/>
        <c:lblAlgn val="ctr"/>
        <c:lblOffset val="100"/>
        <c:noMultiLvlLbl val="0"/>
      </c:catAx>
      <c:valAx>
        <c:axId val="413002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01648"/>
        <c:crosses val="autoZero"/>
        <c:crossBetween val="between"/>
      </c:valAx>
      <c:spPr>
        <a:noFill/>
        <a:ln>
          <a:noFill/>
        </a:ln>
        <a:effectLst/>
      </c:spPr>
    </c:plotArea>
    <c:legend>
      <c:legendPos val="b"/>
      <c:layout>
        <c:manualLayout>
          <c:xMode val="edge"/>
          <c:yMode val="edge"/>
          <c:x val="0.27104870376842577"/>
          <c:y val="0.90644427206131761"/>
          <c:w val="0.45790231834597706"/>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 of the Fife Council workforce aged 24 and under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Sheet1!$B$103</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Sheet1!$A$104:$A$108</c:f>
              <c:strCache>
                <c:ptCount val="4"/>
                <c:pt idx="0">
                  <c:v>2016/17</c:v>
                </c:pt>
                <c:pt idx="1">
                  <c:v>2017/18</c:v>
                </c:pt>
                <c:pt idx="2">
                  <c:v>2018/19</c:v>
                </c:pt>
                <c:pt idx="3">
                  <c:v>2019/20</c:v>
                </c:pt>
              </c:strCache>
            </c:strRef>
          </c:cat>
          <c:val>
            <c:numRef>
              <c:f>Sheet1!$B$104:$B$108</c:f>
              <c:numCache>
                <c:formatCode>0.00</c:formatCode>
                <c:ptCount val="4"/>
                <c:pt idx="0">
                  <c:v>4.3</c:v>
                </c:pt>
                <c:pt idx="1">
                  <c:v>4.7</c:v>
                </c:pt>
                <c:pt idx="2">
                  <c:v>4.9000000000000004</c:v>
                </c:pt>
                <c:pt idx="3">
                  <c:v>5.32</c:v>
                </c:pt>
              </c:numCache>
            </c:numRef>
          </c:val>
          <c:smooth val="0"/>
          <c:extLst>
            <c:ext xmlns:c16="http://schemas.microsoft.com/office/drawing/2014/chart" uri="{C3380CC4-5D6E-409C-BE32-E72D297353CC}">
              <c16:uniqueId val="{00000000-614F-4D4C-B78C-13C734CA9977}"/>
            </c:ext>
          </c:extLst>
        </c:ser>
        <c:dLbls>
          <c:dLblPos val="t"/>
          <c:showLegendKey val="0"/>
          <c:showVal val="1"/>
          <c:showCatName val="0"/>
          <c:showSerName val="0"/>
          <c:showPercent val="0"/>
          <c:showBubbleSize val="0"/>
        </c:dLbls>
        <c:marker val="1"/>
        <c:smooth val="0"/>
        <c:axId val="407487840"/>
        <c:axId val="407488232"/>
      </c:lineChart>
      <c:catAx>
        <c:axId val="407487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8232"/>
        <c:crosses val="autoZero"/>
        <c:auto val="1"/>
        <c:lblAlgn val="ctr"/>
        <c:lblOffset val="100"/>
        <c:noMultiLvlLbl val="0"/>
      </c:catAx>
      <c:valAx>
        <c:axId val="407488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87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The percentage of the highest paid 5% </a:t>
            </a:r>
          </a:p>
          <a:p>
            <a:pPr>
              <a:defRPr sz="1000"/>
            </a:pPr>
            <a:r>
              <a:rPr lang="en-GB" sz="1000"/>
              <a:t>employees who are women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08085056057783"/>
          <c:y val="0.19631319346436096"/>
          <c:w val="0.85467491304021692"/>
          <c:h val="0.62032781217437161"/>
        </c:manualLayout>
      </c:layout>
      <c:lineChart>
        <c:grouping val="standard"/>
        <c:varyColors val="0"/>
        <c:ser>
          <c:idx val="0"/>
          <c:order val="0"/>
          <c:tx>
            <c:strRef>
              <c:f>Sheet1!$B$119</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6.5206559940517481E-2"/>
                  <c:y val="4.7082565939820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85-49C4-A155-39C0F26B83E0}"/>
                </c:ext>
              </c:extLst>
            </c:dLbl>
            <c:dLbl>
              <c:idx val="1"/>
              <c:layout>
                <c:manualLayout>
                  <c:x val="-9.5785797234915794E-3"/>
                  <c:y val="-5.8253516404796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85-49C4-A155-39C0F26B83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Sheet1!$A$120:$A$124</c:f>
              <c:strCache>
                <c:ptCount val="4"/>
                <c:pt idx="0">
                  <c:v>2016/17</c:v>
                </c:pt>
                <c:pt idx="1">
                  <c:v>2017/18</c:v>
                </c:pt>
                <c:pt idx="2">
                  <c:v>2018/19</c:v>
                </c:pt>
                <c:pt idx="3">
                  <c:v>2019/20</c:v>
                </c:pt>
              </c:strCache>
            </c:strRef>
          </c:cat>
          <c:val>
            <c:numRef>
              <c:f>Sheet1!$B$120:$B$124</c:f>
              <c:numCache>
                <c:formatCode>0.00</c:formatCode>
                <c:ptCount val="4"/>
                <c:pt idx="0">
                  <c:v>51.34</c:v>
                </c:pt>
                <c:pt idx="1">
                  <c:v>54.93</c:v>
                </c:pt>
                <c:pt idx="2">
                  <c:v>57.05</c:v>
                </c:pt>
                <c:pt idx="3">
                  <c:v>57.65</c:v>
                </c:pt>
              </c:numCache>
            </c:numRef>
          </c:val>
          <c:smooth val="0"/>
          <c:extLst>
            <c:ext xmlns:c16="http://schemas.microsoft.com/office/drawing/2014/chart" uri="{C3380CC4-5D6E-409C-BE32-E72D297353CC}">
              <c16:uniqueId val="{00000002-D985-49C4-A155-39C0F26B83E0}"/>
            </c:ext>
          </c:extLst>
        </c:ser>
        <c:ser>
          <c:idx val="1"/>
          <c:order val="1"/>
          <c:tx>
            <c:strRef>
              <c:f>Sheet1!$C$119</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dLbl>
              <c:idx val="0"/>
              <c:layout>
                <c:manualLayout>
                  <c:x val="-6.5206559940517481E-2"/>
                  <c:y val="-3.5994557271965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85-49C4-A155-39C0F26B83E0}"/>
                </c:ext>
              </c:extLst>
            </c:dLbl>
            <c:dLbl>
              <c:idx val="1"/>
              <c:layout>
                <c:manualLayout>
                  <c:x val="-7.2160057467645575E-2"/>
                  <c:y val="-8.589059627731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85-49C4-A155-39C0F26B83E0}"/>
                </c:ext>
              </c:extLst>
            </c:dLbl>
            <c:dLbl>
              <c:idx val="2"/>
              <c:layout>
                <c:manualLayout>
                  <c:x val="-6.5206559940517481E-2"/>
                  <c:y val="-5.8170574607674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85-49C4-A155-39C0F26B83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Sheet1!$A$120:$A$124</c:f>
              <c:strCache>
                <c:ptCount val="4"/>
                <c:pt idx="0">
                  <c:v>2016/17</c:v>
                </c:pt>
                <c:pt idx="1">
                  <c:v>2017/18</c:v>
                </c:pt>
                <c:pt idx="2">
                  <c:v>2018/19</c:v>
                </c:pt>
                <c:pt idx="3">
                  <c:v>2019/20</c:v>
                </c:pt>
              </c:strCache>
            </c:strRef>
          </c:cat>
          <c:val>
            <c:numRef>
              <c:f>Sheet1!$C$120:$C$124</c:f>
              <c:numCache>
                <c:formatCode>0.00</c:formatCode>
                <c:ptCount val="4"/>
                <c:pt idx="0">
                  <c:v>55.49</c:v>
                </c:pt>
                <c:pt idx="1">
                  <c:v>56.03</c:v>
                </c:pt>
                <c:pt idx="2">
                  <c:v>58.65</c:v>
                </c:pt>
              </c:numCache>
            </c:numRef>
          </c:val>
          <c:smooth val="0"/>
          <c:extLst>
            <c:ext xmlns:c16="http://schemas.microsoft.com/office/drawing/2014/chart" uri="{C3380CC4-5D6E-409C-BE32-E72D297353CC}">
              <c16:uniqueId val="{00000006-D985-49C4-A155-39C0F26B83E0}"/>
            </c:ext>
          </c:extLst>
        </c:ser>
        <c:ser>
          <c:idx val="2"/>
          <c:order val="2"/>
          <c:tx>
            <c:strRef>
              <c:f>Sheet1!$D$119</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0"/>
              <c:layout>
                <c:manualLayout>
                  <c:x val="-6.5206559940517481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85-49C4-A155-39C0F26B83E0}"/>
                </c:ext>
              </c:extLst>
            </c:dLbl>
            <c:dLbl>
              <c:idx val="1"/>
              <c:layout>
                <c:manualLayout>
                  <c:x val="-6.8683308704081597E-2"/>
                  <c:y val="5.2709512070868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85-49C4-A155-39C0F26B83E0}"/>
                </c:ext>
              </c:extLst>
            </c:dLbl>
            <c:dLbl>
              <c:idx val="2"/>
              <c:layout>
                <c:manualLayout>
                  <c:x val="-6.5206559940517481E-2"/>
                  <c:y val="-0.113610617946946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85-49C4-A155-39C0F26B83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Sheet1!$A$120:$A$124</c:f>
              <c:strCache>
                <c:ptCount val="4"/>
                <c:pt idx="0">
                  <c:v>2016/17</c:v>
                </c:pt>
                <c:pt idx="1">
                  <c:v>2017/18</c:v>
                </c:pt>
                <c:pt idx="2">
                  <c:v>2018/19</c:v>
                </c:pt>
                <c:pt idx="3">
                  <c:v>2019/20</c:v>
                </c:pt>
              </c:strCache>
            </c:strRef>
          </c:cat>
          <c:val>
            <c:numRef>
              <c:f>Sheet1!$D$120:$D$124</c:f>
              <c:numCache>
                <c:formatCode>0.00</c:formatCode>
                <c:ptCount val="4"/>
                <c:pt idx="0">
                  <c:v>52.9</c:v>
                </c:pt>
                <c:pt idx="1">
                  <c:v>54.63</c:v>
                </c:pt>
                <c:pt idx="2">
                  <c:v>55.79</c:v>
                </c:pt>
              </c:numCache>
            </c:numRef>
          </c:val>
          <c:smooth val="0"/>
          <c:extLst>
            <c:ext xmlns:c16="http://schemas.microsoft.com/office/drawing/2014/chart" uri="{C3380CC4-5D6E-409C-BE32-E72D297353CC}">
              <c16:uniqueId val="{0000000A-D985-49C4-A155-39C0F26B83E0}"/>
            </c:ext>
          </c:extLst>
        </c:ser>
        <c:dLbls>
          <c:dLblPos val="t"/>
          <c:showLegendKey val="0"/>
          <c:showVal val="1"/>
          <c:showCatName val="0"/>
          <c:showSerName val="0"/>
          <c:showPercent val="0"/>
          <c:showBubbleSize val="0"/>
        </c:dLbls>
        <c:marker val="1"/>
        <c:smooth val="0"/>
        <c:axId val="411483992"/>
        <c:axId val="411484384"/>
      </c:lineChart>
      <c:catAx>
        <c:axId val="411483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4384"/>
        <c:crosses val="autoZero"/>
        <c:auto val="1"/>
        <c:lblAlgn val="ctr"/>
        <c:lblOffset val="100"/>
        <c:noMultiLvlLbl val="0"/>
      </c:catAx>
      <c:valAx>
        <c:axId val="41148438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3992"/>
        <c:crosses val="autoZero"/>
        <c:crossBetween val="between"/>
        <c:majorUnit val="5"/>
        <c:minorUnit val="0.5"/>
      </c:valAx>
      <c:spPr>
        <a:noFill/>
        <a:ln>
          <a:noFill/>
        </a:ln>
        <a:effectLst/>
      </c:spPr>
    </c:plotArea>
    <c:legend>
      <c:legendPos val="b"/>
      <c:layout>
        <c:manualLayout>
          <c:xMode val="edge"/>
          <c:yMode val="edge"/>
          <c:x val="5.0000027375974518E-2"/>
          <c:y val="0.89535626339346319"/>
          <c:w val="0.89999994524805094"/>
          <c:h val="9.35557279386824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The gender pay gap</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94143700787402"/>
          <c:y val="0.17929036777398938"/>
          <c:w val="0.85486411854768152"/>
          <c:h val="0.62545074209705431"/>
        </c:manualLayout>
      </c:layout>
      <c:lineChart>
        <c:grouping val="standard"/>
        <c:varyColors val="0"/>
        <c:ser>
          <c:idx val="0"/>
          <c:order val="0"/>
          <c:tx>
            <c:strRef>
              <c:f>Sheet1!$B$135</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288331146106798E-2"/>
                  <c:y val="-3.0660983202980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34-47A1-9C50-0929E181F6BF}"/>
                </c:ext>
              </c:extLst>
            </c:dLbl>
            <c:dLbl>
              <c:idx val="1"/>
              <c:layout>
                <c:manualLayout>
                  <c:x val="-5.7204997812773405E-2"/>
                  <c:y val="-6.4063898637494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34-47A1-9C50-0929E181F6BF}"/>
                </c:ext>
              </c:extLst>
            </c:dLbl>
            <c:dLbl>
              <c:idx val="2"/>
              <c:layout>
                <c:manualLayout>
                  <c:x val="-6.414944225721772E-2"/>
                  <c:y val="-5.8496746065075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34-47A1-9C50-0929E181F6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Sheet1!$A$136:$A$140</c:f>
              <c:strCache>
                <c:ptCount val="4"/>
                <c:pt idx="0">
                  <c:v>2016/17</c:v>
                </c:pt>
                <c:pt idx="1">
                  <c:v>2017/18</c:v>
                </c:pt>
                <c:pt idx="2">
                  <c:v>2018/19</c:v>
                </c:pt>
                <c:pt idx="3">
                  <c:v>2019/20</c:v>
                </c:pt>
              </c:strCache>
            </c:strRef>
          </c:cat>
          <c:val>
            <c:numRef>
              <c:f>Sheet1!$B$136:$B$140</c:f>
              <c:numCache>
                <c:formatCode>0.00</c:formatCode>
                <c:ptCount val="4"/>
                <c:pt idx="0">
                  <c:v>2.87</c:v>
                </c:pt>
                <c:pt idx="1">
                  <c:v>1.63</c:v>
                </c:pt>
                <c:pt idx="2">
                  <c:v>1.9</c:v>
                </c:pt>
                <c:pt idx="3">
                  <c:v>-0.66</c:v>
                </c:pt>
              </c:numCache>
            </c:numRef>
          </c:val>
          <c:smooth val="0"/>
          <c:extLst>
            <c:ext xmlns:c16="http://schemas.microsoft.com/office/drawing/2014/chart" uri="{C3380CC4-5D6E-409C-BE32-E72D297353CC}">
              <c16:uniqueId val="{00000003-6B34-47A1-9C50-0929E181F6BF}"/>
            </c:ext>
          </c:extLst>
        </c:ser>
        <c:ser>
          <c:idx val="1"/>
          <c:order val="1"/>
          <c:tx>
            <c:strRef>
              <c:f>Sheet1!$C$135</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dLbl>
              <c:idx val="0"/>
              <c:layout>
                <c:manualLayout>
                  <c:x val="-5.7204997812773405E-2"/>
                  <c:y val="5.849674606507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34-47A1-9C50-0929E181F6BF}"/>
                </c:ext>
              </c:extLst>
            </c:dLbl>
            <c:dLbl>
              <c:idx val="1"/>
              <c:layout>
                <c:manualLayout>
                  <c:x val="-6.4149442257217845E-2"/>
                  <c:y val="5.2929593492656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34-47A1-9C50-0929E181F6BF}"/>
                </c:ext>
              </c:extLst>
            </c:dLbl>
            <c:dLbl>
              <c:idx val="2"/>
              <c:layout>
                <c:manualLayout>
                  <c:x val="-5.1216644794400698E-3"/>
                  <c:y val="1.9526678058142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34-47A1-9C50-0929E181F6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Sheet1!$A$136:$A$140</c:f>
              <c:strCache>
                <c:ptCount val="4"/>
                <c:pt idx="0">
                  <c:v>2016/17</c:v>
                </c:pt>
                <c:pt idx="1">
                  <c:v>2017/18</c:v>
                </c:pt>
                <c:pt idx="2">
                  <c:v>2018/19</c:v>
                </c:pt>
                <c:pt idx="3">
                  <c:v>2019/20</c:v>
                </c:pt>
              </c:strCache>
            </c:strRef>
          </c:cat>
          <c:val>
            <c:numRef>
              <c:f>Sheet1!$C$136:$C$140</c:f>
              <c:numCache>
                <c:formatCode>0.00</c:formatCode>
                <c:ptCount val="4"/>
                <c:pt idx="0">
                  <c:v>1.6</c:v>
                </c:pt>
                <c:pt idx="1">
                  <c:v>1.58</c:v>
                </c:pt>
                <c:pt idx="2">
                  <c:v>0.72</c:v>
                </c:pt>
              </c:numCache>
            </c:numRef>
          </c:val>
          <c:smooth val="0"/>
          <c:extLst>
            <c:ext xmlns:c16="http://schemas.microsoft.com/office/drawing/2014/chart" uri="{C3380CC4-5D6E-409C-BE32-E72D297353CC}">
              <c16:uniqueId val="{00000007-6B34-47A1-9C50-0929E181F6BF}"/>
            </c:ext>
          </c:extLst>
        </c:ser>
        <c:ser>
          <c:idx val="2"/>
          <c:order val="2"/>
          <c:tx>
            <c:strRef>
              <c:f>Sheet1!$D$135</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Sheet1!$A$136:$A$140</c:f>
              <c:strCache>
                <c:ptCount val="4"/>
                <c:pt idx="0">
                  <c:v>2016/17</c:v>
                </c:pt>
                <c:pt idx="1">
                  <c:v>2017/18</c:v>
                </c:pt>
                <c:pt idx="2">
                  <c:v>2018/19</c:v>
                </c:pt>
                <c:pt idx="3">
                  <c:v>2019/20</c:v>
                </c:pt>
              </c:strCache>
            </c:strRef>
          </c:cat>
          <c:val>
            <c:numRef>
              <c:f>Sheet1!$D$136:$D$140</c:f>
              <c:numCache>
                <c:formatCode>0.00</c:formatCode>
                <c:ptCount val="4"/>
                <c:pt idx="0">
                  <c:v>4.21</c:v>
                </c:pt>
                <c:pt idx="1">
                  <c:v>3.93</c:v>
                </c:pt>
                <c:pt idx="2">
                  <c:v>3.96</c:v>
                </c:pt>
              </c:numCache>
            </c:numRef>
          </c:val>
          <c:smooth val="0"/>
          <c:extLst>
            <c:ext xmlns:c16="http://schemas.microsoft.com/office/drawing/2014/chart" uri="{C3380CC4-5D6E-409C-BE32-E72D297353CC}">
              <c16:uniqueId val="{00000008-6B34-47A1-9C50-0929E181F6BF}"/>
            </c:ext>
          </c:extLst>
        </c:ser>
        <c:dLbls>
          <c:dLblPos val="t"/>
          <c:showLegendKey val="0"/>
          <c:showVal val="1"/>
          <c:showCatName val="0"/>
          <c:showSerName val="0"/>
          <c:showPercent val="0"/>
          <c:showBubbleSize val="0"/>
        </c:dLbls>
        <c:marker val="1"/>
        <c:smooth val="0"/>
        <c:axId val="411485168"/>
        <c:axId val="411485560"/>
      </c:lineChart>
      <c:catAx>
        <c:axId val="4114851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5560"/>
        <c:crosses val="autoZero"/>
        <c:auto val="1"/>
        <c:lblAlgn val="ctr"/>
        <c:lblOffset val="100"/>
        <c:noMultiLvlLbl val="0"/>
      </c:catAx>
      <c:valAx>
        <c:axId val="411485560"/>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485168"/>
        <c:crosses val="autoZero"/>
        <c:crossBetween val="between"/>
      </c:valAx>
      <c:spPr>
        <a:noFill/>
        <a:ln>
          <a:noFill/>
        </a:ln>
        <a:effectLst/>
      </c:spPr>
    </c:plotArea>
    <c:legend>
      <c:legendPos val="b"/>
      <c:layout>
        <c:manualLayout>
          <c:xMode val="edge"/>
          <c:yMode val="edge"/>
          <c:x val="0.05"/>
          <c:y val="0.88935218508546687"/>
          <c:w val="0.89999999999999991"/>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F87C93BEFB3946A101FC29AC792569" ma:contentTypeVersion="7" ma:contentTypeDescription="Create a new document." ma:contentTypeScope="" ma:versionID="958fea2e04f38dd658614349a40ecd49">
  <xsd:schema xmlns:xsd="http://www.w3.org/2001/XMLSchema" xmlns:xs="http://www.w3.org/2001/XMLSchema" xmlns:p="http://schemas.microsoft.com/office/2006/metadata/properties" xmlns:ns3="d616c5e8-9828-4388-b231-1d95b5c77fc9" xmlns:ns4="31600eef-3e08-459f-9783-a506dd465522" targetNamespace="http://schemas.microsoft.com/office/2006/metadata/properties" ma:root="true" ma:fieldsID="1591c9a16dd796eef388381a508123ab" ns3:_="" ns4:_="">
    <xsd:import namespace="d616c5e8-9828-4388-b231-1d95b5c77fc9"/>
    <xsd:import namespace="31600eef-3e08-459f-9783-a506dd4655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6c5e8-9828-4388-b231-1d95b5c77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00eef-3e08-459f-9783-a506dd4655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34FA7-4525-4832-96C8-A4C605ED82C6}">
  <ds:schemaRefs>
    <ds:schemaRef ds:uri="http://schemas.microsoft.com/sharepoint/v3/contenttype/forms"/>
  </ds:schemaRefs>
</ds:datastoreItem>
</file>

<file path=customXml/itemProps2.xml><?xml version="1.0" encoding="utf-8"?>
<ds:datastoreItem xmlns:ds="http://schemas.openxmlformats.org/officeDocument/2006/customXml" ds:itemID="{7F67D2D3-9187-4200-B8FA-43146E793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6c5e8-9828-4388-b231-1d95b5c77fc9"/>
    <ds:schemaRef ds:uri="31600eef-3e08-459f-9783-a506dd46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156A6E-841E-4047-A6B5-30EACC90C2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79B0AF-8FCF-45F2-A4D8-C6640D4D8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Policy, Finance and Asset Management Committee</vt:lpstr>
    </vt:vector>
  </TitlesOfParts>
  <Company>Fife Council</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Finance and Asset Management Committee</dc:title>
  <dc:subject/>
  <dc:creator>Jim Lumsden</dc:creator>
  <cp:keywords/>
  <cp:lastModifiedBy>Jacqui Prokes</cp:lastModifiedBy>
  <cp:revision>10</cp:revision>
  <cp:lastPrinted>2019-08-12T10:45:00Z</cp:lastPrinted>
  <dcterms:created xsi:type="dcterms:W3CDTF">2020-11-24T13:12:00Z</dcterms:created>
  <dcterms:modified xsi:type="dcterms:W3CDTF">2020-11-24T13:51:00Z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0x010100E1F87C93BEFB3946A101FC29AC792569</vt:lpwstr>
  </property>
</Properties>
</file>