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theme/theme1.xml" ContentType="application/vnd.openxmlformats-officedocument.theme+xml"/>
  <Override PartName="/word/theme/themeOverride21.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D956C" w14:textId="1606DF8C" w:rsidR="001927FC" w:rsidRPr="00500A72" w:rsidRDefault="00B94E1B" w:rsidP="001927FC">
      <w:pPr>
        <w:pStyle w:val="CommitteeTitle"/>
        <w:rPr>
          <w:rFonts w:ascii="Arial" w:hAnsi="Arial" w:cs="Arial"/>
        </w:rPr>
      </w:pPr>
      <w:r w:rsidRPr="00FE0267">
        <w:rPr>
          <w:rFonts w:ascii="Arial" w:hAnsi="Arial" w:cs="Arial"/>
          <w:highlight w:val="yellow"/>
        </w:rPr>
        <w:drawing>
          <wp:anchor distT="0" distB="0" distL="114300" distR="114300" simplePos="0" relativeHeight="251657728" behindDoc="1" locked="0" layoutInCell="1" allowOverlap="1" wp14:anchorId="3DA2CD1F" wp14:editId="39EEB79D">
            <wp:simplePos x="0" y="0"/>
            <wp:positionH relativeFrom="column">
              <wp:posOffset>-554355</wp:posOffset>
            </wp:positionH>
            <wp:positionV relativeFrom="paragraph">
              <wp:posOffset>-56515</wp:posOffset>
            </wp:positionV>
            <wp:extent cx="6972300" cy="920750"/>
            <wp:effectExtent l="0" t="0" r="0" b="0"/>
            <wp:wrapNone/>
            <wp:docPr id="3" name="Picture 3" descr="fcB&amp;WFlash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B&amp;WFlash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E99">
        <w:rPr>
          <w:rFonts w:ascii="Arial" w:hAnsi="Arial" w:cs="Arial"/>
        </w:rPr>
        <w:t xml:space="preserve">Asset and Corporate Services Committee </w:t>
      </w:r>
      <w:r w:rsidR="002A02E9">
        <w:rPr>
          <w:rFonts w:ascii="Arial" w:hAnsi="Arial" w:cs="Arial"/>
        </w:rPr>
        <w:t xml:space="preserve"> </w:t>
      </w:r>
    </w:p>
    <w:p w14:paraId="2ABA05A9" w14:textId="77777777" w:rsidR="00B86886" w:rsidRDefault="00B86886" w:rsidP="009B4ECC">
      <w:pPr>
        <w:spacing w:before="0"/>
        <w:rPr>
          <w:rFonts w:ascii="Arial" w:hAnsi="Arial" w:cs="Arial"/>
        </w:rPr>
      </w:pPr>
    </w:p>
    <w:p w14:paraId="3D77EB6D" w14:textId="77777777" w:rsidR="00E12351" w:rsidRDefault="003F30B3" w:rsidP="009B4ECC">
      <w:pPr>
        <w:spacing w:before="0"/>
        <w:rPr>
          <w:rFonts w:ascii="Arial" w:hAnsi="Arial" w:cs="Arial"/>
        </w:rPr>
      </w:pPr>
      <w:r>
        <w:rPr>
          <w:rFonts w:ascii="Arial" w:hAnsi="Arial" w:cs="Arial"/>
        </w:rPr>
        <w:t xml:space="preserve">22 </w:t>
      </w:r>
      <w:r w:rsidR="006B7E99">
        <w:rPr>
          <w:rFonts w:ascii="Arial" w:hAnsi="Arial" w:cs="Arial"/>
        </w:rPr>
        <w:t>August 2019</w:t>
      </w:r>
      <w:r w:rsidR="00BD7A97">
        <w:rPr>
          <w:rFonts w:ascii="Arial" w:hAnsi="Arial" w:cs="Arial"/>
        </w:rPr>
        <w:t>.</w:t>
      </w:r>
    </w:p>
    <w:p w14:paraId="3C8F95EE" w14:textId="77777777" w:rsidR="009B4ECC" w:rsidRPr="006C2E4E" w:rsidRDefault="009B4ECC" w:rsidP="009B4ECC">
      <w:pPr>
        <w:spacing w:before="0"/>
        <w:rPr>
          <w:rFonts w:ascii="Arial" w:hAnsi="Arial" w:cs="Arial"/>
        </w:rPr>
      </w:pPr>
      <w:r>
        <w:rPr>
          <w:rFonts w:ascii="Arial" w:hAnsi="Arial" w:cs="Arial"/>
        </w:rPr>
        <w:t xml:space="preserve">Agenda Item </w:t>
      </w:r>
      <w:r w:rsidR="00B70BAF">
        <w:rPr>
          <w:rFonts w:ascii="Arial" w:hAnsi="Arial" w:cs="Arial"/>
        </w:rPr>
        <w:t xml:space="preserve">No. </w:t>
      </w:r>
    </w:p>
    <w:tbl>
      <w:tblPr>
        <w:tblW w:w="0" w:type="auto"/>
        <w:tblLook w:val="00BF" w:firstRow="1" w:lastRow="0" w:firstColumn="1" w:lastColumn="0" w:noHBand="0" w:noVBand="0"/>
      </w:tblPr>
      <w:tblGrid>
        <w:gridCol w:w="9638"/>
      </w:tblGrid>
      <w:tr w:rsidR="00A90C08" w:rsidRPr="00500A72" w14:paraId="67C56FE0" w14:textId="77777777">
        <w:tc>
          <w:tcPr>
            <w:tcW w:w="9854" w:type="dxa"/>
            <w:tcBorders>
              <w:bottom w:val="single" w:sz="4" w:space="0" w:color="00424F"/>
            </w:tcBorders>
          </w:tcPr>
          <w:p w14:paraId="6B77A36D" w14:textId="77777777" w:rsidR="00A90C08" w:rsidRPr="009234E7" w:rsidRDefault="006B7E99" w:rsidP="009578CD">
            <w:pPr>
              <w:pStyle w:val="ReportTitle"/>
              <w:rPr>
                <w:rFonts w:ascii="Arial" w:hAnsi="Arial" w:cs="Arial"/>
                <w:color w:val="FF0000"/>
              </w:rPr>
            </w:pPr>
            <w:r>
              <w:rPr>
                <w:rFonts w:ascii="Arial" w:hAnsi="Arial" w:cs="Arial"/>
              </w:rPr>
              <w:t xml:space="preserve">Finance and Corporate Services Performance Report </w:t>
            </w:r>
            <w:r w:rsidR="009234E7">
              <w:rPr>
                <w:rFonts w:ascii="Arial" w:hAnsi="Arial" w:cs="Arial"/>
              </w:rPr>
              <w:t xml:space="preserve"> </w:t>
            </w:r>
          </w:p>
        </w:tc>
      </w:tr>
      <w:tr w:rsidR="00A90C08" w:rsidRPr="00500A72" w14:paraId="70ADA8E7" w14:textId="77777777">
        <w:tc>
          <w:tcPr>
            <w:tcW w:w="9854" w:type="dxa"/>
            <w:tcBorders>
              <w:top w:val="single" w:sz="4" w:space="0" w:color="00424F"/>
              <w:bottom w:val="single" w:sz="4" w:space="0" w:color="00424F"/>
            </w:tcBorders>
          </w:tcPr>
          <w:p w14:paraId="1C61D824" w14:textId="77777777" w:rsidR="00A90C08" w:rsidRPr="00500A72" w:rsidRDefault="00A90C08" w:rsidP="0080109B">
            <w:pPr>
              <w:pStyle w:val="overviewtext"/>
              <w:rPr>
                <w:rFonts w:ascii="Arial" w:hAnsi="Arial" w:cs="Arial"/>
              </w:rPr>
            </w:pPr>
            <w:r w:rsidRPr="00500A72">
              <w:rPr>
                <w:rFonts w:ascii="Arial" w:hAnsi="Arial" w:cs="Arial"/>
              </w:rPr>
              <w:t xml:space="preserve">Report by: </w:t>
            </w:r>
            <w:r w:rsidR="006B7E99">
              <w:rPr>
                <w:rFonts w:ascii="Arial" w:hAnsi="Arial" w:cs="Arial"/>
              </w:rPr>
              <w:t xml:space="preserve">Eileen </w:t>
            </w:r>
            <w:proofErr w:type="spellStart"/>
            <w:r w:rsidR="006B7E99">
              <w:rPr>
                <w:rFonts w:ascii="Arial" w:hAnsi="Arial" w:cs="Arial"/>
              </w:rPr>
              <w:t>Rowand</w:t>
            </w:r>
            <w:proofErr w:type="spellEnd"/>
            <w:r w:rsidR="00E751EC">
              <w:rPr>
                <w:rFonts w:ascii="Arial" w:hAnsi="Arial" w:cs="Arial"/>
              </w:rPr>
              <w:t>, Executive Director</w:t>
            </w:r>
            <w:r w:rsidR="005678E3">
              <w:rPr>
                <w:rFonts w:ascii="Arial" w:hAnsi="Arial" w:cs="Arial"/>
              </w:rPr>
              <w:t>,</w:t>
            </w:r>
            <w:r w:rsidR="00E751EC">
              <w:rPr>
                <w:rFonts w:ascii="Arial" w:hAnsi="Arial" w:cs="Arial"/>
              </w:rPr>
              <w:t xml:space="preserve"> </w:t>
            </w:r>
            <w:r w:rsidR="006B7E99">
              <w:rPr>
                <w:rFonts w:ascii="Arial" w:hAnsi="Arial" w:cs="Arial"/>
              </w:rPr>
              <w:t>Fi</w:t>
            </w:r>
            <w:r w:rsidR="00AA10C2">
              <w:rPr>
                <w:rFonts w:ascii="Arial" w:hAnsi="Arial" w:cs="Arial"/>
              </w:rPr>
              <w:t>n</w:t>
            </w:r>
            <w:r w:rsidR="006B7E99">
              <w:rPr>
                <w:rFonts w:ascii="Arial" w:hAnsi="Arial" w:cs="Arial"/>
              </w:rPr>
              <w:t xml:space="preserve">ance and Corporate Services </w:t>
            </w:r>
            <w:r w:rsidR="001402CF">
              <w:t xml:space="preserve"> </w:t>
            </w:r>
            <w:r w:rsidR="001402CF" w:rsidRPr="00500A72">
              <w:rPr>
                <w:rFonts w:ascii="Arial" w:hAnsi="Arial" w:cs="Arial"/>
              </w:rPr>
              <w:t xml:space="preserve"> </w:t>
            </w:r>
          </w:p>
        </w:tc>
      </w:tr>
      <w:tr w:rsidR="00A90C08" w:rsidRPr="00500A72" w14:paraId="112A50E9" w14:textId="77777777">
        <w:tc>
          <w:tcPr>
            <w:tcW w:w="9854" w:type="dxa"/>
            <w:tcBorders>
              <w:top w:val="single" w:sz="4" w:space="0" w:color="00424F"/>
              <w:bottom w:val="single" w:sz="4" w:space="0" w:color="00424F"/>
            </w:tcBorders>
          </w:tcPr>
          <w:p w14:paraId="51359F3A" w14:textId="77777777" w:rsidR="00A90C08" w:rsidRPr="00500A72" w:rsidRDefault="00A90C08" w:rsidP="00FE2AE3">
            <w:pPr>
              <w:pStyle w:val="overviewtext"/>
              <w:rPr>
                <w:rFonts w:ascii="Arial" w:hAnsi="Arial" w:cs="Arial"/>
              </w:rPr>
            </w:pPr>
            <w:r w:rsidRPr="00500A72">
              <w:rPr>
                <w:rFonts w:ascii="Arial" w:hAnsi="Arial" w:cs="Arial"/>
              </w:rPr>
              <w:t>Wards Affected: All</w:t>
            </w:r>
          </w:p>
        </w:tc>
      </w:tr>
    </w:tbl>
    <w:p w14:paraId="1F6EB025"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Purpose</w:t>
      </w:r>
    </w:p>
    <w:p w14:paraId="74684970" w14:textId="77777777" w:rsidR="001D758F" w:rsidRPr="001B0DAD" w:rsidRDefault="00E82D85" w:rsidP="00BD7A97">
      <w:pPr>
        <w:spacing w:before="240"/>
        <w:ind w:left="720"/>
        <w:jc w:val="both"/>
        <w:rPr>
          <w:rFonts w:ascii="Arial" w:hAnsi="Arial" w:cs="Arial"/>
        </w:rPr>
      </w:pPr>
      <w:r>
        <w:rPr>
          <w:rFonts w:ascii="Arial" w:hAnsi="Arial" w:cs="Arial"/>
        </w:rPr>
        <w:t xml:space="preserve">To present the </w:t>
      </w:r>
      <w:r w:rsidR="00494FCA">
        <w:rPr>
          <w:rFonts w:ascii="Arial" w:hAnsi="Arial" w:cs="Arial"/>
        </w:rPr>
        <w:t>performance scorecard for the Finance &amp; Corporate Services Directorate for 2018/19</w:t>
      </w:r>
    </w:p>
    <w:p w14:paraId="5FD65143" w14:textId="77777777" w:rsidR="00A90C08" w:rsidRPr="00500A72" w:rsidRDefault="00A90C08" w:rsidP="00BD7A97">
      <w:pPr>
        <w:pStyle w:val="overviewheading"/>
        <w:tabs>
          <w:tab w:val="center" w:pos="4819"/>
        </w:tabs>
        <w:spacing w:before="240" w:after="120"/>
        <w:jc w:val="both"/>
        <w:rPr>
          <w:rFonts w:ascii="Arial" w:hAnsi="Arial" w:cs="Arial"/>
        </w:rPr>
      </w:pPr>
      <w:r w:rsidRPr="00500A72">
        <w:rPr>
          <w:rFonts w:ascii="Arial" w:hAnsi="Arial" w:cs="Arial"/>
        </w:rPr>
        <w:t>Recommendations</w:t>
      </w:r>
    </w:p>
    <w:p w14:paraId="3BF84FAE" w14:textId="77777777" w:rsidR="00494FCA" w:rsidRDefault="00494FCA" w:rsidP="006B7E99">
      <w:pPr>
        <w:pStyle w:val="Para2"/>
        <w:spacing w:before="240" w:after="120"/>
        <w:ind w:left="720"/>
        <w:rPr>
          <w:rFonts w:ascii="Arial" w:hAnsi="Arial" w:cs="Arial"/>
        </w:rPr>
      </w:pPr>
      <w:r>
        <w:rPr>
          <w:rFonts w:ascii="Arial" w:hAnsi="Arial" w:cs="Arial"/>
        </w:rPr>
        <w:t>Members are asked to</w:t>
      </w:r>
      <w:r w:rsidR="002125C9">
        <w:rPr>
          <w:rFonts w:ascii="Arial" w:hAnsi="Arial" w:cs="Arial"/>
        </w:rPr>
        <w:t xml:space="preserve"> note</w:t>
      </w:r>
      <w:r>
        <w:rPr>
          <w:rFonts w:ascii="Arial" w:hAnsi="Arial" w:cs="Arial"/>
        </w:rPr>
        <w:t>:</w:t>
      </w:r>
    </w:p>
    <w:p w14:paraId="4015A5F8" w14:textId="77777777" w:rsidR="00494FCA" w:rsidRDefault="00494FCA" w:rsidP="00494FCA">
      <w:pPr>
        <w:pStyle w:val="Para2"/>
        <w:numPr>
          <w:ilvl w:val="0"/>
          <w:numId w:val="20"/>
        </w:numPr>
        <w:spacing w:before="240" w:after="120"/>
        <w:rPr>
          <w:rFonts w:ascii="Arial" w:hAnsi="Arial" w:cs="Arial"/>
        </w:rPr>
      </w:pPr>
      <w:r>
        <w:rPr>
          <w:rFonts w:ascii="Arial" w:hAnsi="Arial" w:cs="Arial"/>
        </w:rPr>
        <w:t xml:space="preserve">the </w:t>
      </w:r>
      <w:r w:rsidR="002125C9">
        <w:rPr>
          <w:rFonts w:ascii="Arial" w:hAnsi="Arial" w:cs="Arial"/>
        </w:rPr>
        <w:t xml:space="preserve">Finance &amp; Corporate Services </w:t>
      </w:r>
      <w:r>
        <w:rPr>
          <w:rFonts w:ascii="Arial" w:hAnsi="Arial" w:cs="Arial"/>
        </w:rPr>
        <w:t>performance information presented at appendix 1</w:t>
      </w:r>
      <w:r w:rsidR="002125C9">
        <w:rPr>
          <w:rFonts w:ascii="Arial" w:hAnsi="Arial" w:cs="Arial"/>
        </w:rPr>
        <w:t>; and</w:t>
      </w:r>
    </w:p>
    <w:p w14:paraId="198CFA2E" w14:textId="77777777" w:rsidR="00B70BAF" w:rsidRPr="00B70BAF" w:rsidRDefault="003F30B3" w:rsidP="00494FCA">
      <w:pPr>
        <w:pStyle w:val="Para2"/>
        <w:numPr>
          <w:ilvl w:val="0"/>
          <w:numId w:val="20"/>
        </w:numPr>
        <w:spacing w:before="240" w:after="120"/>
        <w:rPr>
          <w:rFonts w:ascii="Arial" w:hAnsi="Arial" w:cs="Arial"/>
        </w:rPr>
      </w:pPr>
      <w:r>
        <w:rPr>
          <w:rFonts w:ascii="Arial" w:hAnsi="Arial" w:cs="Arial"/>
        </w:rPr>
        <w:t>Note the</w:t>
      </w:r>
      <w:r w:rsidR="00326B8A">
        <w:rPr>
          <w:rFonts w:ascii="Arial" w:hAnsi="Arial" w:cs="Arial"/>
        </w:rPr>
        <w:t xml:space="preserve"> arrangements set out in section 1 to fulfil the Council’s obligation to comply with Audit Scotland’s 2018 SPI Direction.</w:t>
      </w:r>
      <w:r>
        <w:rPr>
          <w:rFonts w:ascii="Arial" w:hAnsi="Arial" w:cs="Arial"/>
        </w:rPr>
        <w:t xml:space="preserve"> </w:t>
      </w:r>
      <w:r w:rsidR="00616D1F" w:rsidRPr="00BC294C">
        <w:rPr>
          <w:rFonts w:ascii="Arial" w:hAnsi="Arial" w:cs="Arial"/>
        </w:rPr>
        <w:t xml:space="preserve"> </w:t>
      </w:r>
    </w:p>
    <w:p w14:paraId="50667D71"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Resource Implications</w:t>
      </w:r>
    </w:p>
    <w:p w14:paraId="06E743E0" w14:textId="77777777" w:rsidR="00A90C08" w:rsidRDefault="00494FCA" w:rsidP="00BD7A97">
      <w:pPr>
        <w:spacing w:before="240"/>
        <w:ind w:left="720"/>
        <w:jc w:val="both"/>
        <w:rPr>
          <w:rFonts w:ascii="Arial" w:hAnsi="Arial" w:cs="Arial"/>
        </w:rPr>
      </w:pPr>
      <w:r>
        <w:rPr>
          <w:rFonts w:ascii="Arial" w:hAnsi="Arial" w:cs="Arial"/>
        </w:rPr>
        <w:t>None</w:t>
      </w:r>
    </w:p>
    <w:p w14:paraId="7123AA76"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 xml:space="preserve">Legal </w:t>
      </w:r>
      <w:r w:rsidR="00913EA4" w:rsidRPr="00500A72">
        <w:rPr>
          <w:rFonts w:ascii="Arial" w:hAnsi="Arial" w:cs="Arial"/>
        </w:rPr>
        <w:t>&amp;</w:t>
      </w:r>
      <w:r w:rsidRPr="00500A72">
        <w:rPr>
          <w:rFonts w:ascii="Arial" w:hAnsi="Arial" w:cs="Arial"/>
        </w:rPr>
        <w:t xml:space="preserve"> Risk Implications</w:t>
      </w:r>
    </w:p>
    <w:p w14:paraId="004F52A7" w14:textId="77777777" w:rsidR="006B2171" w:rsidRDefault="00494FCA" w:rsidP="00BD7A97">
      <w:pPr>
        <w:pStyle w:val="summarydetails"/>
        <w:spacing w:before="240" w:after="120"/>
        <w:jc w:val="both"/>
        <w:rPr>
          <w:rFonts w:ascii="Arial" w:hAnsi="Arial" w:cs="Arial"/>
        </w:rPr>
      </w:pPr>
      <w:r>
        <w:rPr>
          <w:rFonts w:ascii="Arial" w:hAnsi="Arial" w:cs="Arial"/>
        </w:rPr>
        <w:t>None</w:t>
      </w:r>
    </w:p>
    <w:p w14:paraId="7E2285CA"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Impact Assessment</w:t>
      </w:r>
    </w:p>
    <w:p w14:paraId="0D738E46" w14:textId="77777777" w:rsidR="00E40EA6" w:rsidRDefault="005D6FDE" w:rsidP="005D6FDE">
      <w:pPr>
        <w:pStyle w:val="summarydetails"/>
        <w:spacing w:before="240" w:after="120"/>
        <w:jc w:val="both"/>
        <w:rPr>
          <w:rFonts w:ascii="Arial" w:hAnsi="Arial" w:cs="Arial"/>
        </w:rPr>
      </w:pPr>
      <w:r w:rsidRPr="005D6FDE">
        <w:rPr>
          <w:rFonts w:ascii="Arial" w:hAnsi="Arial" w:cs="Arial"/>
        </w:rPr>
        <w:t xml:space="preserve">An </w:t>
      </w:r>
      <w:proofErr w:type="spellStart"/>
      <w:r w:rsidRPr="005D6FDE">
        <w:rPr>
          <w:rFonts w:ascii="Arial" w:hAnsi="Arial" w:cs="Arial"/>
        </w:rPr>
        <w:t>EqIA</w:t>
      </w:r>
      <w:proofErr w:type="spellEnd"/>
      <w:r w:rsidRPr="005D6FDE">
        <w:rPr>
          <w:rFonts w:ascii="Arial" w:hAnsi="Arial" w:cs="Arial"/>
        </w:rPr>
        <w:t xml:space="preserve"> is not required because the report does not propose a change or revision to existing policies and practices</w:t>
      </w:r>
      <w:r>
        <w:rPr>
          <w:rFonts w:ascii="Arial" w:hAnsi="Arial" w:cs="Arial"/>
        </w:rPr>
        <w:t>.</w:t>
      </w:r>
    </w:p>
    <w:p w14:paraId="2525C6E8" w14:textId="77777777" w:rsidR="00A90C08" w:rsidRPr="00500A72" w:rsidRDefault="00A90C08" w:rsidP="00BD7A97">
      <w:pPr>
        <w:pStyle w:val="overviewheading"/>
        <w:spacing w:before="240" w:after="120"/>
        <w:jc w:val="both"/>
        <w:rPr>
          <w:rFonts w:ascii="Arial" w:hAnsi="Arial" w:cs="Arial"/>
        </w:rPr>
      </w:pPr>
      <w:r w:rsidRPr="00500A72">
        <w:rPr>
          <w:rFonts w:ascii="Arial" w:hAnsi="Arial" w:cs="Arial"/>
        </w:rPr>
        <w:t>Consultation</w:t>
      </w:r>
    </w:p>
    <w:p w14:paraId="354C83F4" w14:textId="77777777" w:rsidR="008E74AD" w:rsidRPr="00500A72" w:rsidRDefault="00494FCA" w:rsidP="0038700D">
      <w:pPr>
        <w:pStyle w:val="Heading2"/>
        <w:spacing w:before="240" w:after="120"/>
        <w:rPr>
          <w:rFonts w:ascii="Arial" w:hAnsi="Arial" w:cs="Arial"/>
        </w:rPr>
      </w:pPr>
      <w:r>
        <w:rPr>
          <w:rFonts w:ascii="Arial" w:hAnsi="Arial" w:cs="Arial"/>
          <w:b w:val="0"/>
          <w:sz w:val="24"/>
          <w:szCs w:val="24"/>
        </w:rPr>
        <w:tab/>
        <w:t>None required</w:t>
      </w:r>
      <w:r w:rsidR="00BD7A97" w:rsidRPr="00BC6BF6">
        <w:rPr>
          <w:rFonts w:ascii="Arial" w:hAnsi="Arial" w:cs="Arial"/>
          <w:b w:val="0"/>
          <w:sz w:val="24"/>
          <w:szCs w:val="24"/>
        </w:rPr>
        <w:br w:type="column"/>
      </w:r>
      <w:r w:rsidR="00AD62CD">
        <w:rPr>
          <w:rFonts w:ascii="Arial" w:hAnsi="Arial" w:cs="Arial"/>
        </w:rPr>
        <w:lastRenderedPageBreak/>
        <w:t>1.</w:t>
      </w:r>
      <w:r w:rsidR="00BD7A97">
        <w:rPr>
          <w:rFonts w:ascii="Arial" w:hAnsi="Arial" w:cs="Arial"/>
        </w:rPr>
        <w:t>0</w:t>
      </w:r>
      <w:r w:rsidR="008E74AD" w:rsidRPr="00500A72">
        <w:rPr>
          <w:rFonts w:ascii="Arial" w:hAnsi="Arial" w:cs="Arial"/>
        </w:rPr>
        <w:tab/>
        <w:t>Background</w:t>
      </w:r>
    </w:p>
    <w:p w14:paraId="536F0107" w14:textId="77777777" w:rsidR="00494FCA" w:rsidRDefault="0009444F" w:rsidP="0009444F">
      <w:pPr>
        <w:pStyle w:val="Default"/>
        <w:ind w:left="720" w:hanging="720"/>
      </w:pPr>
      <w:r>
        <w:t xml:space="preserve">1.1 </w:t>
      </w:r>
      <w:r>
        <w:tab/>
      </w:r>
      <w:r w:rsidR="00494FCA" w:rsidRPr="00EB3829">
        <w:t>Audit Scotland confirmed the new S</w:t>
      </w:r>
      <w:r>
        <w:t>tatutory Performance D</w:t>
      </w:r>
      <w:r w:rsidR="00494FCA" w:rsidRPr="00EB3829">
        <w:t>irection in December 2018.</w:t>
      </w:r>
      <w:r>
        <w:t xml:space="preserve"> The d</w:t>
      </w:r>
      <w:r w:rsidR="00494FCA" w:rsidRPr="00EB3829">
        <w:t xml:space="preserve">irection has similar </w:t>
      </w:r>
      <w:r>
        <w:t xml:space="preserve">in most respects to the previous direction, </w:t>
      </w:r>
      <w:r w:rsidR="00494FCA" w:rsidRPr="00EB3829">
        <w:t xml:space="preserve">but </w:t>
      </w:r>
      <w:r w:rsidR="003F30B3">
        <w:t xml:space="preserve">has been </w:t>
      </w:r>
      <w:r w:rsidR="00494FCA" w:rsidRPr="00EB3829">
        <w:t xml:space="preserve">enhanced to </w:t>
      </w:r>
      <w:r>
        <w:t xml:space="preserve">give greater clarity  to </w:t>
      </w:r>
      <w:r w:rsidR="00494FCA">
        <w:t xml:space="preserve">the public </w:t>
      </w:r>
      <w:r>
        <w:t xml:space="preserve">and </w:t>
      </w:r>
      <w:r w:rsidR="00494FCA">
        <w:t xml:space="preserve">the </w:t>
      </w:r>
      <w:r>
        <w:t>C</w:t>
      </w:r>
      <w:r w:rsidR="00494FCA">
        <w:t>ouncil</w:t>
      </w:r>
      <w:r>
        <w:t>. The direction has three main requirements:</w:t>
      </w:r>
    </w:p>
    <w:p w14:paraId="64875E21" w14:textId="77777777" w:rsidR="00494FCA" w:rsidRPr="00EB3829" w:rsidRDefault="00494FCA" w:rsidP="00494FCA">
      <w:pPr>
        <w:pStyle w:val="Default"/>
        <w:ind w:left="720" w:hanging="720"/>
      </w:pPr>
      <w:r w:rsidRPr="00EB3829">
        <w:t xml:space="preserve"> </w:t>
      </w:r>
    </w:p>
    <w:p w14:paraId="38330A1B" w14:textId="77777777" w:rsidR="00494FCA" w:rsidRDefault="00494FCA" w:rsidP="0009444F">
      <w:pPr>
        <w:pStyle w:val="Default"/>
        <w:numPr>
          <w:ilvl w:val="0"/>
          <w:numId w:val="22"/>
        </w:numPr>
      </w:pPr>
      <w:r w:rsidRPr="00EB3829">
        <w:t>Setting out, and report</w:t>
      </w:r>
      <w:r>
        <w:t>ing</w:t>
      </w:r>
      <w:r w:rsidRPr="00EB3829">
        <w:t xml:space="preserve"> on progress against, outcomes agree</w:t>
      </w:r>
      <w:r>
        <w:t>d with partners and communities</w:t>
      </w:r>
      <w:r w:rsidR="0009444F">
        <w:t>.</w:t>
      </w:r>
      <w:r w:rsidRPr="00EB3829">
        <w:t xml:space="preserve"> </w:t>
      </w:r>
    </w:p>
    <w:p w14:paraId="191779CA" w14:textId="77777777" w:rsidR="0009444F" w:rsidRPr="00EB3829" w:rsidRDefault="0009444F" w:rsidP="0009444F">
      <w:pPr>
        <w:pStyle w:val="Default"/>
        <w:ind w:left="720"/>
      </w:pPr>
    </w:p>
    <w:p w14:paraId="34A7F4E7" w14:textId="77777777" w:rsidR="00494FCA" w:rsidRDefault="00494FCA" w:rsidP="0009444F">
      <w:pPr>
        <w:pStyle w:val="ListParagraph"/>
        <w:numPr>
          <w:ilvl w:val="0"/>
          <w:numId w:val="22"/>
        </w:numPr>
        <w:spacing w:before="0" w:after="200" w:line="276" w:lineRule="auto"/>
        <w:contextualSpacing/>
        <w:rPr>
          <w:rFonts w:ascii="Arial" w:hAnsi="Arial" w:cs="Arial"/>
          <w:szCs w:val="24"/>
        </w:rPr>
      </w:pPr>
      <w:r w:rsidRPr="00EB3829">
        <w:rPr>
          <w:rFonts w:ascii="Arial" w:hAnsi="Arial" w:cs="Arial"/>
          <w:szCs w:val="24"/>
        </w:rPr>
        <w:t>Reporting progress against the council’s Best Value duty (including its own assessment of this progress and those of others like the Commission and auditors) and how it intends to improve.</w:t>
      </w:r>
    </w:p>
    <w:p w14:paraId="2A6B1670" w14:textId="77777777" w:rsidR="0009444F" w:rsidRDefault="0009444F" w:rsidP="0009444F">
      <w:pPr>
        <w:pStyle w:val="Default"/>
        <w:numPr>
          <w:ilvl w:val="0"/>
          <w:numId w:val="22"/>
        </w:numPr>
      </w:pPr>
      <w:r w:rsidRPr="00EB3829">
        <w:t>Reporting the performance of services for which the co</w:t>
      </w:r>
      <w:r>
        <w:t>uncil has prime responsibility.</w:t>
      </w:r>
    </w:p>
    <w:p w14:paraId="69489C54" w14:textId="77777777" w:rsidR="0009444F" w:rsidRDefault="0009444F" w:rsidP="0009444F">
      <w:pPr>
        <w:pStyle w:val="Default"/>
      </w:pPr>
    </w:p>
    <w:p w14:paraId="21A233F6" w14:textId="77777777" w:rsidR="0009444F" w:rsidRDefault="0009444F" w:rsidP="0009444F">
      <w:pPr>
        <w:pStyle w:val="Default"/>
        <w:ind w:left="720" w:hanging="720"/>
      </w:pPr>
      <w:r>
        <w:t>1.2</w:t>
      </w:r>
      <w:r>
        <w:tab/>
        <w:t xml:space="preserve">The first requirement of the direction </w:t>
      </w:r>
      <w:r w:rsidR="00C828EB">
        <w:t xml:space="preserve">has been </w:t>
      </w:r>
      <w:r>
        <w:t xml:space="preserve">satisfied by update reports to the </w:t>
      </w:r>
      <w:r w:rsidR="007A0E6C">
        <w:t xml:space="preserve">Fife Partnership </w:t>
      </w:r>
      <w:r>
        <w:t xml:space="preserve">regarding progress against the Plan for Fife. The initial round of reporting was completed in </w:t>
      </w:r>
      <w:r w:rsidR="00B24E90">
        <w:t xml:space="preserve">February 2019 and will continue on a rolling annual basis, with reports also going to Policy and Co-ordination Committee. </w:t>
      </w:r>
    </w:p>
    <w:p w14:paraId="66B017FE" w14:textId="77777777" w:rsidR="00C828EB" w:rsidRDefault="00C828EB" w:rsidP="0009444F">
      <w:pPr>
        <w:pStyle w:val="Default"/>
        <w:ind w:left="720" w:hanging="720"/>
      </w:pPr>
    </w:p>
    <w:p w14:paraId="0C954AE3" w14:textId="77777777" w:rsidR="00913C0A" w:rsidRDefault="0009444F" w:rsidP="0009444F">
      <w:pPr>
        <w:pStyle w:val="Default"/>
        <w:ind w:left="720" w:hanging="720"/>
      </w:pPr>
      <w:r>
        <w:t>1.3</w:t>
      </w:r>
      <w:r>
        <w:tab/>
      </w:r>
      <w:r w:rsidR="00913C0A" w:rsidRPr="00913C0A">
        <w:t>The second requirement of the direction is satisfied through ou</w:t>
      </w:r>
      <w:r w:rsidR="009B0675">
        <w:t>r</w:t>
      </w:r>
      <w:r w:rsidR="00913C0A" w:rsidRPr="00913C0A">
        <w:t xml:space="preserve"> public performance reporting, assurance statements and governance arrangements.</w:t>
      </w:r>
    </w:p>
    <w:p w14:paraId="5666913F" w14:textId="77777777" w:rsidR="00C828EB" w:rsidRDefault="00913C0A" w:rsidP="0009444F">
      <w:pPr>
        <w:pStyle w:val="Default"/>
        <w:ind w:left="720" w:hanging="720"/>
      </w:pPr>
      <w:r>
        <w:t xml:space="preserve"> </w:t>
      </w:r>
    </w:p>
    <w:p w14:paraId="37DF133A" w14:textId="77777777" w:rsidR="00C828EB" w:rsidRDefault="00C828EB" w:rsidP="0009444F">
      <w:pPr>
        <w:pStyle w:val="Default"/>
        <w:ind w:left="720" w:hanging="720"/>
      </w:pPr>
      <w:r>
        <w:t>1.4</w:t>
      </w:r>
      <w:r>
        <w:tab/>
        <w:t xml:space="preserve">The third requirement, to report the performance of services for which the Council has prime responsibility, will be satisfied by the series of reports (of which this is one) that will be presented to the Council covering the whole of the Council’s performance for 2018/19. </w:t>
      </w:r>
      <w:r w:rsidR="00A30604">
        <w:t xml:space="preserve">Where possible, comparative performance is given for </w:t>
      </w:r>
      <w:r w:rsidR="004049D8">
        <w:t>the Scottish average, top quartile, and peer group averages.</w:t>
      </w:r>
    </w:p>
    <w:p w14:paraId="03F15CC9" w14:textId="77777777" w:rsidR="00C828EB" w:rsidRDefault="00C828EB" w:rsidP="0009444F">
      <w:pPr>
        <w:pStyle w:val="Default"/>
        <w:ind w:left="720" w:hanging="720"/>
      </w:pPr>
    </w:p>
    <w:p w14:paraId="5D812DC9" w14:textId="77777777" w:rsidR="0009444F" w:rsidRDefault="00C828EB" w:rsidP="0009444F">
      <w:pPr>
        <w:pStyle w:val="Default"/>
        <w:ind w:left="720" w:hanging="720"/>
      </w:pPr>
      <w:r>
        <w:t xml:space="preserve">1.5. </w:t>
      </w:r>
      <w:r>
        <w:tab/>
        <w:t>Taken together, these reports will cover the whole of the Local Government Benchmarking Framework</w:t>
      </w:r>
      <w:r w:rsidR="003F30B3">
        <w:t>, plus selected service performance indicators that give a balanced picture of Council performance.</w:t>
      </w:r>
      <w:r>
        <w:t xml:space="preserve">  </w:t>
      </w:r>
    </w:p>
    <w:p w14:paraId="3FC65CA6" w14:textId="77777777" w:rsidR="00986992" w:rsidRDefault="00986992" w:rsidP="0009444F">
      <w:pPr>
        <w:pStyle w:val="Default"/>
        <w:ind w:left="720" w:hanging="720"/>
      </w:pPr>
    </w:p>
    <w:p w14:paraId="37DD23F9" w14:textId="77777777" w:rsidR="00986992" w:rsidRDefault="00986992" w:rsidP="0009444F">
      <w:pPr>
        <w:pStyle w:val="Default"/>
        <w:ind w:left="720" w:hanging="720"/>
      </w:pPr>
      <w:r>
        <w:t xml:space="preserve">1.6 </w:t>
      </w:r>
      <w:r>
        <w:tab/>
        <w:t>The appendix to this report is presented in the form of a balanced scorecard covering the areas of Customer, People, Responsiveness and Cost results. This is consistent with the format used for the 2017/18 Public Performance Report and mirrors the approach used for internal management reporting throughout the year.</w:t>
      </w:r>
    </w:p>
    <w:p w14:paraId="39B9CEDD" w14:textId="77777777" w:rsidR="00E156C4" w:rsidRDefault="00E156C4" w:rsidP="005D6FDE">
      <w:pPr>
        <w:pStyle w:val="p1"/>
        <w:numPr>
          <w:ilvl w:val="0"/>
          <w:numId w:val="23"/>
        </w:numPr>
        <w:pBdr>
          <w:bottom w:val="single" w:sz="4" w:space="1" w:color="auto"/>
        </w:pBdr>
        <w:spacing w:before="240" w:after="120"/>
        <w:jc w:val="both"/>
        <w:rPr>
          <w:rFonts w:ascii="Arial" w:hAnsi="Arial" w:cs="Arial"/>
          <w:color w:val="auto"/>
          <w:sz w:val="22"/>
          <w:szCs w:val="22"/>
        </w:rPr>
      </w:pPr>
      <w:r>
        <w:rPr>
          <w:rStyle w:val="s1"/>
          <w:rFonts w:ascii="Arial" w:hAnsi="Arial"/>
          <w:b/>
          <w:color w:val="auto"/>
          <w:sz w:val="36"/>
          <w:szCs w:val="36"/>
        </w:rPr>
        <w:t>Conclusion</w:t>
      </w:r>
      <w:r w:rsidR="00F70710">
        <w:rPr>
          <w:rStyle w:val="s1"/>
          <w:rFonts w:ascii="Arial" w:hAnsi="Arial"/>
          <w:b/>
          <w:color w:val="auto"/>
          <w:sz w:val="36"/>
          <w:szCs w:val="36"/>
        </w:rPr>
        <w:t>s</w:t>
      </w:r>
      <w:r>
        <w:rPr>
          <w:rStyle w:val="s1"/>
          <w:rFonts w:ascii="Arial" w:hAnsi="Arial"/>
          <w:b/>
          <w:color w:val="auto"/>
          <w:sz w:val="36"/>
          <w:szCs w:val="36"/>
        </w:rPr>
        <w:t xml:space="preserve"> </w:t>
      </w:r>
    </w:p>
    <w:p w14:paraId="2841D219" w14:textId="77777777" w:rsidR="00F31797" w:rsidRDefault="00F31797" w:rsidP="00986992">
      <w:pPr>
        <w:spacing w:before="0" w:after="0"/>
        <w:ind w:left="709" w:hanging="709"/>
        <w:jc w:val="both"/>
        <w:rPr>
          <w:rFonts w:ascii="Arial" w:hAnsi="Arial" w:cs="Arial"/>
          <w:szCs w:val="24"/>
        </w:rPr>
      </w:pPr>
    </w:p>
    <w:p w14:paraId="0025CC72" w14:textId="77777777" w:rsidR="005D6FDE" w:rsidRDefault="005D6FDE" w:rsidP="005D6FDE">
      <w:pPr>
        <w:spacing w:before="0" w:after="0"/>
        <w:ind w:left="720" w:hanging="720"/>
        <w:jc w:val="both"/>
        <w:rPr>
          <w:rFonts w:ascii="Arial" w:hAnsi="Arial" w:cs="Arial"/>
          <w:szCs w:val="24"/>
        </w:rPr>
      </w:pPr>
      <w:r>
        <w:rPr>
          <w:rFonts w:ascii="Arial" w:hAnsi="Arial" w:cs="Arial"/>
          <w:szCs w:val="24"/>
        </w:rPr>
        <w:t>2.1</w:t>
      </w:r>
      <w:r>
        <w:rPr>
          <w:rFonts w:ascii="Arial" w:hAnsi="Arial" w:cs="Arial"/>
          <w:szCs w:val="24"/>
        </w:rPr>
        <w:tab/>
        <w:t>This report is the first in a series covering the whole of the Council’s performance against key indicators, including the Local Government Benchmarking framework.</w:t>
      </w:r>
    </w:p>
    <w:p w14:paraId="4520F034" w14:textId="77777777" w:rsidR="005D6FDE" w:rsidRDefault="005D6FDE" w:rsidP="005D6FDE">
      <w:pPr>
        <w:spacing w:before="0" w:after="0"/>
        <w:ind w:left="720" w:hanging="720"/>
        <w:jc w:val="both"/>
        <w:rPr>
          <w:rFonts w:ascii="Arial" w:hAnsi="Arial" w:cs="Arial"/>
          <w:szCs w:val="24"/>
        </w:rPr>
      </w:pPr>
    </w:p>
    <w:p w14:paraId="1BABDCFA" w14:textId="77777777" w:rsidR="005D6FDE" w:rsidRDefault="005D6FDE" w:rsidP="005D6FDE">
      <w:pPr>
        <w:spacing w:before="0" w:after="0"/>
        <w:ind w:left="720" w:hanging="720"/>
        <w:jc w:val="both"/>
        <w:rPr>
          <w:rFonts w:ascii="Arial" w:hAnsi="Arial" w:cs="Arial"/>
          <w:szCs w:val="24"/>
        </w:rPr>
      </w:pPr>
      <w:r>
        <w:rPr>
          <w:rFonts w:ascii="Arial" w:hAnsi="Arial" w:cs="Arial"/>
          <w:szCs w:val="24"/>
        </w:rPr>
        <w:t>2.2</w:t>
      </w:r>
      <w:r>
        <w:rPr>
          <w:rFonts w:ascii="Arial" w:hAnsi="Arial" w:cs="Arial"/>
          <w:szCs w:val="24"/>
        </w:rPr>
        <w:tab/>
        <w:t>The overall performance of the Finance &amp; Corporate Services Directorate is positive</w:t>
      </w:r>
      <w:r w:rsidR="00547880">
        <w:rPr>
          <w:rFonts w:ascii="Arial" w:hAnsi="Arial" w:cs="Arial"/>
          <w:szCs w:val="24"/>
        </w:rPr>
        <w:t>; areas for improvement focus are identified in appendix 1</w:t>
      </w:r>
    </w:p>
    <w:p w14:paraId="2B491BC4" w14:textId="77777777" w:rsidR="005D6FDE" w:rsidRDefault="005D6FDE" w:rsidP="00986992">
      <w:pPr>
        <w:spacing w:before="0" w:after="0"/>
        <w:ind w:left="709" w:hanging="709"/>
        <w:jc w:val="both"/>
        <w:rPr>
          <w:rFonts w:ascii="Arial" w:hAnsi="Arial" w:cs="Arial"/>
          <w:szCs w:val="24"/>
        </w:rPr>
      </w:pPr>
    </w:p>
    <w:p w14:paraId="2EBB09D8" w14:textId="77777777" w:rsidR="005D6FDE" w:rsidRDefault="005D6FDE" w:rsidP="00986992">
      <w:pPr>
        <w:spacing w:before="0" w:after="0"/>
        <w:ind w:left="709" w:hanging="709"/>
        <w:jc w:val="both"/>
        <w:rPr>
          <w:rFonts w:ascii="Arial" w:hAnsi="Arial" w:cs="Arial"/>
          <w:szCs w:val="24"/>
        </w:rPr>
      </w:pPr>
    </w:p>
    <w:p w14:paraId="58755C90" w14:textId="77777777" w:rsidR="005D6FDE" w:rsidRDefault="005D6FDE" w:rsidP="00986992">
      <w:pPr>
        <w:spacing w:before="0" w:after="0"/>
        <w:ind w:left="709" w:hanging="709"/>
        <w:jc w:val="both"/>
        <w:rPr>
          <w:rFonts w:ascii="Arial" w:hAnsi="Arial" w:cs="Arial"/>
          <w:szCs w:val="24"/>
        </w:rPr>
      </w:pPr>
    </w:p>
    <w:p w14:paraId="296CE9E3" w14:textId="77777777" w:rsidR="005D6FDE" w:rsidRPr="00910BBF" w:rsidRDefault="005D6FDE" w:rsidP="00986992">
      <w:pPr>
        <w:spacing w:before="0" w:after="0"/>
        <w:ind w:left="709" w:hanging="709"/>
        <w:jc w:val="both"/>
        <w:rPr>
          <w:rFonts w:ascii="Arial" w:hAnsi="Arial" w:cs="Arial"/>
          <w:szCs w:val="24"/>
        </w:rPr>
      </w:pPr>
    </w:p>
    <w:p w14:paraId="525580AE" w14:textId="77777777" w:rsidR="00603139" w:rsidRPr="00910BBF" w:rsidRDefault="000532D5" w:rsidP="008B7AEF">
      <w:pPr>
        <w:spacing w:before="0" w:after="0"/>
        <w:rPr>
          <w:b/>
          <w:szCs w:val="24"/>
        </w:rPr>
      </w:pPr>
      <w:r w:rsidRPr="00910BBF">
        <w:rPr>
          <w:b/>
          <w:szCs w:val="24"/>
        </w:rPr>
        <w:lastRenderedPageBreak/>
        <w:t xml:space="preserve">List of </w:t>
      </w:r>
      <w:r w:rsidR="00603139" w:rsidRPr="00910BBF">
        <w:rPr>
          <w:b/>
          <w:szCs w:val="24"/>
        </w:rPr>
        <w:t>Appendices</w:t>
      </w:r>
      <w:r w:rsidR="00F85B98" w:rsidRPr="00910BBF">
        <w:rPr>
          <w:b/>
          <w:szCs w:val="24"/>
        </w:rPr>
        <w:t xml:space="preserve"> </w:t>
      </w:r>
    </w:p>
    <w:p w14:paraId="35367D89" w14:textId="77777777" w:rsidR="00603139" w:rsidRPr="00910BBF" w:rsidRDefault="00603139" w:rsidP="008B7AEF">
      <w:pPr>
        <w:spacing w:before="0" w:after="0"/>
        <w:rPr>
          <w:b/>
          <w:szCs w:val="24"/>
        </w:rPr>
      </w:pPr>
    </w:p>
    <w:p w14:paraId="067AC0F2" w14:textId="77777777" w:rsidR="008B7AEF" w:rsidRPr="00910BBF" w:rsidRDefault="003F30B3" w:rsidP="008B7AEF">
      <w:pPr>
        <w:spacing w:before="0" w:after="0"/>
        <w:jc w:val="both"/>
        <w:rPr>
          <w:szCs w:val="24"/>
        </w:rPr>
      </w:pPr>
      <w:r>
        <w:rPr>
          <w:szCs w:val="24"/>
        </w:rPr>
        <w:t>Appendix 1</w:t>
      </w:r>
      <w:r w:rsidR="00AA10C2">
        <w:rPr>
          <w:szCs w:val="24"/>
        </w:rPr>
        <w:t xml:space="preserve"> – Finance &amp; Corporate Services Performance Report 2018/19</w:t>
      </w:r>
    </w:p>
    <w:p w14:paraId="2E48C507" w14:textId="77777777" w:rsidR="00193B24" w:rsidRDefault="00193B24" w:rsidP="008B7AEF">
      <w:pPr>
        <w:pStyle w:val="Heading4"/>
        <w:spacing w:before="0" w:after="0"/>
        <w:rPr>
          <w:szCs w:val="24"/>
        </w:rPr>
      </w:pPr>
    </w:p>
    <w:p w14:paraId="38BB7177" w14:textId="77777777" w:rsidR="000532D5" w:rsidRDefault="008B7AEF" w:rsidP="00BF0181">
      <w:pPr>
        <w:pStyle w:val="Heading4"/>
        <w:spacing w:before="0" w:after="0"/>
        <w:rPr>
          <w:szCs w:val="24"/>
        </w:rPr>
      </w:pPr>
      <w:r w:rsidRPr="00910BBF">
        <w:rPr>
          <w:szCs w:val="24"/>
        </w:rPr>
        <w:t>Report Contact</w:t>
      </w:r>
    </w:p>
    <w:p w14:paraId="09FCA67E" w14:textId="77777777" w:rsidR="006B7E99" w:rsidRDefault="003F30B3" w:rsidP="008B7AEF">
      <w:pPr>
        <w:spacing w:before="0" w:after="0"/>
        <w:rPr>
          <w:szCs w:val="24"/>
        </w:rPr>
      </w:pPr>
      <w:r>
        <w:rPr>
          <w:szCs w:val="24"/>
        </w:rPr>
        <w:t>Jim Lumsden</w:t>
      </w:r>
    </w:p>
    <w:p w14:paraId="3C8BF575" w14:textId="77777777" w:rsidR="003F30B3" w:rsidRDefault="003F30B3" w:rsidP="008B7AEF">
      <w:pPr>
        <w:spacing w:before="0" w:after="0"/>
        <w:rPr>
          <w:szCs w:val="24"/>
        </w:rPr>
      </w:pPr>
      <w:r>
        <w:rPr>
          <w:szCs w:val="24"/>
        </w:rPr>
        <w:t>Corporate Development Team Manager</w:t>
      </w:r>
    </w:p>
    <w:p w14:paraId="6054607E" w14:textId="77777777" w:rsidR="003F30B3" w:rsidRDefault="003F30B3" w:rsidP="008B7AEF">
      <w:pPr>
        <w:spacing w:before="0" w:after="0"/>
        <w:rPr>
          <w:szCs w:val="24"/>
        </w:rPr>
      </w:pPr>
      <w:r>
        <w:rPr>
          <w:szCs w:val="24"/>
        </w:rPr>
        <w:t>Communities Directorate</w:t>
      </w:r>
    </w:p>
    <w:p w14:paraId="2006BD8F" w14:textId="16F332BA" w:rsidR="002125C9" w:rsidRDefault="003F30B3" w:rsidP="008B7AEF">
      <w:pPr>
        <w:spacing w:before="0" w:after="0"/>
        <w:rPr>
          <w:szCs w:val="24"/>
        </w:rPr>
      </w:pPr>
      <w:r>
        <w:rPr>
          <w:szCs w:val="24"/>
        </w:rPr>
        <w:t>03451 555555 x 4</w:t>
      </w:r>
      <w:r w:rsidR="005D6FDE">
        <w:rPr>
          <w:szCs w:val="24"/>
        </w:rPr>
        <w:t>50</w:t>
      </w:r>
      <w:r>
        <w:rPr>
          <w:szCs w:val="24"/>
        </w:rPr>
        <w:t>602</w:t>
      </w:r>
    </w:p>
    <w:p w14:paraId="0AEDBE79" w14:textId="5DB0E493" w:rsidR="00FF2F7C" w:rsidRDefault="00FF2F7C" w:rsidP="008B7AEF">
      <w:pPr>
        <w:spacing w:before="0" w:after="0"/>
        <w:rPr>
          <w:szCs w:val="24"/>
        </w:rPr>
      </w:pPr>
    </w:p>
    <w:p w14:paraId="663DB337" w14:textId="681140AF" w:rsidR="00FF2F7C" w:rsidRDefault="00FF2F7C" w:rsidP="008B7AEF">
      <w:pPr>
        <w:spacing w:before="0" w:after="0"/>
        <w:rPr>
          <w:szCs w:val="24"/>
        </w:rPr>
      </w:pPr>
    </w:p>
    <w:p w14:paraId="78EB7581" w14:textId="7C07C055" w:rsidR="00FF2F7C" w:rsidRDefault="00FF2F7C" w:rsidP="008B7AEF">
      <w:pPr>
        <w:spacing w:before="0" w:after="0"/>
        <w:rPr>
          <w:szCs w:val="24"/>
        </w:rPr>
      </w:pPr>
    </w:p>
    <w:p w14:paraId="506A816D" w14:textId="20F418E1" w:rsidR="00FF2F7C" w:rsidRDefault="00FF2F7C" w:rsidP="008B7AEF">
      <w:pPr>
        <w:spacing w:before="0" w:after="0"/>
        <w:rPr>
          <w:szCs w:val="24"/>
        </w:rPr>
      </w:pPr>
    </w:p>
    <w:p w14:paraId="4F6B20E4" w14:textId="5BD9AAA9" w:rsidR="00FF2F7C" w:rsidRDefault="00FF2F7C" w:rsidP="008B7AEF">
      <w:pPr>
        <w:spacing w:before="0" w:after="0"/>
        <w:rPr>
          <w:szCs w:val="24"/>
        </w:rPr>
      </w:pPr>
    </w:p>
    <w:p w14:paraId="4874FB72" w14:textId="4ADF2D63" w:rsidR="00FF2F7C" w:rsidRDefault="00FF2F7C" w:rsidP="008B7AEF">
      <w:pPr>
        <w:spacing w:before="0" w:after="0"/>
        <w:rPr>
          <w:szCs w:val="24"/>
        </w:rPr>
      </w:pPr>
    </w:p>
    <w:p w14:paraId="6EDD1B29" w14:textId="3367D8D3" w:rsidR="00FF2F7C" w:rsidRDefault="00FF2F7C" w:rsidP="008B7AEF">
      <w:pPr>
        <w:spacing w:before="0" w:after="0"/>
        <w:rPr>
          <w:szCs w:val="24"/>
        </w:rPr>
      </w:pPr>
    </w:p>
    <w:p w14:paraId="31F5E3E8" w14:textId="4134F92C" w:rsidR="00FF2F7C" w:rsidRDefault="00FF2F7C" w:rsidP="008B7AEF">
      <w:pPr>
        <w:spacing w:before="0" w:after="0"/>
        <w:rPr>
          <w:szCs w:val="24"/>
        </w:rPr>
      </w:pPr>
    </w:p>
    <w:p w14:paraId="2847E82D" w14:textId="69A2BBFE" w:rsidR="00FF2F7C" w:rsidRDefault="00FF2F7C" w:rsidP="008B7AEF">
      <w:pPr>
        <w:spacing w:before="0" w:after="0"/>
        <w:rPr>
          <w:szCs w:val="24"/>
        </w:rPr>
      </w:pPr>
    </w:p>
    <w:p w14:paraId="23130193" w14:textId="2B30395F" w:rsidR="00FF2F7C" w:rsidRDefault="00FF2F7C" w:rsidP="008B7AEF">
      <w:pPr>
        <w:spacing w:before="0" w:after="0"/>
        <w:rPr>
          <w:szCs w:val="24"/>
        </w:rPr>
      </w:pPr>
    </w:p>
    <w:p w14:paraId="7415CA99" w14:textId="030A4EAA" w:rsidR="00FF2F7C" w:rsidRDefault="00FF2F7C" w:rsidP="008B7AEF">
      <w:pPr>
        <w:spacing w:before="0" w:after="0"/>
        <w:rPr>
          <w:szCs w:val="24"/>
        </w:rPr>
      </w:pPr>
    </w:p>
    <w:p w14:paraId="3D7885A2" w14:textId="53AB6255" w:rsidR="00FF2F7C" w:rsidRDefault="00FF2F7C" w:rsidP="008B7AEF">
      <w:pPr>
        <w:spacing w:before="0" w:after="0"/>
        <w:rPr>
          <w:szCs w:val="24"/>
        </w:rPr>
      </w:pPr>
    </w:p>
    <w:p w14:paraId="70E8367C" w14:textId="177F2A8F" w:rsidR="00FF2F7C" w:rsidRDefault="00FF2F7C" w:rsidP="008B7AEF">
      <w:pPr>
        <w:spacing w:before="0" w:after="0"/>
        <w:rPr>
          <w:szCs w:val="24"/>
        </w:rPr>
      </w:pPr>
    </w:p>
    <w:p w14:paraId="04907F01" w14:textId="3664EEAE" w:rsidR="00FF2F7C" w:rsidRDefault="00FF2F7C" w:rsidP="008B7AEF">
      <w:pPr>
        <w:spacing w:before="0" w:after="0"/>
        <w:rPr>
          <w:szCs w:val="24"/>
        </w:rPr>
      </w:pPr>
    </w:p>
    <w:p w14:paraId="59254E38" w14:textId="07369F5A" w:rsidR="00FF2F7C" w:rsidRDefault="00FF2F7C" w:rsidP="008B7AEF">
      <w:pPr>
        <w:spacing w:before="0" w:after="0"/>
        <w:rPr>
          <w:szCs w:val="24"/>
        </w:rPr>
      </w:pPr>
    </w:p>
    <w:p w14:paraId="558BED7A" w14:textId="74223A7B" w:rsidR="00FF2F7C" w:rsidRDefault="00FF2F7C" w:rsidP="008B7AEF">
      <w:pPr>
        <w:spacing w:before="0" w:after="0"/>
        <w:rPr>
          <w:szCs w:val="24"/>
        </w:rPr>
      </w:pPr>
    </w:p>
    <w:p w14:paraId="602A86BB" w14:textId="5A7F8C1F" w:rsidR="00FF2F7C" w:rsidRDefault="00FF2F7C" w:rsidP="008B7AEF">
      <w:pPr>
        <w:spacing w:before="0" w:after="0"/>
        <w:rPr>
          <w:szCs w:val="24"/>
        </w:rPr>
      </w:pPr>
    </w:p>
    <w:p w14:paraId="6A2F7972" w14:textId="3A52F1BE" w:rsidR="00FF2F7C" w:rsidRDefault="00FF2F7C" w:rsidP="008B7AEF">
      <w:pPr>
        <w:spacing w:before="0" w:after="0"/>
        <w:rPr>
          <w:szCs w:val="24"/>
        </w:rPr>
      </w:pPr>
    </w:p>
    <w:p w14:paraId="1B10CC02" w14:textId="6E6F353A" w:rsidR="00FF2F7C" w:rsidRDefault="00FF2F7C" w:rsidP="008B7AEF">
      <w:pPr>
        <w:spacing w:before="0" w:after="0"/>
        <w:rPr>
          <w:szCs w:val="24"/>
        </w:rPr>
      </w:pPr>
    </w:p>
    <w:p w14:paraId="3B59DD5E" w14:textId="018E3D30" w:rsidR="00FF2F7C" w:rsidRDefault="00FF2F7C" w:rsidP="008B7AEF">
      <w:pPr>
        <w:spacing w:before="0" w:after="0"/>
        <w:rPr>
          <w:szCs w:val="24"/>
        </w:rPr>
      </w:pPr>
    </w:p>
    <w:p w14:paraId="48CE0C57" w14:textId="23BC3E66" w:rsidR="00FF2F7C" w:rsidRDefault="00FF2F7C" w:rsidP="008B7AEF">
      <w:pPr>
        <w:spacing w:before="0" w:after="0"/>
        <w:rPr>
          <w:szCs w:val="24"/>
        </w:rPr>
      </w:pPr>
    </w:p>
    <w:p w14:paraId="07B2975D" w14:textId="69658920" w:rsidR="00FF2F7C" w:rsidRDefault="00FF2F7C" w:rsidP="008B7AEF">
      <w:pPr>
        <w:spacing w:before="0" w:after="0"/>
        <w:rPr>
          <w:szCs w:val="24"/>
        </w:rPr>
      </w:pPr>
    </w:p>
    <w:p w14:paraId="774A6F42" w14:textId="7D9B209F" w:rsidR="00FF2F7C" w:rsidRDefault="00FF2F7C" w:rsidP="008B7AEF">
      <w:pPr>
        <w:spacing w:before="0" w:after="0"/>
        <w:rPr>
          <w:szCs w:val="24"/>
        </w:rPr>
      </w:pPr>
    </w:p>
    <w:p w14:paraId="433F7876" w14:textId="74FD14B7" w:rsidR="00FF2F7C" w:rsidRDefault="00FF2F7C" w:rsidP="008B7AEF">
      <w:pPr>
        <w:spacing w:before="0" w:after="0"/>
        <w:rPr>
          <w:szCs w:val="24"/>
        </w:rPr>
      </w:pPr>
    </w:p>
    <w:p w14:paraId="2C10A61F" w14:textId="15C1ADA2" w:rsidR="00FF2F7C" w:rsidRDefault="00FF2F7C" w:rsidP="008B7AEF">
      <w:pPr>
        <w:spacing w:before="0" w:after="0"/>
        <w:rPr>
          <w:szCs w:val="24"/>
        </w:rPr>
      </w:pPr>
    </w:p>
    <w:p w14:paraId="422EE66F" w14:textId="1C4B0E36" w:rsidR="00FF2F7C" w:rsidRDefault="00FF2F7C" w:rsidP="008B7AEF">
      <w:pPr>
        <w:spacing w:before="0" w:after="0"/>
        <w:rPr>
          <w:szCs w:val="24"/>
        </w:rPr>
      </w:pPr>
    </w:p>
    <w:p w14:paraId="066CF7F3" w14:textId="1D70DFF3" w:rsidR="00FF2F7C" w:rsidRDefault="00FF2F7C" w:rsidP="008B7AEF">
      <w:pPr>
        <w:spacing w:before="0" w:after="0"/>
        <w:rPr>
          <w:szCs w:val="24"/>
        </w:rPr>
      </w:pPr>
    </w:p>
    <w:p w14:paraId="0E4C2960" w14:textId="1ADBEEEA" w:rsidR="00FF2F7C" w:rsidRDefault="00FF2F7C" w:rsidP="008B7AEF">
      <w:pPr>
        <w:spacing w:before="0" w:after="0"/>
        <w:rPr>
          <w:szCs w:val="24"/>
        </w:rPr>
      </w:pPr>
    </w:p>
    <w:p w14:paraId="026952D7" w14:textId="1D9BAEB1" w:rsidR="00FF2F7C" w:rsidRDefault="00FF2F7C" w:rsidP="008B7AEF">
      <w:pPr>
        <w:spacing w:before="0" w:after="0"/>
        <w:rPr>
          <w:szCs w:val="24"/>
        </w:rPr>
      </w:pPr>
    </w:p>
    <w:p w14:paraId="788972B3" w14:textId="4C0228EC" w:rsidR="00FF2F7C" w:rsidRDefault="00FF2F7C" w:rsidP="008B7AEF">
      <w:pPr>
        <w:spacing w:before="0" w:after="0"/>
        <w:rPr>
          <w:szCs w:val="24"/>
        </w:rPr>
      </w:pPr>
    </w:p>
    <w:p w14:paraId="09E8D528" w14:textId="444616D4" w:rsidR="00FF2F7C" w:rsidRDefault="00FF2F7C" w:rsidP="008B7AEF">
      <w:pPr>
        <w:spacing w:before="0" w:after="0"/>
        <w:rPr>
          <w:szCs w:val="24"/>
        </w:rPr>
      </w:pPr>
    </w:p>
    <w:p w14:paraId="4FE69ECD" w14:textId="5D670BDE" w:rsidR="00FF2F7C" w:rsidRDefault="00FF2F7C" w:rsidP="008B7AEF">
      <w:pPr>
        <w:spacing w:before="0" w:after="0"/>
        <w:rPr>
          <w:szCs w:val="24"/>
        </w:rPr>
      </w:pPr>
    </w:p>
    <w:p w14:paraId="553F24FB" w14:textId="727A8926" w:rsidR="00FF2F7C" w:rsidRDefault="00FF2F7C" w:rsidP="008B7AEF">
      <w:pPr>
        <w:spacing w:before="0" w:after="0"/>
        <w:rPr>
          <w:szCs w:val="24"/>
        </w:rPr>
      </w:pPr>
    </w:p>
    <w:p w14:paraId="61EC5A15" w14:textId="4348CB65" w:rsidR="00FF2F7C" w:rsidRDefault="00FF2F7C" w:rsidP="008B7AEF">
      <w:pPr>
        <w:spacing w:before="0" w:after="0"/>
        <w:rPr>
          <w:szCs w:val="24"/>
        </w:rPr>
      </w:pPr>
    </w:p>
    <w:p w14:paraId="5AAFAD84" w14:textId="20A09A44" w:rsidR="00FF2F7C" w:rsidRDefault="00FF2F7C" w:rsidP="008B7AEF">
      <w:pPr>
        <w:spacing w:before="0" w:after="0"/>
        <w:rPr>
          <w:szCs w:val="24"/>
        </w:rPr>
      </w:pPr>
    </w:p>
    <w:p w14:paraId="4C4AD91A" w14:textId="6E778F56" w:rsidR="00FF2F7C" w:rsidRDefault="00FF2F7C" w:rsidP="008B7AEF">
      <w:pPr>
        <w:spacing w:before="0" w:after="0"/>
        <w:rPr>
          <w:szCs w:val="24"/>
        </w:rPr>
      </w:pPr>
    </w:p>
    <w:p w14:paraId="7BC2CEB9" w14:textId="7B819267" w:rsidR="00FF2F7C" w:rsidRDefault="00FF2F7C" w:rsidP="008B7AEF">
      <w:pPr>
        <w:spacing w:before="0" w:after="0"/>
        <w:rPr>
          <w:szCs w:val="24"/>
        </w:rPr>
      </w:pPr>
    </w:p>
    <w:p w14:paraId="34DA7BB8" w14:textId="3CC916E3" w:rsidR="00FF2F7C" w:rsidRDefault="00FF2F7C" w:rsidP="008B7AEF">
      <w:pPr>
        <w:spacing w:before="0" w:after="0"/>
        <w:rPr>
          <w:szCs w:val="24"/>
        </w:rPr>
      </w:pPr>
    </w:p>
    <w:p w14:paraId="097FE287" w14:textId="0A220347" w:rsidR="00FF2F7C" w:rsidRDefault="00FF2F7C" w:rsidP="008B7AEF">
      <w:pPr>
        <w:spacing w:before="0" w:after="0"/>
        <w:rPr>
          <w:szCs w:val="24"/>
        </w:rPr>
      </w:pPr>
    </w:p>
    <w:p w14:paraId="55E4710A" w14:textId="37D179F4" w:rsidR="00FF2F7C" w:rsidRDefault="00FF2F7C" w:rsidP="008B7AEF">
      <w:pPr>
        <w:spacing w:before="0" w:after="0"/>
        <w:rPr>
          <w:szCs w:val="24"/>
        </w:rPr>
      </w:pPr>
    </w:p>
    <w:p w14:paraId="7A406000" w14:textId="12AFE274" w:rsidR="00FF2F7C" w:rsidRDefault="00FF2F7C" w:rsidP="008B7AEF">
      <w:pPr>
        <w:spacing w:before="0" w:after="0"/>
        <w:rPr>
          <w:szCs w:val="24"/>
        </w:rPr>
      </w:pPr>
    </w:p>
    <w:p w14:paraId="008F38C3" w14:textId="1181424C" w:rsidR="00FF2F7C" w:rsidRDefault="00FF2F7C" w:rsidP="008B7AEF">
      <w:pPr>
        <w:spacing w:before="0" w:after="0"/>
        <w:rPr>
          <w:szCs w:val="24"/>
        </w:rPr>
      </w:pPr>
    </w:p>
    <w:p w14:paraId="26D90C98" w14:textId="6FC4DDEC" w:rsidR="00FF2F7C" w:rsidRDefault="00FF2F7C" w:rsidP="008B7AEF">
      <w:pPr>
        <w:spacing w:before="0" w:after="0"/>
        <w:rPr>
          <w:szCs w:val="24"/>
        </w:rPr>
      </w:pPr>
    </w:p>
    <w:p w14:paraId="243B7332" w14:textId="77777777" w:rsidR="00FF2F7C" w:rsidRPr="00FF2F7C" w:rsidRDefault="00FF2F7C" w:rsidP="00FF2F7C">
      <w:pPr>
        <w:rPr>
          <w:rFonts w:asciiTheme="minorBidi" w:eastAsiaTheme="minorHAnsi" w:hAnsiTheme="minorBidi" w:cstheme="minorBidi"/>
          <w:color w:val="1F4E79" w:themeColor="accent5" w:themeShade="80"/>
          <w:szCs w:val="24"/>
          <w:lang w:eastAsia="en-US"/>
        </w:rPr>
      </w:pPr>
    </w:p>
    <w:p w14:paraId="17BF0887" w14:textId="77777777" w:rsidR="00FF2F7C" w:rsidRPr="00FF2F7C" w:rsidRDefault="00FF2F7C" w:rsidP="00FF2F7C">
      <w:pPr>
        <w:ind w:left="426"/>
        <w:rPr>
          <w:rFonts w:asciiTheme="minorBidi" w:eastAsiaTheme="minorHAnsi" w:hAnsiTheme="minorBidi" w:cstheme="minorBidi"/>
          <w:color w:val="1F4E79" w:themeColor="accent5" w:themeShade="80"/>
          <w:szCs w:val="24"/>
          <w:lang w:eastAsia="en-US"/>
        </w:rPr>
      </w:pPr>
      <w:r w:rsidRPr="00FF2F7C">
        <w:rPr>
          <w:rFonts w:asciiTheme="minorBidi" w:eastAsiaTheme="minorHAnsi" w:hAnsiTheme="minorBidi" w:cstheme="minorBidi"/>
          <w:noProof/>
          <w:color w:val="1F4E79" w:themeColor="accent5" w:themeShade="80"/>
          <w:szCs w:val="24"/>
        </w:rPr>
        <w:drawing>
          <wp:inline distT="0" distB="0" distL="0" distR="0" wp14:anchorId="16507A9A" wp14:editId="287C20EA">
            <wp:extent cx="2215166" cy="10037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_Logo_c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317" cy="1070426"/>
                    </a:xfrm>
                    <a:prstGeom prst="rect">
                      <a:avLst/>
                    </a:prstGeom>
                  </pic:spPr>
                </pic:pic>
              </a:graphicData>
            </a:graphic>
          </wp:inline>
        </w:drawing>
      </w:r>
    </w:p>
    <w:p w14:paraId="16B6E1D6" w14:textId="77777777" w:rsidR="00FF2F7C" w:rsidRPr="00FF2F7C" w:rsidRDefault="00FF2F7C" w:rsidP="00FF2F7C">
      <w:pPr>
        <w:rPr>
          <w:rFonts w:asciiTheme="minorBidi" w:eastAsiaTheme="minorHAnsi" w:hAnsiTheme="minorBidi" w:cstheme="minorBidi"/>
          <w:color w:val="1F4E79" w:themeColor="accent5" w:themeShade="80"/>
          <w:szCs w:val="24"/>
          <w:lang w:eastAsia="en-US"/>
        </w:rPr>
      </w:pPr>
    </w:p>
    <w:p w14:paraId="01028A77" w14:textId="77777777" w:rsidR="00FF2F7C" w:rsidRPr="00FF2F7C" w:rsidRDefault="00FF2F7C" w:rsidP="00FF2F7C">
      <w:pPr>
        <w:keepNext/>
        <w:keepLines/>
        <w:spacing w:before="240" w:after="0"/>
        <w:ind w:right="821"/>
        <w:outlineLvl w:val="0"/>
        <w:rPr>
          <w:rFonts w:ascii="Arial" w:eastAsiaTheme="majorEastAsia" w:hAnsi="Arial" w:cstheme="majorBidi"/>
          <w:color w:val="1F4E79" w:themeColor="accent5" w:themeShade="80"/>
          <w:sz w:val="56"/>
          <w:szCs w:val="96"/>
          <w:lang w:eastAsia="en-US"/>
        </w:rPr>
      </w:pPr>
      <w:r w:rsidRPr="00FF2F7C">
        <w:rPr>
          <w:rFonts w:ascii="Arial" w:eastAsiaTheme="majorEastAsia" w:hAnsi="Arial" w:cstheme="majorBidi"/>
          <w:color w:val="1F4E79" w:themeColor="accent5" w:themeShade="80"/>
          <w:sz w:val="56"/>
          <w:szCs w:val="96"/>
          <w:lang w:eastAsia="en-US"/>
        </w:rPr>
        <w:t>Finance &amp; Corporate Services</w:t>
      </w:r>
    </w:p>
    <w:p w14:paraId="5986A1CA" w14:textId="77777777" w:rsidR="00FF2F7C" w:rsidRPr="00FF2F7C" w:rsidRDefault="00FF2F7C" w:rsidP="00FF2F7C">
      <w:pPr>
        <w:keepNext/>
        <w:keepLines/>
        <w:spacing w:before="240" w:after="0"/>
        <w:ind w:right="821"/>
        <w:outlineLvl w:val="0"/>
        <w:rPr>
          <w:rFonts w:ascii="Arial" w:eastAsiaTheme="majorEastAsia" w:hAnsi="Arial" w:cstheme="majorBidi"/>
          <w:color w:val="1F4E79" w:themeColor="accent5" w:themeShade="80"/>
          <w:sz w:val="56"/>
          <w:szCs w:val="56"/>
          <w:lang w:eastAsia="en-US"/>
        </w:rPr>
      </w:pPr>
      <w:r w:rsidRPr="00FF2F7C">
        <w:rPr>
          <w:rFonts w:ascii="Arial" w:eastAsiaTheme="majorEastAsia" w:hAnsi="Arial" w:cstheme="majorBidi"/>
          <w:color w:val="1F4E79" w:themeColor="accent5" w:themeShade="80"/>
          <w:sz w:val="56"/>
          <w:szCs w:val="56"/>
          <w:lang w:eastAsia="en-US"/>
        </w:rPr>
        <w:t>Performance Report 2018/19</w:t>
      </w:r>
    </w:p>
    <w:p w14:paraId="1CF9A2D2" w14:textId="77777777" w:rsidR="00FF2F7C" w:rsidRPr="00FF2F7C" w:rsidRDefault="00FF2F7C" w:rsidP="00FF2F7C">
      <w:pPr>
        <w:rPr>
          <w:rFonts w:asciiTheme="minorBidi" w:eastAsiaTheme="minorHAnsi" w:hAnsiTheme="minorBidi" w:cstheme="minorBidi"/>
          <w:color w:val="1F4E79" w:themeColor="accent5" w:themeShade="80"/>
          <w:szCs w:val="24"/>
          <w:lang w:eastAsia="en-US"/>
        </w:rPr>
      </w:pPr>
    </w:p>
    <w:p w14:paraId="2FE80877" w14:textId="77777777" w:rsidR="00FF2F7C" w:rsidRPr="00FF2F7C" w:rsidRDefault="00FF2F7C" w:rsidP="00FF2F7C">
      <w:pPr>
        <w:rPr>
          <w:rFonts w:asciiTheme="minorBidi" w:eastAsiaTheme="minorHAnsi" w:hAnsiTheme="minorBidi" w:cstheme="minorBidi"/>
          <w:color w:val="1F4E79" w:themeColor="accent5" w:themeShade="80"/>
          <w:szCs w:val="24"/>
          <w:lang w:eastAsia="en-US"/>
        </w:rPr>
      </w:pPr>
    </w:p>
    <w:p w14:paraId="73997D37" w14:textId="77777777" w:rsidR="00FF2F7C" w:rsidRPr="00FF2F7C" w:rsidRDefault="00FF2F7C" w:rsidP="00FF2F7C">
      <w:pPr>
        <w:rPr>
          <w:rFonts w:asciiTheme="minorBidi" w:eastAsiaTheme="minorHAnsi" w:hAnsiTheme="minorBidi" w:cstheme="minorBidi"/>
          <w:color w:val="1F4E79"/>
          <w:sz w:val="36"/>
          <w:szCs w:val="36"/>
          <w:lang w:eastAsia="en-US"/>
        </w:rPr>
      </w:pPr>
    </w:p>
    <w:tbl>
      <w:tblPr>
        <w:tblStyle w:val="TableGrid1"/>
        <w:tblW w:w="4997"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4811"/>
        <w:gridCol w:w="4811"/>
      </w:tblGrid>
      <w:tr w:rsidR="00FF2F7C" w:rsidRPr="00FF2F7C" w14:paraId="71CBA5A8" w14:textId="77777777" w:rsidTr="00EA4598">
        <w:trPr>
          <w:trHeight w:val="7580"/>
        </w:trPr>
        <w:tc>
          <w:tcPr>
            <w:tcW w:w="2500" w:type="pct"/>
          </w:tcPr>
          <w:p w14:paraId="6265ABD4"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This report provides a strategic overview of performance against key indicators. We’ve worked hard to maintain and improve performance, and this year has seen a number of important achievements for Finance &amp; Corporate Services:</w:t>
            </w:r>
          </w:p>
          <w:p w14:paraId="717DBFCD" w14:textId="77777777" w:rsidR="00FF2F7C" w:rsidRPr="00FF2F7C" w:rsidRDefault="00FF2F7C" w:rsidP="00FF2F7C">
            <w:pPr>
              <w:rPr>
                <w:rFonts w:ascii="Arial" w:eastAsiaTheme="minorHAnsi" w:hAnsi="Arial" w:cs="Arial"/>
                <w:color w:val="1F4E79" w:themeColor="accent5" w:themeShade="80"/>
                <w:lang w:eastAsia="en-US"/>
              </w:rPr>
            </w:pPr>
          </w:p>
          <w:p w14:paraId="003408DF" w14:textId="77777777" w:rsidR="00FF2F7C" w:rsidRPr="00FF2F7C" w:rsidRDefault="00FF2F7C" w:rsidP="00FF2F7C">
            <w:pPr>
              <w:numPr>
                <w:ilvl w:val="0"/>
                <w:numId w:val="25"/>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We have continued to improve the percentage of the Council’s workforce aged under 24.</w:t>
            </w:r>
          </w:p>
          <w:p w14:paraId="67450DFA" w14:textId="77777777" w:rsidR="00FF2F7C" w:rsidRPr="00FF2F7C" w:rsidRDefault="00FF2F7C" w:rsidP="00FF2F7C">
            <w:pPr>
              <w:numPr>
                <w:ilvl w:val="0"/>
                <w:numId w:val="24"/>
              </w:numPr>
              <w:ind w:left="720"/>
              <w:contextualSpacing/>
              <w:rPr>
                <w:rFonts w:ascii="Arial" w:eastAsiaTheme="minorHAnsi" w:hAnsi="Arial" w:cs="Arial"/>
                <w:color w:val="1F4E79" w:themeColor="accent5" w:themeShade="80"/>
                <w:lang w:eastAsia="en-US"/>
              </w:rPr>
            </w:pPr>
          </w:p>
          <w:p w14:paraId="5F362E26" w14:textId="77777777" w:rsidR="00FF2F7C" w:rsidRPr="00FF2F7C" w:rsidRDefault="00FF2F7C" w:rsidP="00FF2F7C">
            <w:pPr>
              <w:numPr>
                <w:ilvl w:val="0"/>
                <w:numId w:val="25"/>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We are still the best council in Scotland for the cost of collecting council tax.</w:t>
            </w:r>
          </w:p>
          <w:p w14:paraId="3C955979" w14:textId="77777777" w:rsidR="00FF2F7C" w:rsidRPr="00FF2F7C" w:rsidRDefault="00FF2F7C" w:rsidP="00FF2F7C">
            <w:pPr>
              <w:numPr>
                <w:ilvl w:val="0"/>
                <w:numId w:val="24"/>
              </w:numPr>
              <w:ind w:left="720"/>
              <w:contextualSpacing/>
              <w:rPr>
                <w:rFonts w:ascii="Arial" w:eastAsiaTheme="minorHAnsi" w:hAnsi="Arial" w:cs="Arial"/>
                <w:color w:val="1F4E79" w:themeColor="accent5" w:themeShade="80"/>
                <w:lang w:eastAsia="en-US"/>
              </w:rPr>
            </w:pPr>
          </w:p>
          <w:p w14:paraId="48963F7D" w14:textId="77777777" w:rsidR="00FF2F7C" w:rsidRPr="00FF2F7C" w:rsidRDefault="00FF2F7C" w:rsidP="00FF2F7C">
            <w:pPr>
              <w:numPr>
                <w:ilvl w:val="0"/>
                <w:numId w:val="24"/>
              </w:numPr>
              <w:ind w:left="720"/>
              <w:contextualSpacing/>
              <w:rPr>
                <w:rFonts w:ascii="Arial" w:eastAsiaTheme="minorHAnsi" w:hAnsi="Arial" w:cs="Arial"/>
                <w:color w:val="1F4E79" w:themeColor="accent5" w:themeShade="80"/>
                <w:lang w:eastAsia="en-US"/>
              </w:rPr>
            </w:pPr>
          </w:p>
          <w:p w14:paraId="470E71A8" w14:textId="77777777" w:rsidR="00FF2F7C" w:rsidRPr="00FF2F7C" w:rsidRDefault="00FF2F7C" w:rsidP="00FF2F7C">
            <w:pPr>
              <w:numPr>
                <w:ilvl w:val="0"/>
                <w:numId w:val="25"/>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We demonstrate a very good track record of budgetary control, as measured by final outturn compared to budget.</w:t>
            </w:r>
          </w:p>
          <w:p w14:paraId="102B0C4E" w14:textId="77777777" w:rsidR="00FF2F7C" w:rsidRPr="00FF2F7C" w:rsidRDefault="00FF2F7C" w:rsidP="00FF2F7C">
            <w:pPr>
              <w:rPr>
                <w:rFonts w:ascii="Arial" w:eastAsiaTheme="minorHAnsi" w:hAnsi="Arial" w:cs="Arial"/>
                <w:color w:val="1F4E79" w:themeColor="accent5" w:themeShade="80"/>
                <w:lang w:eastAsia="en-US"/>
              </w:rPr>
            </w:pPr>
          </w:p>
          <w:p w14:paraId="5E83D0BE" w14:textId="77777777" w:rsidR="00FF2F7C" w:rsidRPr="00FF2F7C" w:rsidRDefault="00FF2F7C" w:rsidP="00FF2F7C">
            <w:pPr>
              <w:rPr>
                <w:rFonts w:ascii="Arial" w:eastAsiaTheme="minorHAnsi" w:hAnsi="Arial" w:cs="Arial"/>
                <w:color w:val="1F4E79" w:themeColor="accent5" w:themeShade="80"/>
                <w:lang w:eastAsia="en-US"/>
              </w:rPr>
            </w:pPr>
          </w:p>
        </w:tc>
        <w:tc>
          <w:tcPr>
            <w:tcW w:w="2500" w:type="pct"/>
          </w:tcPr>
          <w:p w14:paraId="01EC0303"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However, we continue to face significant challenges:</w:t>
            </w:r>
          </w:p>
          <w:p w14:paraId="563C327A" w14:textId="77777777" w:rsidR="00FF2F7C" w:rsidRPr="00FF2F7C" w:rsidRDefault="00FF2F7C" w:rsidP="00FF2F7C">
            <w:pPr>
              <w:rPr>
                <w:rFonts w:ascii="Arial" w:eastAsiaTheme="minorHAnsi" w:hAnsi="Arial" w:cs="Arial"/>
                <w:color w:val="1F4E79" w:themeColor="accent5" w:themeShade="80"/>
                <w:lang w:eastAsia="en-US"/>
              </w:rPr>
            </w:pPr>
          </w:p>
          <w:p w14:paraId="5E69487D" w14:textId="77777777" w:rsidR="00FF2F7C" w:rsidRPr="00FF2F7C" w:rsidRDefault="00FF2F7C" w:rsidP="00FF2F7C">
            <w:pPr>
              <w:rPr>
                <w:rFonts w:ascii="Arial" w:eastAsiaTheme="minorHAnsi" w:hAnsi="Arial" w:cs="Arial"/>
                <w:color w:val="1F4E79" w:themeColor="accent5" w:themeShade="80"/>
                <w:lang w:eastAsia="en-US"/>
              </w:rPr>
            </w:pPr>
          </w:p>
          <w:p w14:paraId="080ECFE9" w14:textId="77777777" w:rsidR="00FF2F7C" w:rsidRPr="00FF2F7C" w:rsidRDefault="00FF2F7C" w:rsidP="00FF2F7C">
            <w:pPr>
              <w:numPr>
                <w:ilvl w:val="0"/>
                <w:numId w:val="26"/>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Rent arrears have risen, and the percentage of rent due in the year that we have collected has fallen</w:t>
            </w:r>
          </w:p>
          <w:p w14:paraId="3B4AD1B8" w14:textId="77777777" w:rsidR="00FF2F7C" w:rsidRPr="00FF2F7C" w:rsidRDefault="00FF2F7C" w:rsidP="00FF2F7C">
            <w:pPr>
              <w:numPr>
                <w:ilvl w:val="0"/>
                <w:numId w:val="24"/>
              </w:numPr>
              <w:ind w:left="720"/>
              <w:contextualSpacing/>
              <w:rPr>
                <w:rFonts w:ascii="Arial" w:eastAsiaTheme="minorHAnsi" w:hAnsi="Arial" w:cs="Arial"/>
                <w:color w:val="1F4E79" w:themeColor="accent5" w:themeShade="80"/>
                <w:lang w:eastAsia="en-US"/>
              </w:rPr>
            </w:pPr>
          </w:p>
          <w:p w14:paraId="405C62E6" w14:textId="77777777" w:rsidR="00FF2F7C" w:rsidRPr="00FF2F7C" w:rsidRDefault="00FF2F7C" w:rsidP="00FF2F7C">
            <w:pPr>
              <w:numPr>
                <w:ilvl w:val="0"/>
                <w:numId w:val="24"/>
              </w:numPr>
              <w:ind w:left="720"/>
              <w:contextualSpacing/>
              <w:rPr>
                <w:rFonts w:ascii="Arial" w:eastAsiaTheme="minorHAnsi" w:hAnsi="Arial" w:cs="Arial"/>
                <w:color w:val="1F4E79" w:themeColor="accent5" w:themeShade="80"/>
                <w:lang w:eastAsia="en-US"/>
              </w:rPr>
            </w:pPr>
          </w:p>
          <w:p w14:paraId="334AF057" w14:textId="77777777" w:rsidR="00FF2F7C" w:rsidRPr="00FF2F7C" w:rsidRDefault="00FF2F7C" w:rsidP="00FF2F7C">
            <w:pPr>
              <w:numPr>
                <w:ilvl w:val="0"/>
                <w:numId w:val="26"/>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 xml:space="preserve">Whilst the attendance figures have started to improve, absence remains a challenge. </w:t>
            </w:r>
          </w:p>
          <w:p w14:paraId="5CF30AD4" w14:textId="77777777" w:rsidR="00FF2F7C" w:rsidRPr="00FF2F7C" w:rsidRDefault="00FF2F7C" w:rsidP="00FF2F7C">
            <w:pPr>
              <w:numPr>
                <w:ilvl w:val="0"/>
                <w:numId w:val="24"/>
              </w:numPr>
              <w:ind w:left="720"/>
              <w:contextualSpacing/>
              <w:rPr>
                <w:rFonts w:ascii="Arial" w:eastAsiaTheme="minorHAnsi" w:hAnsi="Arial" w:cs="Arial"/>
                <w:color w:val="1F4E79" w:themeColor="accent5" w:themeShade="80"/>
                <w:lang w:eastAsia="en-US"/>
              </w:rPr>
            </w:pPr>
          </w:p>
          <w:p w14:paraId="72F33CF5" w14:textId="77777777" w:rsidR="00FF2F7C" w:rsidRPr="00FF2F7C" w:rsidRDefault="00FF2F7C" w:rsidP="00FF2F7C">
            <w:pPr>
              <w:numPr>
                <w:ilvl w:val="0"/>
                <w:numId w:val="24"/>
              </w:numPr>
              <w:ind w:left="720"/>
              <w:contextualSpacing/>
              <w:rPr>
                <w:rFonts w:ascii="Arial" w:eastAsiaTheme="minorHAnsi" w:hAnsi="Arial" w:cs="Arial"/>
                <w:color w:val="1F4E79" w:themeColor="accent5" w:themeShade="80"/>
                <w:lang w:eastAsia="en-US"/>
              </w:rPr>
            </w:pPr>
          </w:p>
          <w:p w14:paraId="787669F4" w14:textId="77777777" w:rsidR="00FF2F7C" w:rsidRPr="00FF2F7C" w:rsidRDefault="00FF2F7C" w:rsidP="00FF2F7C">
            <w:pPr>
              <w:rPr>
                <w:rFonts w:ascii="Arial" w:eastAsiaTheme="minorHAnsi" w:hAnsi="Arial" w:cs="Arial"/>
                <w:color w:val="1F4E79" w:themeColor="accent5" w:themeShade="80"/>
                <w:lang w:eastAsia="en-US"/>
              </w:rPr>
            </w:pPr>
          </w:p>
        </w:tc>
      </w:tr>
    </w:tbl>
    <w:p w14:paraId="2C9F0D27" w14:textId="77777777" w:rsidR="00FF2F7C" w:rsidRPr="00FF2F7C" w:rsidRDefault="00FF2F7C" w:rsidP="00FF2F7C">
      <w:pPr>
        <w:rPr>
          <w:rFonts w:asciiTheme="minorBidi" w:eastAsiaTheme="minorHAnsi" w:hAnsiTheme="minorBidi" w:cstheme="minorBidi"/>
          <w:color w:val="1F4E79" w:themeColor="accent5" w:themeShade="80"/>
          <w:szCs w:val="24"/>
          <w:lang w:eastAsia="en-US"/>
        </w:rPr>
      </w:pPr>
    </w:p>
    <w:p w14:paraId="6CC85307" w14:textId="77777777" w:rsidR="00FF2F7C" w:rsidRPr="00FF2F7C" w:rsidRDefault="00FF2F7C" w:rsidP="00FF2F7C">
      <w:pPr>
        <w:spacing w:before="0" w:after="0"/>
        <w:rPr>
          <w:rFonts w:ascii="Arial" w:eastAsiaTheme="minorHAnsi" w:hAnsi="Arial" w:cs="Arial"/>
          <w:color w:val="1F4E79" w:themeColor="accent5" w:themeShade="80"/>
          <w:szCs w:val="24"/>
          <w:lang w:eastAsia="en-US"/>
        </w:rPr>
      </w:pPr>
      <w:r w:rsidRPr="00FF2F7C">
        <w:rPr>
          <w:rFonts w:asciiTheme="minorBidi" w:eastAsiaTheme="minorHAnsi" w:hAnsiTheme="minorBidi" w:cstheme="minorBidi"/>
          <w:color w:val="1F4E79" w:themeColor="accent5" w:themeShade="80"/>
          <w:szCs w:val="24"/>
          <w:lang w:eastAsia="en-US"/>
        </w:rPr>
        <w:br w:type="page"/>
      </w:r>
      <w:bookmarkStart w:id="0" w:name="_Hlk14182235"/>
      <w:r w:rsidRPr="00FF2F7C">
        <w:rPr>
          <w:rFonts w:ascii="Arial" w:eastAsiaTheme="minorHAnsi" w:hAnsi="Arial" w:cs="Arial"/>
          <w:color w:val="1F4E79" w:themeColor="accent5" w:themeShade="80"/>
          <w:sz w:val="56"/>
          <w:szCs w:val="56"/>
          <w:lang w:eastAsia="en-US"/>
        </w:rPr>
        <w:lastRenderedPageBreak/>
        <w:t>Customer</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FF2F7C" w:rsidRPr="00FF2F7C" w14:paraId="34F8617F" w14:textId="77777777" w:rsidTr="00EA4598">
        <w:tc>
          <w:tcPr>
            <w:tcW w:w="6237" w:type="dxa"/>
            <w:shd w:val="clear" w:color="auto" w:fill="1F4E79" w:themeFill="accent5" w:themeFillShade="80"/>
            <w:vAlign w:val="center"/>
          </w:tcPr>
          <w:p w14:paraId="5C2626C8" w14:textId="77777777" w:rsidR="00FF2F7C" w:rsidRPr="00FF2F7C" w:rsidRDefault="00FF2F7C" w:rsidP="00FF2F7C">
            <w:pPr>
              <w:jc w:val="center"/>
              <w:rPr>
                <w:rFonts w:ascii="Arial" w:eastAsiaTheme="minorHAnsi" w:hAnsi="Arial" w:cs="Arial"/>
                <w:b/>
                <w:bCs/>
                <w:color w:val="FFFFFF" w:themeColor="background1"/>
                <w:lang w:eastAsia="en-US"/>
              </w:rPr>
            </w:pPr>
            <w:bookmarkStart w:id="1" w:name="_Hlk14170503"/>
            <w:bookmarkEnd w:id="0"/>
            <w:r w:rsidRPr="00FF2F7C">
              <w:rPr>
                <w:rFonts w:ascii="Arial" w:eastAsiaTheme="minorHAnsi" w:hAnsi="Arial" w:cs="Arial"/>
                <w:b/>
                <w:bCs/>
                <w:color w:val="FFFFFF" w:themeColor="background1"/>
                <w:lang w:eastAsia="en-US"/>
              </w:rPr>
              <w:t>Performance</w:t>
            </w:r>
          </w:p>
        </w:tc>
        <w:tc>
          <w:tcPr>
            <w:tcW w:w="4395" w:type="dxa"/>
            <w:shd w:val="clear" w:color="auto" w:fill="1F4E79" w:themeFill="accent5" w:themeFillShade="80"/>
            <w:vAlign w:val="center"/>
          </w:tcPr>
          <w:p w14:paraId="3EAAAE95"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Progress</w:t>
            </w:r>
          </w:p>
        </w:tc>
      </w:tr>
      <w:bookmarkEnd w:id="1"/>
      <w:tr w:rsidR="00FF2F7C" w:rsidRPr="00FF2F7C" w14:paraId="60249E49" w14:textId="77777777" w:rsidTr="00EA4598">
        <w:trPr>
          <w:trHeight w:val="2661"/>
        </w:trPr>
        <w:tc>
          <w:tcPr>
            <w:tcW w:w="6237" w:type="dxa"/>
          </w:tcPr>
          <w:p w14:paraId="37C11709"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3D0788F9" wp14:editId="651E9BBC">
                  <wp:extent cx="3652838" cy="2290763"/>
                  <wp:effectExtent l="0" t="0" r="5080" b="14605"/>
                  <wp:docPr id="25" name="Chart 25">
                    <a:extLst xmlns:a="http://schemas.openxmlformats.org/drawingml/2006/main">
                      <a:ext uri="{FF2B5EF4-FFF2-40B4-BE49-F238E27FC236}">
                        <a16:creationId xmlns:a16="http://schemas.microsoft.com/office/drawing/2014/main" id="{1291A0E1-924A-45A6-8DE2-30C664EFE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395" w:type="dxa"/>
            <w:vMerge w:val="restart"/>
          </w:tcPr>
          <w:p w14:paraId="059D7C34"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The overall combined number of stage 1 and 2 complaints received by Finance &amp; Corporate Services has increased slightly from 2017/18. Finance and Corporate Services still to continue to maintain a high level of compliance when dealing with complaints within timescales and were broadly on target for 2018/19. </w:t>
            </w:r>
          </w:p>
          <w:p w14:paraId="05B298C2" w14:textId="77777777" w:rsidR="00FF2F7C" w:rsidRPr="00FF2F7C" w:rsidRDefault="00FF2F7C" w:rsidP="00FF2F7C">
            <w:pPr>
              <w:rPr>
                <w:rFonts w:ascii="Arial" w:eastAsiaTheme="minorHAnsi" w:hAnsi="Arial" w:cs="Arial"/>
                <w:color w:val="1F4E79" w:themeColor="accent5" w:themeShade="80"/>
                <w:lang w:eastAsia="en-US"/>
              </w:rPr>
            </w:pPr>
          </w:p>
          <w:p w14:paraId="2F9AF0FE"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All complaints are analysed by service management and lessons learned to improve ongoing service delivery. The full analysis and steps taken to rectify the complaint along with all corrective actions are recorded on our Customer Management System and reviewed by the service senior management team.</w:t>
            </w:r>
          </w:p>
          <w:p w14:paraId="661C01AF" w14:textId="77777777" w:rsidR="00FF2F7C" w:rsidRPr="00FF2F7C" w:rsidRDefault="00FF2F7C" w:rsidP="00FF2F7C">
            <w:pPr>
              <w:rPr>
                <w:rFonts w:asciiTheme="minorBidi" w:eastAsiaTheme="minorHAnsi" w:hAnsiTheme="minorBidi"/>
                <w:color w:val="1F4E79" w:themeColor="accent5" w:themeShade="80"/>
                <w:lang w:eastAsia="en-US"/>
              </w:rPr>
            </w:pPr>
          </w:p>
          <w:p w14:paraId="5B79865E" w14:textId="77777777" w:rsidR="00FF2F7C" w:rsidRPr="00FF2F7C" w:rsidRDefault="00FF2F7C" w:rsidP="00FF2F7C">
            <w:pPr>
              <w:rPr>
                <w:rFonts w:asciiTheme="minorBidi" w:eastAsiaTheme="minorHAnsi" w:hAnsiTheme="minorBidi"/>
                <w:b/>
                <w:color w:val="1F4E79" w:themeColor="accent5" w:themeShade="80"/>
                <w:lang w:eastAsia="en-US"/>
              </w:rPr>
            </w:pPr>
          </w:p>
        </w:tc>
      </w:tr>
      <w:tr w:rsidR="00FF2F7C" w:rsidRPr="00FF2F7C" w14:paraId="730A3A6D" w14:textId="77777777" w:rsidTr="00EA4598">
        <w:tc>
          <w:tcPr>
            <w:tcW w:w="6237" w:type="dxa"/>
          </w:tcPr>
          <w:p w14:paraId="77D94410"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62496EFC" wp14:editId="3633A4C5">
                  <wp:extent cx="3652838" cy="2281238"/>
                  <wp:effectExtent l="0" t="0" r="5080" b="5080"/>
                  <wp:docPr id="26" name="Chart 26">
                    <a:extLst xmlns:a="http://schemas.openxmlformats.org/drawingml/2006/main">
                      <a:ext uri="{FF2B5EF4-FFF2-40B4-BE49-F238E27FC236}">
                        <a16:creationId xmlns:a16="http://schemas.microsoft.com/office/drawing/2014/main" id="{C1F86211-0DDE-4C7D-B48D-12B7B2593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395" w:type="dxa"/>
            <w:vMerge/>
          </w:tcPr>
          <w:p w14:paraId="65150914" w14:textId="77777777" w:rsidR="00FF2F7C" w:rsidRPr="00FF2F7C" w:rsidRDefault="00FF2F7C" w:rsidP="00FF2F7C">
            <w:pPr>
              <w:rPr>
                <w:rFonts w:asciiTheme="minorBidi" w:eastAsiaTheme="minorHAnsi" w:hAnsiTheme="minorBidi"/>
                <w:color w:val="1F4E79" w:themeColor="accent5" w:themeShade="80"/>
                <w:lang w:eastAsia="en-US"/>
              </w:rPr>
            </w:pPr>
          </w:p>
        </w:tc>
      </w:tr>
      <w:tr w:rsidR="00FF2F7C" w:rsidRPr="00FF2F7C" w14:paraId="6FD456C5" w14:textId="77777777" w:rsidTr="00EA4598">
        <w:tc>
          <w:tcPr>
            <w:tcW w:w="6237" w:type="dxa"/>
          </w:tcPr>
          <w:p w14:paraId="6A705298" w14:textId="77777777" w:rsidR="00FF2F7C" w:rsidRPr="00FF2F7C" w:rsidRDefault="00FF2F7C" w:rsidP="00FF2F7C">
            <w:pPr>
              <w:jc w:val="center"/>
              <w:rPr>
                <w:rFonts w:asciiTheme="minorBidi" w:eastAsiaTheme="minorHAnsi" w:hAnsiTheme="minorBidi"/>
                <w:noProof/>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7644F0A1" wp14:editId="4DD0533D">
                  <wp:extent cx="3662363" cy="2290763"/>
                  <wp:effectExtent l="0" t="0" r="14605" b="14605"/>
                  <wp:docPr id="27" name="Chart 27">
                    <a:extLst xmlns:a="http://schemas.openxmlformats.org/drawingml/2006/main">
                      <a:ext uri="{FF2B5EF4-FFF2-40B4-BE49-F238E27FC236}">
                        <a16:creationId xmlns:a16="http://schemas.microsoft.com/office/drawing/2014/main" id="{BE9C19BC-8E2B-4D20-AF69-AF3859E605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395" w:type="dxa"/>
            <w:vMerge/>
          </w:tcPr>
          <w:p w14:paraId="721D79BE" w14:textId="77777777" w:rsidR="00FF2F7C" w:rsidRPr="00FF2F7C" w:rsidRDefault="00FF2F7C" w:rsidP="00FF2F7C">
            <w:pPr>
              <w:rPr>
                <w:rFonts w:asciiTheme="minorBidi" w:eastAsiaTheme="minorHAnsi" w:hAnsiTheme="minorBidi"/>
                <w:color w:val="1F4E79"/>
                <w:lang w:eastAsia="en-US"/>
              </w:rPr>
            </w:pPr>
          </w:p>
        </w:tc>
      </w:tr>
    </w:tbl>
    <w:p w14:paraId="4011C15F" w14:textId="77777777" w:rsidR="00FF2F7C" w:rsidRPr="00FF2F7C" w:rsidRDefault="00FF2F7C" w:rsidP="00FF2F7C">
      <w:pPr>
        <w:spacing w:before="0" w:after="0"/>
        <w:rPr>
          <w:rFonts w:asciiTheme="minorBidi" w:eastAsiaTheme="minorHAnsi" w:hAnsiTheme="minorBidi" w:cstheme="minorBidi"/>
          <w:color w:val="1F4E79" w:themeColor="accent5" w:themeShade="80"/>
          <w:sz w:val="56"/>
          <w:szCs w:val="56"/>
          <w:lang w:eastAsia="en-US"/>
        </w:rPr>
      </w:pPr>
      <w:bookmarkStart w:id="2" w:name="_Hlk14170694"/>
      <w:bookmarkStart w:id="3" w:name="_Hlk14439911"/>
      <w:bookmarkStart w:id="4" w:name="_Hlk14170914"/>
      <w:r w:rsidRPr="00FF2F7C">
        <w:rPr>
          <w:rFonts w:asciiTheme="minorBidi" w:eastAsiaTheme="minorHAnsi" w:hAnsiTheme="minorBidi" w:cstheme="minorBidi"/>
          <w:color w:val="1F4E79" w:themeColor="accent5" w:themeShade="80"/>
          <w:sz w:val="56"/>
          <w:szCs w:val="56"/>
          <w:lang w:eastAsia="en-US"/>
        </w:rPr>
        <w:br w:type="page"/>
      </w:r>
    </w:p>
    <w:p w14:paraId="04343275" w14:textId="77777777" w:rsidR="00FF2F7C" w:rsidRPr="00FF2F7C" w:rsidRDefault="00FF2F7C" w:rsidP="00FF2F7C">
      <w:pPr>
        <w:rPr>
          <w:rFonts w:ascii="Arial" w:eastAsiaTheme="minorHAnsi" w:hAnsi="Arial" w:cs="Arial"/>
          <w:color w:val="1F4E79" w:themeColor="accent5" w:themeShade="80"/>
          <w:sz w:val="56"/>
          <w:szCs w:val="56"/>
          <w:lang w:eastAsia="en-US"/>
        </w:rPr>
      </w:pPr>
      <w:r w:rsidRPr="00FF2F7C">
        <w:rPr>
          <w:rFonts w:ascii="Arial" w:eastAsiaTheme="minorHAnsi" w:hAnsi="Arial" w:cs="Arial"/>
          <w:color w:val="1F4E79" w:themeColor="accent5" w:themeShade="80"/>
          <w:sz w:val="56"/>
          <w:szCs w:val="56"/>
          <w:lang w:eastAsia="en-US"/>
        </w:rPr>
        <w:lastRenderedPageBreak/>
        <w:t>People</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395"/>
      </w:tblGrid>
      <w:tr w:rsidR="00FF2F7C" w:rsidRPr="00FF2F7C" w14:paraId="16EAC9ED" w14:textId="77777777" w:rsidTr="00EA4598">
        <w:tc>
          <w:tcPr>
            <w:tcW w:w="6237" w:type="dxa"/>
            <w:shd w:val="clear" w:color="auto" w:fill="1F4E79" w:themeFill="accent5" w:themeFillShade="80"/>
            <w:vAlign w:val="center"/>
          </w:tcPr>
          <w:bookmarkEnd w:id="2"/>
          <w:p w14:paraId="618056EB"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Performance</w:t>
            </w:r>
          </w:p>
        </w:tc>
        <w:tc>
          <w:tcPr>
            <w:tcW w:w="4395" w:type="dxa"/>
            <w:shd w:val="clear" w:color="auto" w:fill="1F4E79" w:themeFill="accent5" w:themeFillShade="80"/>
            <w:vAlign w:val="center"/>
          </w:tcPr>
          <w:p w14:paraId="139359DA"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Progress</w:t>
            </w:r>
          </w:p>
        </w:tc>
      </w:tr>
      <w:bookmarkEnd w:id="3"/>
      <w:tr w:rsidR="00FF2F7C" w:rsidRPr="00FF2F7C" w14:paraId="233A435D" w14:textId="77777777" w:rsidTr="00EA4598">
        <w:tc>
          <w:tcPr>
            <w:tcW w:w="6237" w:type="dxa"/>
          </w:tcPr>
          <w:p w14:paraId="485158BF"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4C1623A6" wp14:editId="08628501">
                  <wp:extent cx="3643313" cy="2281238"/>
                  <wp:effectExtent l="0" t="0" r="14605" b="5080"/>
                  <wp:docPr id="29" name="Chart 29">
                    <a:extLst xmlns:a="http://schemas.openxmlformats.org/drawingml/2006/main">
                      <a:ext uri="{FF2B5EF4-FFF2-40B4-BE49-F238E27FC236}">
                        <a16:creationId xmlns:a16="http://schemas.microsoft.com/office/drawing/2014/main" id="{7E5A79E3-76C3-4C29-B5BB-157CC16D6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395" w:type="dxa"/>
            <w:vMerge w:val="restart"/>
          </w:tcPr>
          <w:p w14:paraId="73C67472"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The Directorate is proactively managing absence and greater focus is being given to supporting our employees to be healthy in order to improve attendance. Work is in progress to focus on different ways to support employees to stay at work or return to work as soon as possible. These activities include: -</w:t>
            </w:r>
          </w:p>
          <w:p w14:paraId="1F6E2A2F" w14:textId="77777777" w:rsidR="00FF2F7C" w:rsidRPr="00FF2F7C" w:rsidRDefault="00FF2F7C" w:rsidP="00FF2F7C">
            <w:pPr>
              <w:rPr>
                <w:rFonts w:ascii="Arial" w:eastAsiaTheme="minorHAnsi" w:hAnsi="Arial" w:cs="Arial"/>
                <w:color w:val="1F4E79" w:themeColor="accent5" w:themeShade="80"/>
                <w:lang w:eastAsia="en-US"/>
              </w:rPr>
            </w:pPr>
          </w:p>
          <w:p w14:paraId="60550EC9" w14:textId="77777777" w:rsidR="00FF2F7C" w:rsidRPr="00FF2F7C" w:rsidRDefault="00FF2F7C" w:rsidP="00FF2F7C">
            <w:pPr>
              <w:numPr>
                <w:ilvl w:val="0"/>
                <w:numId w:val="27"/>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Improving and refreshing manager skills on having difficult conversations to promote good relationships where employees feel supported</w:t>
            </w:r>
          </w:p>
          <w:p w14:paraId="3A251A53" w14:textId="77777777" w:rsidR="00FF2F7C" w:rsidRPr="00FF2F7C" w:rsidRDefault="00FF2F7C" w:rsidP="00FF2F7C">
            <w:pPr>
              <w:numPr>
                <w:ilvl w:val="0"/>
                <w:numId w:val="27"/>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Rolling out mental health awareness training to ensure we can support those who are struggling and intervene before the situation reaches crisis point</w:t>
            </w:r>
          </w:p>
          <w:p w14:paraId="3C6FABCF" w14:textId="77777777" w:rsidR="00FF2F7C" w:rsidRPr="00FF2F7C" w:rsidRDefault="00FF2F7C" w:rsidP="00FF2F7C">
            <w:pPr>
              <w:numPr>
                <w:ilvl w:val="0"/>
                <w:numId w:val="27"/>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Using refreshed return to work forms to ensure a focus on quality discussions and using customised forms for particular conditions</w:t>
            </w:r>
          </w:p>
          <w:p w14:paraId="231EECE2" w14:textId="77777777" w:rsidR="00FF2F7C" w:rsidRPr="00FF2F7C" w:rsidRDefault="00FF2F7C" w:rsidP="00FF2F7C">
            <w:pPr>
              <w:numPr>
                <w:ilvl w:val="0"/>
                <w:numId w:val="27"/>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Promoting increased physical activity</w:t>
            </w:r>
          </w:p>
          <w:p w14:paraId="747254EB" w14:textId="77777777" w:rsidR="00FF2F7C" w:rsidRPr="00FF2F7C" w:rsidRDefault="00FF2F7C" w:rsidP="00FF2F7C">
            <w:pPr>
              <w:rPr>
                <w:rFonts w:asciiTheme="minorBidi" w:eastAsiaTheme="minorHAnsi" w:hAnsiTheme="minorBidi"/>
                <w:color w:val="1F4E79"/>
                <w:lang w:eastAsia="en-US"/>
              </w:rPr>
            </w:pPr>
          </w:p>
          <w:p w14:paraId="6130ABC3" w14:textId="77777777" w:rsidR="00FF2F7C" w:rsidRPr="00FF2F7C" w:rsidRDefault="00FF2F7C" w:rsidP="00FF2F7C">
            <w:pPr>
              <w:rPr>
                <w:rFonts w:asciiTheme="minorBidi" w:eastAsiaTheme="minorHAnsi" w:hAnsiTheme="minorBidi"/>
                <w:b/>
                <w:color w:val="1F4E79"/>
                <w:lang w:eastAsia="en-US"/>
              </w:rPr>
            </w:pPr>
          </w:p>
        </w:tc>
      </w:tr>
      <w:tr w:rsidR="00FF2F7C" w:rsidRPr="00FF2F7C" w14:paraId="21E413DB" w14:textId="77777777" w:rsidTr="00EA4598">
        <w:tc>
          <w:tcPr>
            <w:tcW w:w="6237" w:type="dxa"/>
          </w:tcPr>
          <w:p w14:paraId="0D37135E"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469527D8" wp14:editId="632650F3">
                  <wp:extent cx="3671888" cy="2281238"/>
                  <wp:effectExtent l="0" t="0" r="5080" b="5080"/>
                  <wp:docPr id="30" name="Chart 30">
                    <a:extLst xmlns:a="http://schemas.openxmlformats.org/drawingml/2006/main">
                      <a:ext uri="{FF2B5EF4-FFF2-40B4-BE49-F238E27FC236}">
                        <a16:creationId xmlns:a16="http://schemas.microsoft.com/office/drawing/2014/main" id="{F77DF630-110B-4A8D-8007-C15984E30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395" w:type="dxa"/>
            <w:vMerge/>
          </w:tcPr>
          <w:p w14:paraId="14EEA2B1" w14:textId="77777777" w:rsidR="00FF2F7C" w:rsidRPr="00FF2F7C" w:rsidRDefault="00FF2F7C" w:rsidP="00FF2F7C">
            <w:pPr>
              <w:rPr>
                <w:rFonts w:asciiTheme="minorBidi" w:eastAsiaTheme="minorHAnsi" w:hAnsiTheme="minorBidi"/>
                <w:color w:val="1F4E79"/>
                <w:lang w:eastAsia="en-US"/>
              </w:rPr>
            </w:pPr>
          </w:p>
        </w:tc>
      </w:tr>
      <w:tr w:rsidR="00FF2F7C" w:rsidRPr="00FF2F7C" w14:paraId="536666B0" w14:textId="77777777" w:rsidTr="00EA4598">
        <w:tc>
          <w:tcPr>
            <w:tcW w:w="6237" w:type="dxa"/>
          </w:tcPr>
          <w:p w14:paraId="45DA6AD6"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4FFC5F0E" wp14:editId="1FD781B1">
                  <wp:extent cx="3648075" cy="2290763"/>
                  <wp:effectExtent l="0" t="0" r="9525" b="14605"/>
                  <wp:docPr id="31" name="Chart 31">
                    <a:extLst xmlns:a="http://schemas.openxmlformats.org/drawingml/2006/main">
                      <a:ext uri="{FF2B5EF4-FFF2-40B4-BE49-F238E27FC236}">
                        <a16:creationId xmlns:a16="http://schemas.microsoft.com/office/drawing/2014/main" id="{D1E38AF7-A7A4-4D1F-A069-2972CCBA3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395" w:type="dxa"/>
            <w:vMerge/>
          </w:tcPr>
          <w:p w14:paraId="67416902" w14:textId="77777777" w:rsidR="00FF2F7C" w:rsidRPr="00FF2F7C" w:rsidRDefault="00FF2F7C" w:rsidP="00FF2F7C">
            <w:pPr>
              <w:rPr>
                <w:rFonts w:asciiTheme="minorBidi" w:eastAsiaTheme="minorHAnsi" w:hAnsiTheme="minorBidi"/>
                <w:color w:val="1F4E79"/>
                <w:lang w:eastAsia="en-US"/>
              </w:rPr>
            </w:pPr>
          </w:p>
        </w:tc>
      </w:tr>
    </w:tbl>
    <w:p w14:paraId="1A7E5C89" w14:textId="77777777" w:rsidR="00FF2F7C" w:rsidRPr="00FF2F7C" w:rsidRDefault="00FF2F7C" w:rsidP="00FF2F7C">
      <w:pPr>
        <w:spacing w:before="0" w:after="0"/>
        <w:rPr>
          <w:rFonts w:asciiTheme="minorBidi" w:eastAsiaTheme="minorHAnsi" w:hAnsiTheme="minorBidi" w:cstheme="minorBidi"/>
          <w:color w:val="1F4E79" w:themeColor="accent5" w:themeShade="80"/>
          <w:szCs w:val="24"/>
          <w:lang w:eastAsia="en-US"/>
        </w:rPr>
      </w:pPr>
      <w:r w:rsidRPr="00FF2F7C">
        <w:rPr>
          <w:rFonts w:asciiTheme="minorBidi" w:eastAsiaTheme="minorHAnsi" w:hAnsiTheme="minorBidi" w:cstheme="minorBidi"/>
          <w:color w:val="1F4E79" w:themeColor="accent5" w:themeShade="80"/>
          <w:szCs w:val="24"/>
          <w:lang w:eastAsia="en-US"/>
        </w:rPr>
        <w:br w:type="page"/>
      </w:r>
    </w:p>
    <w:p w14:paraId="7CB0AB23" w14:textId="77777777" w:rsidR="00FF2F7C" w:rsidRPr="00FF2F7C" w:rsidRDefault="00FF2F7C" w:rsidP="00FF2F7C">
      <w:pPr>
        <w:rPr>
          <w:rFonts w:ascii="Arial" w:eastAsiaTheme="minorHAnsi" w:hAnsi="Arial" w:cs="Arial"/>
          <w:color w:val="1F4E79" w:themeColor="accent5" w:themeShade="80"/>
          <w:sz w:val="56"/>
          <w:szCs w:val="56"/>
          <w:lang w:eastAsia="en-US"/>
        </w:rPr>
      </w:pPr>
      <w:r w:rsidRPr="00FF2F7C">
        <w:rPr>
          <w:rFonts w:ascii="Arial" w:eastAsiaTheme="minorHAnsi" w:hAnsi="Arial" w:cs="Arial"/>
          <w:color w:val="1F4E79" w:themeColor="accent5" w:themeShade="80"/>
          <w:sz w:val="56"/>
          <w:szCs w:val="56"/>
          <w:lang w:eastAsia="en-US"/>
        </w:rPr>
        <w:lastRenderedPageBreak/>
        <w:t>People – cont.</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395"/>
      </w:tblGrid>
      <w:tr w:rsidR="00FF2F7C" w:rsidRPr="00FF2F7C" w14:paraId="40BCC21E" w14:textId="77777777" w:rsidTr="00EA4598">
        <w:tc>
          <w:tcPr>
            <w:tcW w:w="6237" w:type="dxa"/>
            <w:shd w:val="clear" w:color="auto" w:fill="1F4E79" w:themeFill="accent5" w:themeFillShade="80"/>
            <w:vAlign w:val="center"/>
          </w:tcPr>
          <w:p w14:paraId="20A266D6"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Performance</w:t>
            </w:r>
          </w:p>
        </w:tc>
        <w:tc>
          <w:tcPr>
            <w:tcW w:w="4395" w:type="dxa"/>
            <w:shd w:val="clear" w:color="auto" w:fill="1F4E79" w:themeFill="accent5" w:themeFillShade="80"/>
            <w:vAlign w:val="center"/>
          </w:tcPr>
          <w:p w14:paraId="114FE2CE"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Progress</w:t>
            </w:r>
          </w:p>
        </w:tc>
      </w:tr>
      <w:tr w:rsidR="00FF2F7C" w:rsidRPr="00FF2F7C" w14:paraId="1E85FC77" w14:textId="77777777" w:rsidTr="00EA4598">
        <w:tc>
          <w:tcPr>
            <w:tcW w:w="6237" w:type="dxa"/>
          </w:tcPr>
          <w:p w14:paraId="246FC51A"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29972278" wp14:editId="26120DCB">
                  <wp:extent cx="3662363" cy="2271713"/>
                  <wp:effectExtent l="0" t="0" r="14605" b="14605"/>
                  <wp:docPr id="8" name="Chart 8">
                    <a:extLst xmlns:a="http://schemas.openxmlformats.org/drawingml/2006/main">
                      <a:ext uri="{FF2B5EF4-FFF2-40B4-BE49-F238E27FC236}">
                        <a16:creationId xmlns:a16="http://schemas.microsoft.com/office/drawing/2014/main" id="{14AD4D88-83B0-4E19-8C34-709FB2DB5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395" w:type="dxa"/>
          </w:tcPr>
          <w:p w14:paraId="6EE945DE" w14:textId="77777777" w:rsidR="00FF2F7C" w:rsidRPr="00FF2F7C" w:rsidRDefault="00FF2F7C" w:rsidP="00FF2F7C">
            <w:pPr>
              <w:rPr>
                <w:rFonts w:ascii="Arial" w:eastAsiaTheme="minorHAnsi" w:hAnsi="Arial" w:cs="Arial"/>
                <w:color w:val="1F4E79"/>
                <w:sz w:val="22"/>
                <w:szCs w:val="22"/>
                <w:lang w:eastAsia="en-US"/>
              </w:rPr>
            </w:pPr>
            <w:r w:rsidRPr="00FF2F7C">
              <w:rPr>
                <w:rFonts w:ascii="Arial" w:eastAsiaTheme="minorHAnsi" w:hAnsi="Arial" w:cs="Arial"/>
                <w:color w:val="1F4E79"/>
                <w:sz w:val="22"/>
                <w:szCs w:val="22"/>
                <w:lang w:eastAsia="en-US"/>
              </w:rPr>
              <w:t>As at 31st March 2019, 4.9% of the Council’s employees were aged 24 and under. This is an increase of 0.2 percentage points on the March 2018 figure of 4.7%.</w:t>
            </w:r>
          </w:p>
          <w:p w14:paraId="062A442C" w14:textId="77777777" w:rsidR="00FF2F7C" w:rsidRPr="00FF2F7C" w:rsidRDefault="00FF2F7C" w:rsidP="00FF2F7C">
            <w:pPr>
              <w:rPr>
                <w:rFonts w:ascii="Arial" w:eastAsiaTheme="minorHAnsi" w:hAnsi="Arial" w:cs="Arial"/>
                <w:b/>
                <w:color w:val="1F4E79"/>
                <w:sz w:val="22"/>
                <w:szCs w:val="22"/>
                <w:lang w:eastAsia="en-US"/>
              </w:rPr>
            </w:pPr>
            <w:r w:rsidRPr="00FF2F7C">
              <w:rPr>
                <w:rFonts w:ascii="Arial" w:eastAsiaTheme="minorHAnsi" w:hAnsi="Arial" w:cs="Arial"/>
                <w:color w:val="1F4E79"/>
                <w:sz w:val="22"/>
                <w:szCs w:val="22"/>
                <w:lang w:eastAsia="en-US"/>
              </w:rPr>
              <w:t>In December 2018 the Council received the prestigious Investors in Young People Gold Accreditation. We have been working with those Directorates where meeting youth employment targets are proving to be challenging, and in areas where there is a clear workforce planning need. This has resulted in a number of new opportunities for young people in electoral services, software development, cyber security and civil engineering.</w:t>
            </w:r>
          </w:p>
        </w:tc>
      </w:tr>
      <w:tr w:rsidR="00FF2F7C" w:rsidRPr="00FF2F7C" w14:paraId="30B4E0CC" w14:textId="77777777" w:rsidTr="00EA4598">
        <w:trPr>
          <w:trHeight w:val="4473"/>
        </w:trPr>
        <w:tc>
          <w:tcPr>
            <w:tcW w:w="6237" w:type="dxa"/>
          </w:tcPr>
          <w:p w14:paraId="153328B7"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1DA7E111" wp14:editId="54D976FC">
                  <wp:extent cx="3652520" cy="2657475"/>
                  <wp:effectExtent l="0" t="0" r="5080" b="9525"/>
                  <wp:docPr id="32" name="Chart 32">
                    <a:extLst xmlns:a="http://schemas.openxmlformats.org/drawingml/2006/main">
                      <a:ext uri="{FF2B5EF4-FFF2-40B4-BE49-F238E27FC236}">
                        <a16:creationId xmlns:a16="http://schemas.microsoft.com/office/drawing/2014/main" id="{CBB984AE-5542-4804-AAF3-C11AB8A7C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395" w:type="dxa"/>
          </w:tcPr>
          <w:p w14:paraId="66ADB2E5" w14:textId="2E82DC46" w:rsidR="00FF2F7C" w:rsidRPr="00FF2F7C" w:rsidRDefault="00FF2F7C" w:rsidP="00FF2F7C">
            <w:pPr>
              <w:rPr>
                <w:rFonts w:ascii="Arial" w:eastAsiaTheme="minorHAnsi" w:hAnsi="Arial" w:cs="Arial"/>
                <w:b/>
                <w:color w:val="1F4E79"/>
                <w:sz w:val="22"/>
                <w:szCs w:val="22"/>
                <w:lang w:eastAsia="en-US"/>
              </w:rPr>
            </w:pPr>
            <w:r w:rsidRPr="00FF2F7C">
              <w:rPr>
                <w:rFonts w:ascii="Arial" w:eastAsiaTheme="minorHAnsi" w:hAnsi="Arial" w:cs="Arial"/>
                <w:color w:val="1F4E79"/>
                <w:sz w:val="22"/>
                <w:szCs w:val="22"/>
                <w:lang w:eastAsia="en-US"/>
              </w:rPr>
              <w:t>The result for 2018/19 shows there has been an increase of 2.07 percentage points in the number of female employees in the top 5% of earners over the past year. This equates to a 3.9% increase. We continue to offer a range of flexible working options and family friendly policies to support women who wish to join and stay in the Council workforce.</w:t>
            </w:r>
          </w:p>
        </w:tc>
      </w:tr>
      <w:tr w:rsidR="00FF2F7C" w:rsidRPr="00FF2F7C" w14:paraId="0B88D498" w14:textId="77777777" w:rsidTr="00EA4598">
        <w:trPr>
          <w:trHeight w:val="3959"/>
        </w:trPr>
        <w:tc>
          <w:tcPr>
            <w:tcW w:w="6237" w:type="dxa"/>
          </w:tcPr>
          <w:p w14:paraId="2620B147"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4D3B35BA" wp14:editId="7388F4A3">
                  <wp:extent cx="3657600" cy="2152650"/>
                  <wp:effectExtent l="0" t="0" r="0" b="0"/>
                  <wp:docPr id="33" name="Chart 33">
                    <a:extLst xmlns:a="http://schemas.openxmlformats.org/drawingml/2006/main">
                      <a:ext uri="{FF2B5EF4-FFF2-40B4-BE49-F238E27FC236}">
                        <a16:creationId xmlns:a16="http://schemas.microsoft.com/office/drawing/2014/main" id="{DE7E04CF-C428-45BA-8D10-69BC63DE9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395" w:type="dxa"/>
          </w:tcPr>
          <w:p w14:paraId="4F3DA8FD" w14:textId="77777777" w:rsidR="00FF2F7C" w:rsidRPr="00FF2F7C" w:rsidRDefault="00FF2F7C" w:rsidP="00FF2F7C">
            <w:pPr>
              <w:rPr>
                <w:rFonts w:ascii="Arial" w:eastAsiaTheme="minorHAnsi" w:hAnsi="Arial" w:cs="Arial"/>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There have been fairly minor changes in the numbers of females and males employed in the lower level pay grades i.e. increase in the percentage of these posts filled by females which has resulted in this increase in the gender pay gap.</w:t>
            </w:r>
          </w:p>
        </w:tc>
      </w:tr>
    </w:tbl>
    <w:p w14:paraId="1B50872A" w14:textId="77777777" w:rsidR="00FF2F7C" w:rsidRPr="00FF2F7C" w:rsidRDefault="00FF2F7C" w:rsidP="00FF2F7C">
      <w:pPr>
        <w:rPr>
          <w:rFonts w:ascii="Arial" w:eastAsiaTheme="minorHAnsi" w:hAnsi="Arial" w:cs="Arial"/>
          <w:color w:val="1F4E79" w:themeColor="accent5" w:themeShade="80"/>
          <w:sz w:val="56"/>
          <w:szCs w:val="56"/>
          <w:lang w:eastAsia="en-US"/>
        </w:rPr>
      </w:pPr>
      <w:bookmarkStart w:id="5" w:name="_Hlk14182278"/>
      <w:bookmarkEnd w:id="4"/>
      <w:r w:rsidRPr="00FF2F7C">
        <w:rPr>
          <w:rFonts w:ascii="Arial" w:eastAsiaTheme="minorHAnsi" w:hAnsi="Arial" w:cs="Arial"/>
          <w:color w:val="1F4E79" w:themeColor="accent5" w:themeShade="80"/>
          <w:sz w:val="56"/>
          <w:szCs w:val="56"/>
          <w:lang w:eastAsia="en-US"/>
        </w:rPr>
        <w:lastRenderedPageBreak/>
        <w:t>Responsiveness</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395"/>
      </w:tblGrid>
      <w:tr w:rsidR="00FF2F7C" w:rsidRPr="00FF2F7C" w14:paraId="7B202C23" w14:textId="77777777" w:rsidTr="00EA4598">
        <w:tc>
          <w:tcPr>
            <w:tcW w:w="6237" w:type="dxa"/>
            <w:shd w:val="clear" w:color="auto" w:fill="1F4E79" w:themeFill="accent5" w:themeFillShade="80"/>
            <w:vAlign w:val="center"/>
          </w:tcPr>
          <w:p w14:paraId="7B5E15B8" w14:textId="77777777" w:rsidR="00FF2F7C" w:rsidRPr="00FF2F7C" w:rsidRDefault="00FF2F7C" w:rsidP="00FF2F7C">
            <w:pPr>
              <w:jc w:val="center"/>
              <w:rPr>
                <w:rFonts w:ascii="Arial" w:eastAsiaTheme="minorHAnsi" w:hAnsi="Arial" w:cs="Arial"/>
                <w:b/>
                <w:bCs/>
                <w:color w:val="FFFFFF" w:themeColor="background1"/>
                <w:lang w:eastAsia="en-US"/>
              </w:rPr>
            </w:pPr>
            <w:bookmarkStart w:id="6" w:name="_Hlk14171017"/>
            <w:bookmarkEnd w:id="5"/>
            <w:r w:rsidRPr="00FF2F7C">
              <w:rPr>
                <w:rFonts w:ascii="Arial" w:eastAsiaTheme="minorHAnsi" w:hAnsi="Arial" w:cs="Arial"/>
                <w:b/>
                <w:bCs/>
                <w:color w:val="FFFFFF" w:themeColor="background1"/>
                <w:lang w:eastAsia="en-US"/>
              </w:rPr>
              <w:t>Performance</w:t>
            </w:r>
          </w:p>
        </w:tc>
        <w:tc>
          <w:tcPr>
            <w:tcW w:w="4395" w:type="dxa"/>
            <w:shd w:val="clear" w:color="auto" w:fill="1F4E79" w:themeFill="accent5" w:themeFillShade="80"/>
            <w:vAlign w:val="center"/>
          </w:tcPr>
          <w:p w14:paraId="63742E46"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Progress</w:t>
            </w:r>
          </w:p>
        </w:tc>
      </w:tr>
      <w:bookmarkEnd w:id="6"/>
      <w:tr w:rsidR="00FF2F7C" w:rsidRPr="00FF2F7C" w14:paraId="42E1393B" w14:textId="77777777" w:rsidTr="00EA4598">
        <w:trPr>
          <w:trHeight w:val="5212"/>
        </w:trPr>
        <w:tc>
          <w:tcPr>
            <w:tcW w:w="6237" w:type="dxa"/>
          </w:tcPr>
          <w:p w14:paraId="1C4A2C75"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681E09C6" wp14:editId="6369D4CF">
                  <wp:extent cx="3667125" cy="3048000"/>
                  <wp:effectExtent l="0" t="0" r="9525" b="0"/>
                  <wp:docPr id="34" name="Chart 34">
                    <a:extLst xmlns:a="http://schemas.openxmlformats.org/drawingml/2006/main">
                      <a:ext uri="{FF2B5EF4-FFF2-40B4-BE49-F238E27FC236}">
                        <a16:creationId xmlns:a16="http://schemas.microsoft.com/office/drawing/2014/main" id="{4BFEF24D-54F7-425B-A8FC-8E1B9A606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395" w:type="dxa"/>
          </w:tcPr>
          <w:p w14:paraId="64985427"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The percentage of rent collected has reduced in year by 0.17%. However, this reflects a change in the method of payment of Universal Credit by the DWP on a fortnightly basis, the year-end being a week when no Universal Credit was received. An improvement project conducted throughout the year led to improved joint working at the frontline between Housing and Revenues Services in terms of rent collection. An additional £1.5m was identified to bring forward measures to support the transition of tenants to Universal Credit and to mitigate the impact on the Housing Revenue Account.</w:t>
            </w:r>
          </w:p>
        </w:tc>
      </w:tr>
      <w:tr w:rsidR="00FF2F7C" w:rsidRPr="00FF2F7C" w14:paraId="403C525C" w14:textId="77777777" w:rsidTr="00EA4598">
        <w:trPr>
          <w:trHeight w:val="3685"/>
        </w:trPr>
        <w:tc>
          <w:tcPr>
            <w:tcW w:w="6237" w:type="dxa"/>
          </w:tcPr>
          <w:p w14:paraId="555D56D6"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6E15E7E8" wp14:editId="596E9FE6">
                  <wp:extent cx="3652520" cy="2028825"/>
                  <wp:effectExtent l="0" t="0" r="5080" b="9525"/>
                  <wp:docPr id="12" name="Chart 12">
                    <a:extLst xmlns:a="http://schemas.openxmlformats.org/drawingml/2006/main">
                      <a:ext uri="{FF2B5EF4-FFF2-40B4-BE49-F238E27FC236}">
                        <a16:creationId xmlns:a16="http://schemas.microsoft.com/office/drawing/2014/main" id="{E95F862F-6388-4123-818C-4378199CF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395" w:type="dxa"/>
          </w:tcPr>
          <w:p w14:paraId="78D937BD"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The collection of business rates has increased this year from 97.9% to 98.4%. The team have undergone a review and now work within the full assessment team, this gives added resilience to the team. In addition, businesses can now access their account online which may have a positive impact on collection rates.</w:t>
            </w:r>
          </w:p>
        </w:tc>
      </w:tr>
      <w:tr w:rsidR="00FF2F7C" w:rsidRPr="00FF2F7C" w14:paraId="212B0B14" w14:textId="77777777" w:rsidTr="00EA4598">
        <w:trPr>
          <w:trHeight w:val="4072"/>
        </w:trPr>
        <w:tc>
          <w:tcPr>
            <w:tcW w:w="6237" w:type="dxa"/>
          </w:tcPr>
          <w:p w14:paraId="65306145" w14:textId="77777777" w:rsidR="00FF2F7C" w:rsidRPr="00FF2F7C" w:rsidRDefault="00FF2F7C" w:rsidP="00FF2F7C">
            <w:pPr>
              <w:jc w:val="center"/>
              <w:rPr>
                <w:rFonts w:asciiTheme="minorBidi" w:eastAsiaTheme="minorHAnsi" w:hAnsiTheme="minorBidi"/>
                <w:noProof/>
                <w:color w:val="1F4E79" w:themeColor="accent5" w:themeShade="80"/>
              </w:rPr>
            </w:pPr>
            <w:r w:rsidRPr="00FF2F7C">
              <w:rPr>
                <w:rFonts w:asciiTheme="minorBidi" w:eastAsiaTheme="minorHAnsi" w:hAnsiTheme="minorBidi"/>
                <w:noProof/>
                <w:color w:val="1F4E79" w:themeColor="accent5" w:themeShade="80"/>
              </w:rPr>
              <w:drawing>
                <wp:inline distT="0" distB="0" distL="0" distR="0" wp14:anchorId="03F914B3" wp14:editId="059BB7DA">
                  <wp:extent cx="3652838" cy="2281238"/>
                  <wp:effectExtent l="0" t="0" r="5080" b="5080"/>
                  <wp:docPr id="2" name="Chart 2">
                    <a:extLst xmlns:a="http://schemas.openxmlformats.org/drawingml/2006/main">
                      <a:ext uri="{FF2B5EF4-FFF2-40B4-BE49-F238E27FC236}">
                        <a16:creationId xmlns:a16="http://schemas.microsoft.com/office/drawing/2014/main" id="{DEC362DF-49E5-4D7D-9AF9-E2838C4ED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395" w:type="dxa"/>
          </w:tcPr>
          <w:p w14:paraId="0C1089B5"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Telephone call performance has continued to meet or exceed target. Call volumes have reduced across many areas through promotion of self-help or self-service reporting through cheaper channels e.g.</w:t>
            </w:r>
          </w:p>
          <w:p w14:paraId="717F9EF8" w14:textId="77777777" w:rsidR="00FF2F7C" w:rsidRPr="00FF2F7C" w:rsidRDefault="00FF2F7C" w:rsidP="00FF2F7C">
            <w:pPr>
              <w:numPr>
                <w:ilvl w:val="0"/>
                <w:numId w:val="29"/>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self-service logging and tracking of enquiries via First Contact;</w:t>
            </w:r>
          </w:p>
          <w:p w14:paraId="48029577" w14:textId="77777777" w:rsidR="00FF2F7C" w:rsidRPr="00FF2F7C" w:rsidRDefault="00FF2F7C" w:rsidP="00FF2F7C">
            <w:pPr>
              <w:numPr>
                <w:ilvl w:val="0"/>
                <w:numId w:val="29"/>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 xml:space="preserve">continual development of FAQs and self-help guides </w:t>
            </w:r>
          </w:p>
          <w:p w14:paraId="262CDC5C" w14:textId="77777777" w:rsidR="00FF2F7C" w:rsidRPr="00FF2F7C" w:rsidRDefault="00FF2F7C" w:rsidP="00FF2F7C">
            <w:pPr>
              <w:numPr>
                <w:ilvl w:val="0"/>
                <w:numId w:val="29"/>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 xml:space="preserve">improved telephone line messages promoting links to self-help guides, </w:t>
            </w:r>
          </w:p>
          <w:p w14:paraId="220E7F01" w14:textId="77777777" w:rsidR="00FF2F7C" w:rsidRPr="00FF2F7C" w:rsidRDefault="00FF2F7C" w:rsidP="00FF2F7C">
            <w:pPr>
              <w:numPr>
                <w:ilvl w:val="0"/>
                <w:numId w:val="29"/>
              </w:numPr>
              <w:contextualSpacing/>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advice pages or e-form enquiry logging.</w:t>
            </w:r>
          </w:p>
        </w:tc>
      </w:tr>
    </w:tbl>
    <w:p w14:paraId="0B54BD35" w14:textId="77777777" w:rsidR="00FF2F7C" w:rsidRPr="00FF2F7C" w:rsidRDefault="00FF2F7C" w:rsidP="00FF2F7C">
      <w:pPr>
        <w:rPr>
          <w:rFonts w:ascii="Arial" w:eastAsiaTheme="minorHAnsi" w:hAnsi="Arial" w:cs="Arial"/>
          <w:color w:val="1F4E79" w:themeColor="accent5" w:themeShade="80"/>
          <w:szCs w:val="24"/>
          <w:lang w:eastAsia="en-US"/>
        </w:rPr>
      </w:pPr>
      <w:r w:rsidRPr="00FF2F7C">
        <w:rPr>
          <w:rFonts w:ascii="Arial" w:eastAsiaTheme="minorHAnsi" w:hAnsi="Arial" w:cs="Arial"/>
          <w:color w:val="1F4E79" w:themeColor="accent5" w:themeShade="80"/>
          <w:sz w:val="56"/>
          <w:szCs w:val="56"/>
          <w:lang w:eastAsia="en-US"/>
        </w:rPr>
        <w:lastRenderedPageBreak/>
        <w:t>Responsiveness – cont.</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4395"/>
      </w:tblGrid>
      <w:tr w:rsidR="00FF2F7C" w:rsidRPr="00FF2F7C" w14:paraId="19E71356" w14:textId="77777777" w:rsidTr="00EA4598">
        <w:tc>
          <w:tcPr>
            <w:tcW w:w="6237" w:type="dxa"/>
            <w:shd w:val="clear" w:color="auto" w:fill="1F4E79" w:themeFill="accent5" w:themeFillShade="80"/>
            <w:vAlign w:val="center"/>
          </w:tcPr>
          <w:p w14:paraId="4CEB63E8"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Performance</w:t>
            </w:r>
          </w:p>
        </w:tc>
        <w:tc>
          <w:tcPr>
            <w:tcW w:w="4395" w:type="dxa"/>
            <w:shd w:val="clear" w:color="auto" w:fill="1F4E79" w:themeFill="accent5" w:themeFillShade="80"/>
            <w:vAlign w:val="center"/>
          </w:tcPr>
          <w:p w14:paraId="7D64AA52"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Progress</w:t>
            </w:r>
          </w:p>
        </w:tc>
      </w:tr>
      <w:tr w:rsidR="00FF2F7C" w:rsidRPr="00FF2F7C" w14:paraId="54E60552" w14:textId="77777777" w:rsidTr="00EA4598">
        <w:tc>
          <w:tcPr>
            <w:tcW w:w="6237" w:type="dxa"/>
          </w:tcPr>
          <w:p w14:paraId="50DD9458" w14:textId="77777777" w:rsidR="00FF2F7C" w:rsidRPr="00FF2F7C" w:rsidRDefault="00FF2F7C" w:rsidP="00FF2F7C">
            <w:pPr>
              <w:jc w:val="center"/>
              <w:rPr>
                <w:rFonts w:asciiTheme="minorBidi" w:eastAsiaTheme="minorHAnsi" w:hAnsiTheme="minorBidi"/>
                <w:noProof/>
                <w:color w:val="1F4E79" w:themeColor="accent5" w:themeShade="80"/>
              </w:rPr>
            </w:pPr>
            <w:r w:rsidRPr="00FF2F7C">
              <w:rPr>
                <w:rFonts w:asciiTheme="minorBidi" w:eastAsiaTheme="minorHAnsi" w:hAnsiTheme="minorBidi"/>
                <w:noProof/>
                <w:color w:val="1F4E79" w:themeColor="accent5" w:themeShade="80"/>
              </w:rPr>
              <w:drawing>
                <wp:inline distT="0" distB="0" distL="0" distR="0" wp14:anchorId="41E8C8BD" wp14:editId="1A69CA63">
                  <wp:extent cx="3652838" cy="2281238"/>
                  <wp:effectExtent l="0" t="0" r="5080" b="5080"/>
                  <wp:docPr id="13" name="Chart 13">
                    <a:extLst xmlns:a="http://schemas.openxmlformats.org/drawingml/2006/main">
                      <a:ext uri="{FF2B5EF4-FFF2-40B4-BE49-F238E27FC236}">
                        <a16:creationId xmlns:a16="http://schemas.microsoft.com/office/drawing/2014/main" id="{3915768E-66FD-45FD-AFB4-4968F9FB60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395" w:type="dxa"/>
          </w:tcPr>
          <w:p w14:paraId="5F90E675" w14:textId="77777777" w:rsidR="00FF2F7C" w:rsidRPr="00FF2F7C" w:rsidRDefault="00FF2F7C" w:rsidP="00FF2F7C">
            <w:pPr>
              <w:rPr>
                <w:rFonts w:ascii="Arial" w:eastAsiaTheme="minorHAnsi" w:hAnsi="Arial" w:cs="Arial"/>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The average time to process new claims is reducing and this is partly due to the reduction in workload which is coming through as housing benefit claims due to the introduction of Universal Credit. The team have reviewed all processes to make efficiencies and the results are evident given the number of days to process a claim has reduced from 19.5 days in 2017/18 to 18.9 days in the same period 2018/19.</w:t>
            </w:r>
          </w:p>
        </w:tc>
      </w:tr>
      <w:tr w:rsidR="00FF2F7C" w:rsidRPr="00FF2F7C" w14:paraId="116398FD" w14:textId="77777777" w:rsidTr="00EA4598">
        <w:tc>
          <w:tcPr>
            <w:tcW w:w="6237" w:type="dxa"/>
          </w:tcPr>
          <w:p w14:paraId="17670D6F" w14:textId="77777777" w:rsidR="00FF2F7C" w:rsidRPr="00FF2F7C" w:rsidRDefault="00FF2F7C" w:rsidP="00FF2F7C">
            <w:pPr>
              <w:jc w:val="center"/>
              <w:rPr>
                <w:rFonts w:asciiTheme="minorBidi" w:eastAsiaTheme="minorHAnsi" w:hAnsiTheme="minorBidi"/>
                <w:noProof/>
                <w:color w:val="1F4E79" w:themeColor="accent5" w:themeShade="80"/>
              </w:rPr>
            </w:pPr>
            <w:r w:rsidRPr="00FF2F7C">
              <w:rPr>
                <w:rFonts w:asciiTheme="minorBidi" w:eastAsiaTheme="minorHAnsi" w:hAnsiTheme="minorBidi"/>
                <w:noProof/>
                <w:color w:val="1F4E79" w:themeColor="accent5" w:themeShade="80"/>
              </w:rPr>
              <w:drawing>
                <wp:inline distT="0" distB="0" distL="0" distR="0" wp14:anchorId="6785F5A1" wp14:editId="192D0E23">
                  <wp:extent cx="3652838" cy="2281238"/>
                  <wp:effectExtent l="0" t="0" r="5080" b="5080"/>
                  <wp:docPr id="35" name="Chart 35">
                    <a:extLst xmlns:a="http://schemas.openxmlformats.org/drawingml/2006/main">
                      <a:ext uri="{FF2B5EF4-FFF2-40B4-BE49-F238E27FC236}">
                        <a16:creationId xmlns:a16="http://schemas.microsoft.com/office/drawing/2014/main" id="{E1E77D82-0823-4D2C-BE25-5A491A6ED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395" w:type="dxa"/>
          </w:tcPr>
          <w:p w14:paraId="677B0B5A" w14:textId="77777777" w:rsidR="00FF2F7C" w:rsidRPr="00FF2F7C" w:rsidRDefault="00FF2F7C" w:rsidP="00FF2F7C">
            <w:pPr>
              <w:rPr>
                <w:rFonts w:ascii="Arial" w:eastAsiaTheme="minorHAnsi" w:hAnsi="Arial" w:cs="Arial"/>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The Council Tax collected over the year has fallen slightly. This is partly due to the impact of Universal Credit, and partly due to the impact of the first Council Tax increase for a number of years. The Revenue Service recognises the challenges and has put in place measures to maintain and improve the collection rate such as:</w:t>
            </w:r>
          </w:p>
          <w:p w14:paraId="766F6617" w14:textId="77777777" w:rsidR="00FF2F7C" w:rsidRPr="00FF2F7C" w:rsidRDefault="00FF2F7C" w:rsidP="00FF2F7C">
            <w:pPr>
              <w:numPr>
                <w:ilvl w:val="0"/>
                <w:numId w:val="28"/>
              </w:numPr>
              <w:contextualSpacing/>
              <w:rPr>
                <w:rFonts w:ascii="Arial" w:eastAsiaTheme="minorHAnsi" w:hAnsi="Arial" w:cs="Arial"/>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 xml:space="preserve">Direct Debit and online take up campaign, </w:t>
            </w:r>
          </w:p>
          <w:p w14:paraId="2AAC7DDD" w14:textId="77777777" w:rsidR="00FF2F7C" w:rsidRPr="00FF2F7C" w:rsidRDefault="00FF2F7C" w:rsidP="00FF2F7C">
            <w:pPr>
              <w:numPr>
                <w:ilvl w:val="0"/>
                <w:numId w:val="28"/>
              </w:numPr>
              <w:contextualSpacing/>
              <w:rPr>
                <w:rFonts w:ascii="Arial" w:eastAsiaTheme="minorHAnsi" w:hAnsi="Arial" w:cs="Arial"/>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Corporate approach to debt collection</w:t>
            </w:r>
          </w:p>
          <w:p w14:paraId="3665445A" w14:textId="77777777" w:rsidR="00FF2F7C" w:rsidRPr="00FF2F7C" w:rsidRDefault="00FF2F7C" w:rsidP="00FF2F7C">
            <w:pPr>
              <w:numPr>
                <w:ilvl w:val="0"/>
                <w:numId w:val="28"/>
              </w:numPr>
              <w:contextualSpacing/>
              <w:rPr>
                <w:rFonts w:ascii="Arial" w:eastAsiaTheme="minorHAnsi" w:hAnsi="Arial" w:cs="Arial"/>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 xml:space="preserve">Streamline process for applying for direct payments </w:t>
            </w:r>
          </w:p>
          <w:p w14:paraId="65FC0BF5" w14:textId="77777777" w:rsidR="00FF2F7C" w:rsidRPr="00FF2F7C" w:rsidRDefault="00FF2F7C" w:rsidP="00FF2F7C">
            <w:pPr>
              <w:numPr>
                <w:ilvl w:val="0"/>
                <w:numId w:val="28"/>
              </w:numPr>
              <w:contextualSpacing/>
              <w:rPr>
                <w:rFonts w:ascii="Arial" w:eastAsiaTheme="minorHAnsi" w:hAnsi="Arial" w:cs="Arial"/>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Working with CARF to support those having difficulty paying their Council Tax.</w:t>
            </w:r>
          </w:p>
        </w:tc>
      </w:tr>
      <w:tr w:rsidR="00FF2F7C" w:rsidRPr="00FF2F7C" w14:paraId="36E6038F" w14:textId="77777777" w:rsidTr="00EA4598">
        <w:tc>
          <w:tcPr>
            <w:tcW w:w="6237" w:type="dxa"/>
          </w:tcPr>
          <w:p w14:paraId="34F0D35D" w14:textId="77777777" w:rsidR="00FF2F7C" w:rsidRPr="00FF2F7C" w:rsidRDefault="00FF2F7C" w:rsidP="00FF2F7C">
            <w:pPr>
              <w:jc w:val="center"/>
              <w:rPr>
                <w:rFonts w:asciiTheme="minorBidi" w:eastAsiaTheme="minorHAnsi" w:hAnsiTheme="minorBidi"/>
                <w:noProof/>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708416B9" wp14:editId="1668B863">
                  <wp:extent cx="3643313" cy="2290763"/>
                  <wp:effectExtent l="0" t="0" r="14605" b="14605"/>
                  <wp:docPr id="14" name="Chart 14">
                    <a:extLst xmlns:a="http://schemas.openxmlformats.org/drawingml/2006/main">
                      <a:ext uri="{FF2B5EF4-FFF2-40B4-BE49-F238E27FC236}">
                        <a16:creationId xmlns:a16="http://schemas.microsoft.com/office/drawing/2014/main" id="{EF10448F-3FEB-4B4A-9582-CA4EA5C8F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395" w:type="dxa"/>
          </w:tcPr>
          <w:p w14:paraId="15E96C22" w14:textId="77777777" w:rsidR="00FF2F7C" w:rsidRPr="00FF2F7C" w:rsidRDefault="00FF2F7C" w:rsidP="00FF2F7C">
            <w:pPr>
              <w:rPr>
                <w:rFonts w:ascii="Arial" w:eastAsiaTheme="minorHAnsi" w:hAnsi="Arial" w:cs="Arial"/>
                <w:noProof/>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Council Tax collection over a 3-year period remains stable regardless of the current difficult economic climate. The team continually promote payment by direct debit and this impacts favourably on the 3 year collection rate.</w:t>
            </w:r>
          </w:p>
        </w:tc>
      </w:tr>
    </w:tbl>
    <w:p w14:paraId="3123490F" w14:textId="77777777" w:rsidR="00FF2F7C" w:rsidRPr="00FF2F7C" w:rsidRDefault="00FF2F7C" w:rsidP="00FF2F7C">
      <w:pPr>
        <w:spacing w:before="0" w:after="0"/>
        <w:rPr>
          <w:rFonts w:asciiTheme="minorBidi" w:eastAsiaTheme="minorHAnsi" w:hAnsiTheme="minorBidi" w:cstheme="minorBidi"/>
          <w:color w:val="1F4E79" w:themeColor="accent5" w:themeShade="80"/>
          <w:szCs w:val="24"/>
          <w:lang w:eastAsia="en-US"/>
        </w:rPr>
      </w:pPr>
      <w:r w:rsidRPr="00FF2F7C">
        <w:rPr>
          <w:rFonts w:asciiTheme="minorBidi" w:eastAsiaTheme="minorHAnsi" w:hAnsiTheme="minorBidi" w:cstheme="minorBidi"/>
          <w:color w:val="1F4E79" w:themeColor="accent5" w:themeShade="80"/>
          <w:szCs w:val="24"/>
          <w:lang w:eastAsia="en-US"/>
        </w:rPr>
        <w:br w:type="page"/>
      </w:r>
    </w:p>
    <w:p w14:paraId="31B6A28F" w14:textId="77777777" w:rsidR="00FF2F7C" w:rsidRPr="00FF2F7C" w:rsidRDefault="00FF2F7C" w:rsidP="00FF2F7C">
      <w:pPr>
        <w:rPr>
          <w:rFonts w:ascii="Arial" w:eastAsiaTheme="minorHAnsi" w:hAnsi="Arial" w:cs="Arial"/>
          <w:color w:val="1F4E79" w:themeColor="accent5" w:themeShade="80"/>
          <w:szCs w:val="24"/>
          <w:lang w:eastAsia="en-US"/>
        </w:rPr>
      </w:pPr>
      <w:r w:rsidRPr="00FF2F7C">
        <w:rPr>
          <w:rFonts w:ascii="Arial" w:eastAsiaTheme="minorHAnsi" w:hAnsi="Arial" w:cs="Arial"/>
          <w:color w:val="1F4E79" w:themeColor="accent5" w:themeShade="80"/>
          <w:sz w:val="56"/>
          <w:szCs w:val="56"/>
          <w:lang w:eastAsia="en-US"/>
        </w:rPr>
        <w:lastRenderedPageBreak/>
        <w:t>Responsiveness – cont.</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37"/>
        <w:gridCol w:w="142"/>
        <w:gridCol w:w="4253"/>
      </w:tblGrid>
      <w:tr w:rsidR="00FF2F7C" w:rsidRPr="00FF2F7C" w14:paraId="2563FE9B" w14:textId="77777777" w:rsidTr="00EA4598">
        <w:tc>
          <w:tcPr>
            <w:tcW w:w="6379" w:type="dxa"/>
            <w:gridSpan w:val="2"/>
            <w:shd w:val="clear" w:color="auto" w:fill="1F4E79" w:themeFill="accent5" w:themeFillShade="80"/>
            <w:vAlign w:val="center"/>
          </w:tcPr>
          <w:p w14:paraId="4687272F"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Performance</w:t>
            </w:r>
          </w:p>
        </w:tc>
        <w:tc>
          <w:tcPr>
            <w:tcW w:w="4253" w:type="dxa"/>
            <w:shd w:val="clear" w:color="auto" w:fill="1F4E79" w:themeFill="accent5" w:themeFillShade="80"/>
            <w:vAlign w:val="center"/>
          </w:tcPr>
          <w:p w14:paraId="49F70ABE"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Progress</w:t>
            </w:r>
          </w:p>
        </w:tc>
      </w:tr>
      <w:tr w:rsidR="00FF2F7C" w:rsidRPr="00FF2F7C" w14:paraId="03556648" w14:textId="77777777" w:rsidTr="00EA4598">
        <w:tc>
          <w:tcPr>
            <w:tcW w:w="6237" w:type="dxa"/>
          </w:tcPr>
          <w:p w14:paraId="082B4326" w14:textId="77777777" w:rsidR="00FF2F7C" w:rsidRPr="00FF2F7C" w:rsidRDefault="00FF2F7C" w:rsidP="00FF2F7C">
            <w:pPr>
              <w:jc w:val="center"/>
              <w:rPr>
                <w:rFonts w:asciiTheme="minorBidi" w:eastAsiaTheme="minorHAnsi" w:hAnsiTheme="minorBidi"/>
                <w:noProof/>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4A766723" wp14:editId="3B5F73E5">
                  <wp:extent cx="3652838" cy="2290763"/>
                  <wp:effectExtent l="0" t="0" r="5080" b="14605"/>
                  <wp:docPr id="36" name="Chart 36">
                    <a:extLst xmlns:a="http://schemas.openxmlformats.org/drawingml/2006/main">
                      <a:ext uri="{FF2B5EF4-FFF2-40B4-BE49-F238E27FC236}">
                        <a16:creationId xmlns:a16="http://schemas.microsoft.com/office/drawing/2014/main" id="{F022ADC3-A800-4A8E-BD8A-514800663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395" w:type="dxa"/>
            <w:gridSpan w:val="2"/>
          </w:tcPr>
          <w:p w14:paraId="7EBBBD2D" w14:textId="77777777" w:rsidR="00FF2F7C" w:rsidRPr="00FF2F7C" w:rsidRDefault="00FF2F7C" w:rsidP="00FF2F7C">
            <w:pPr>
              <w:rPr>
                <w:rFonts w:ascii="Arial" w:eastAsiaTheme="minorHAnsi" w:hAnsi="Arial" w:cs="Arial"/>
                <w:noProof/>
                <w:color w:val="1F4E79" w:themeColor="accent5" w:themeShade="80"/>
                <w:lang w:eastAsia="en-US"/>
              </w:rPr>
            </w:pPr>
            <w:r w:rsidRPr="00FF2F7C">
              <w:rPr>
                <w:rFonts w:ascii="Arial" w:eastAsiaTheme="minorHAnsi" w:hAnsi="Arial" w:cs="Arial"/>
                <w:noProof/>
                <w:color w:val="1F4E79" w:themeColor="accent5" w:themeShade="80"/>
                <w:lang w:eastAsia="en-US"/>
              </w:rPr>
              <w:t>Fife is performing well in comparison with other Councils. The results maintain Fife within the top quartile but we continue to strive for improvement and are introducing a new e-invoicing process to speed up the process even more. This will be fully developed after 2020 when the new Oracle Cloud Project is delivered.</w:t>
            </w:r>
          </w:p>
        </w:tc>
      </w:tr>
    </w:tbl>
    <w:p w14:paraId="7E41803D" w14:textId="77777777" w:rsidR="00FF2F7C" w:rsidRPr="00FF2F7C" w:rsidRDefault="00FF2F7C" w:rsidP="00FF2F7C">
      <w:pPr>
        <w:spacing w:before="0" w:after="0"/>
        <w:rPr>
          <w:rFonts w:asciiTheme="minorBidi" w:eastAsiaTheme="minorHAnsi" w:hAnsiTheme="minorBidi" w:cstheme="minorBidi"/>
          <w:color w:val="1F4E79" w:themeColor="accent5" w:themeShade="80"/>
          <w:szCs w:val="24"/>
          <w:lang w:eastAsia="en-US"/>
        </w:rPr>
      </w:pPr>
      <w:r w:rsidRPr="00FF2F7C">
        <w:rPr>
          <w:rFonts w:asciiTheme="minorBidi" w:eastAsiaTheme="minorHAnsi" w:hAnsiTheme="minorBidi" w:cstheme="minorBidi"/>
          <w:color w:val="1F4E79" w:themeColor="accent5" w:themeShade="80"/>
          <w:szCs w:val="24"/>
          <w:lang w:eastAsia="en-US"/>
        </w:rPr>
        <w:br w:type="page"/>
      </w:r>
    </w:p>
    <w:p w14:paraId="31E1AB2F" w14:textId="77777777" w:rsidR="00FF2F7C" w:rsidRPr="00FF2F7C" w:rsidRDefault="00FF2F7C" w:rsidP="00FF2F7C">
      <w:pPr>
        <w:rPr>
          <w:rFonts w:ascii="Arial" w:eastAsiaTheme="minorHAnsi" w:hAnsi="Arial" w:cs="Arial"/>
          <w:color w:val="1F4E79" w:themeColor="accent5" w:themeShade="80"/>
          <w:sz w:val="56"/>
          <w:szCs w:val="56"/>
          <w:lang w:eastAsia="en-US"/>
        </w:rPr>
      </w:pPr>
      <w:r w:rsidRPr="00FF2F7C">
        <w:rPr>
          <w:rFonts w:ascii="Arial" w:eastAsiaTheme="minorHAnsi" w:hAnsi="Arial" w:cs="Arial"/>
          <w:color w:val="1F4E79" w:themeColor="accent5" w:themeShade="80"/>
          <w:sz w:val="56"/>
          <w:szCs w:val="56"/>
          <w:lang w:eastAsia="en-US"/>
        </w:rPr>
        <w:lastRenderedPageBreak/>
        <w:t>Cost</w:t>
      </w:r>
    </w:p>
    <w:tbl>
      <w:tblPr>
        <w:tblStyle w:val="TableGrid1"/>
        <w:tblW w:w="10632"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firstRow="1" w:lastRow="0" w:firstColumn="1" w:lastColumn="0" w:noHBand="0" w:noVBand="1"/>
      </w:tblPr>
      <w:tblGrid>
        <w:gridCol w:w="6237"/>
        <w:gridCol w:w="4395"/>
      </w:tblGrid>
      <w:tr w:rsidR="00FF2F7C" w:rsidRPr="00FF2F7C" w14:paraId="457D0231" w14:textId="77777777" w:rsidTr="00EA4598">
        <w:tc>
          <w:tcPr>
            <w:tcW w:w="6237" w:type="dxa"/>
            <w:shd w:val="clear" w:color="auto" w:fill="1F4E79" w:themeFill="accent5" w:themeFillShade="80"/>
            <w:vAlign w:val="center"/>
          </w:tcPr>
          <w:p w14:paraId="397100C4"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Performance</w:t>
            </w:r>
          </w:p>
        </w:tc>
        <w:tc>
          <w:tcPr>
            <w:tcW w:w="4395" w:type="dxa"/>
            <w:shd w:val="clear" w:color="auto" w:fill="1F4E79" w:themeFill="accent5" w:themeFillShade="80"/>
            <w:vAlign w:val="center"/>
          </w:tcPr>
          <w:p w14:paraId="3F373F1D"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Progress</w:t>
            </w:r>
          </w:p>
        </w:tc>
      </w:tr>
      <w:tr w:rsidR="00FF2F7C" w:rsidRPr="00FF2F7C" w14:paraId="3C217291" w14:textId="77777777" w:rsidTr="00EA4598">
        <w:tc>
          <w:tcPr>
            <w:tcW w:w="6237" w:type="dxa"/>
          </w:tcPr>
          <w:p w14:paraId="67C9F6A7"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57EDEB49" wp14:editId="5D683A37">
                  <wp:extent cx="3671570" cy="2724150"/>
                  <wp:effectExtent l="0" t="0" r="5080" b="0"/>
                  <wp:docPr id="37" name="Chart 37">
                    <a:extLst xmlns:a="http://schemas.openxmlformats.org/drawingml/2006/main">
                      <a:ext uri="{FF2B5EF4-FFF2-40B4-BE49-F238E27FC236}">
                        <a16:creationId xmlns:a16="http://schemas.microsoft.com/office/drawing/2014/main" id="{E66C7EF7-3FA8-49A3-99DE-C4AE9504E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395" w:type="dxa"/>
          </w:tcPr>
          <w:p w14:paraId="4A08513D"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The total value of rent arrears increased by around 0.84% equivalent to around £500k in year. However this is within the context of the Universal Credit roll out to new applicants and to those with a change of circumstance. An improvement project conducted throughout the year led to improve joint working at the frontline between Housing and Revenues Services and a streamlining of the debt process. An additional £1.5m in growth was identified to bring forward measures to support tenants transition to Universal Credit and to mitigate the impact on the Housing Revenue Account.</w:t>
            </w:r>
          </w:p>
        </w:tc>
      </w:tr>
      <w:tr w:rsidR="00FF2F7C" w:rsidRPr="00FF2F7C" w14:paraId="271EA1F8" w14:textId="77777777" w:rsidTr="00EA4598">
        <w:tc>
          <w:tcPr>
            <w:tcW w:w="6237" w:type="dxa"/>
          </w:tcPr>
          <w:p w14:paraId="6A35039C"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028E4300" wp14:editId="26AD0382">
                  <wp:extent cx="3643313" cy="2281238"/>
                  <wp:effectExtent l="0" t="0" r="14605" b="5080"/>
                  <wp:docPr id="24" name="Chart 24">
                    <a:extLst xmlns:a="http://schemas.openxmlformats.org/drawingml/2006/main">
                      <a:ext uri="{FF2B5EF4-FFF2-40B4-BE49-F238E27FC236}">
                        <a16:creationId xmlns:a16="http://schemas.microsoft.com/office/drawing/2014/main" id="{EA9F0849-4C1A-40A2-B799-AC82482F9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395" w:type="dxa"/>
            <w:shd w:val="clear" w:color="auto" w:fill="FFFFFF" w:themeFill="background1"/>
          </w:tcPr>
          <w:p w14:paraId="0ED856D6" w14:textId="77777777" w:rsidR="00FF2F7C" w:rsidRPr="00FF2F7C" w:rsidRDefault="00FF2F7C" w:rsidP="00FF2F7C">
            <w:pPr>
              <w:rPr>
                <w:rFonts w:ascii="Arial" w:eastAsiaTheme="minorHAnsi" w:hAnsi="Arial" w:cs="Arial"/>
                <w:b/>
                <w:color w:val="1F4E79" w:themeColor="accent5" w:themeShade="80"/>
                <w:u w:val="single"/>
                <w:lang w:eastAsia="en-US"/>
              </w:rPr>
            </w:pPr>
            <w:r w:rsidRPr="00FF2F7C">
              <w:rPr>
                <w:rFonts w:ascii="Arial" w:eastAsiaTheme="minorHAnsi" w:hAnsi="Arial" w:cs="Arial"/>
                <w:b/>
                <w:color w:val="1F4E79" w:themeColor="accent5" w:themeShade="80"/>
                <w:u w:val="single"/>
                <w:lang w:eastAsia="en-US"/>
              </w:rPr>
              <w:t>Council-Wide Indicator</w:t>
            </w:r>
          </w:p>
          <w:p w14:paraId="1C87F715"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The level of uncommitted balances has decreased as a result of overspends and additional cost pressures being funded by General Fund Balances.  This means there is a reduced level of balances to manage financial risk and unplanned expenditure. A review of the level of commitments is being progressed to stabilise the level of balances held.</w:t>
            </w:r>
          </w:p>
        </w:tc>
      </w:tr>
      <w:tr w:rsidR="00FF2F7C" w:rsidRPr="00FF2F7C" w14:paraId="40FDB901" w14:textId="77777777" w:rsidTr="00EA4598">
        <w:trPr>
          <w:trHeight w:val="4214"/>
        </w:trPr>
        <w:tc>
          <w:tcPr>
            <w:tcW w:w="6237" w:type="dxa"/>
          </w:tcPr>
          <w:p w14:paraId="5D38698E" w14:textId="77777777" w:rsidR="00FF2F7C" w:rsidRPr="00FF2F7C" w:rsidRDefault="00FF2F7C" w:rsidP="00FF2F7C">
            <w:pPr>
              <w:jc w:val="center"/>
              <w:rPr>
                <w:rFonts w:asciiTheme="minorBidi" w:eastAsiaTheme="minorHAnsi" w:hAnsiTheme="minorBidi"/>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566C6805" wp14:editId="17DF77D6">
                  <wp:extent cx="3681095" cy="2514600"/>
                  <wp:effectExtent l="0" t="0" r="14605" b="0"/>
                  <wp:docPr id="38" name="Chart 38">
                    <a:extLst xmlns:a="http://schemas.openxmlformats.org/drawingml/2006/main">
                      <a:ext uri="{FF2B5EF4-FFF2-40B4-BE49-F238E27FC236}">
                        <a16:creationId xmlns:a16="http://schemas.microsoft.com/office/drawing/2014/main" id="{EF3FB9CA-A68F-4355-8103-10A689332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395" w:type="dxa"/>
            <w:shd w:val="clear" w:color="auto" w:fill="FFFFFF" w:themeFill="background1"/>
          </w:tcPr>
          <w:p w14:paraId="58364AD8" w14:textId="77777777" w:rsidR="00FF2F7C" w:rsidRPr="00FF2F7C" w:rsidRDefault="00FF2F7C" w:rsidP="00FF2F7C">
            <w:pPr>
              <w:rPr>
                <w:rFonts w:ascii="Arial" w:eastAsiaTheme="minorHAnsi" w:hAnsi="Arial" w:cs="Arial"/>
                <w:b/>
                <w:color w:val="1F4E79" w:themeColor="accent5" w:themeShade="80"/>
                <w:u w:val="single"/>
                <w:lang w:eastAsia="en-US"/>
              </w:rPr>
            </w:pPr>
            <w:r w:rsidRPr="00FF2F7C">
              <w:rPr>
                <w:rFonts w:ascii="Arial" w:eastAsiaTheme="minorHAnsi" w:hAnsi="Arial" w:cs="Arial"/>
                <w:b/>
                <w:color w:val="1F4E79" w:themeColor="accent5" w:themeShade="80"/>
                <w:u w:val="single"/>
                <w:lang w:eastAsia="en-US"/>
              </w:rPr>
              <w:t>Council-Wide Indicator</w:t>
            </w:r>
          </w:p>
          <w:p w14:paraId="35E22DA4" w14:textId="77777777" w:rsidR="00FF2F7C" w:rsidRPr="00FF2F7C" w:rsidRDefault="00FF2F7C" w:rsidP="00FF2F7C">
            <w:pPr>
              <w:rPr>
                <w:rFonts w:ascii="Arial" w:eastAsiaTheme="minorHAnsi" w:hAnsi="Arial" w:cs="Arial"/>
                <w:color w:val="1F4E79" w:themeColor="accent5" w:themeShade="80"/>
                <w:lang w:eastAsia="en-US"/>
              </w:rPr>
            </w:pPr>
            <w:r w:rsidRPr="00FF2F7C">
              <w:rPr>
                <w:rFonts w:ascii="Arial" w:eastAsiaTheme="minorHAnsi" w:hAnsi="Arial" w:cs="Arial"/>
                <w:color w:val="1F4E79" w:themeColor="accent5" w:themeShade="80"/>
                <w:lang w:eastAsia="en-US"/>
              </w:rPr>
              <w:t>There has been a real terms reduction in Central Support Service expenditure of 27.9% from 2010/11 to 2017/18.  This is mainly due to savings achieved, service reviews and restructuring in this area.  Clearer guidance from the Directors of Finance/Scottish Government on Support Service classifications has also contributed to the reduction in costs. This indicator includes customer service costs e.g. the costs of the Council’s contact centre.</w:t>
            </w:r>
          </w:p>
        </w:tc>
      </w:tr>
    </w:tbl>
    <w:p w14:paraId="60AF3FB1" w14:textId="77777777" w:rsidR="00FF2F7C" w:rsidRPr="00FF2F7C" w:rsidRDefault="00FF2F7C" w:rsidP="00FF2F7C">
      <w:pPr>
        <w:spacing w:before="0" w:after="0"/>
        <w:rPr>
          <w:rFonts w:asciiTheme="minorBidi" w:eastAsiaTheme="minorHAnsi" w:hAnsiTheme="minorBidi" w:cstheme="minorBidi"/>
          <w:color w:val="1F4E79" w:themeColor="accent5" w:themeShade="80"/>
          <w:szCs w:val="24"/>
          <w:lang w:eastAsia="en-US"/>
        </w:rPr>
      </w:pPr>
      <w:r w:rsidRPr="00FF2F7C">
        <w:rPr>
          <w:rFonts w:asciiTheme="minorBidi" w:eastAsiaTheme="minorHAnsi" w:hAnsiTheme="minorBidi" w:cstheme="minorBidi"/>
          <w:color w:val="1F4E79" w:themeColor="accent5" w:themeShade="80"/>
          <w:szCs w:val="24"/>
          <w:lang w:eastAsia="en-US"/>
        </w:rPr>
        <w:br w:type="page"/>
      </w:r>
    </w:p>
    <w:p w14:paraId="3E2B4B75" w14:textId="77777777" w:rsidR="00FF2F7C" w:rsidRPr="00FF2F7C" w:rsidRDefault="00FF2F7C" w:rsidP="00FF2F7C">
      <w:pPr>
        <w:rPr>
          <w:rFonts w:ascii="Arial" w:eastAsiaTheme="minorHAnsi" w:hAnsi="Arial" w:cs="Arial"/>
          <w:color w:val="1F4E79" w:themeColor="accent5" w:themeShade="80"/>
          <w:szCs w:val="24"/>
          <w:lang w:eastAsia="en-US"/>
        </w:rPr>
      </w:pPr>
      <w:r w:rsidRPr="00FF2F7C">
        <w:rPr>
          <w:rFonts w:ascii="Arial" w:eastAsiaTheme="minorHAnsi" w:hAnsi="Arial" w:cs="Arial"/>
          <w:color w:val="1F4E79" w:themeColor="accent5" w:themeShade="80"/>
          <w:sz w:val="56"/>
          <w:szCs w:val="56"/>
          <w:lang w:eastAsia="en-US"/>
        </w:rPr>
        <w:lastRenderedPageBreak/>
        <w:t>Cost – cont.</w:t>
      </w:r>
    </w:p>
    <w:tbl>
      <w:tblPr>
        <w:tblStyle w:val="TableGrid1"/>
        <w:tblW w:w="10633" w:type="dxa"/>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6258"/>
        <w:gridCol w:w="4375"/>
      </w:tblGrid>
      <w:tr w:rsidR="00FF2F7C" w:rsidRPr="00FF2F7C" w14:paraId="4E3C71CF" w14:textId="77777777" w:rsidTr="00EA4598">
        <w:tc>
          <w:tcPr>
            <w:tcW w:w="6258" w:type="dxa"/>
            <w:shd w:val="clear" w:color="auto" w:fill="1F4E79" w:themeFill="accent5" w:themeFillShade="80"/>
            <w:vAlign w:val="center"/>
          </w:tcPr>
          <w:p w14:paraId="1DFA9F66"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Performance</w:t>
            </w:r>
          </w:p>
        </w:tc>
        <w:tc>
          <w:tcPr>
            <w:tcW w:w="4375" w:type="dxa"/>
            <w:shd w:val="clear" w:color="auto" w:fill="1F4E79" w:themeFill="accent5" w:themeFillShade="80"/>
            <w:vAlign w:val="center"/>
          </w:tcPr>
          <w:p w14:paraId="32C1C201" w14:textId="77777777" w:rsidR="00FF2F7C" w:rsidRPr="00FF2F7C" w:rsidRDefault="00FF2F7C" w:rsidP="00FF2F7C">
            <w:pPr>
              <w:jc w:val="center"/>
              <w:rPr>
                <w:rFonts w:ascii="Arial" w:eastAsiaTheme="minorHAnsi" w:hAnsi="Arial" w:cs="Arial"/>
                <w:b/>
                <w:bCs/>
                <w:color w:val="FFFFFF" w:themeColor="background1"/>
                <w:lang w:eastAsia="en-US"/>
              </w:rPr>
            </w:pPr>
            <w:r w:rsidRPr="00FF2F7C">
              <w:rPr>
                <w:rFonts w:ascii="Arial" w:eastAsiaTheme="minorHAnsi" w:hAnsi="Arial" w:cs="Arial"/>
                <w:b/>
                <w:bCs/>
                <w:color w:val="FFFFFF" w:themeColor="background1"/>
                <w:lang w:eastAsia="en-US"/>
              </w:rPr>
              <w:t>Progress</w:t>
            </w:r>
          </w:p>
        </w:tc>
      </w:tr>
      <w:tr w:rsidR="00FF2F7C" w:rsidRPr="00FF2F7C" w14:paraId="544D27FB" w14:textId="77777777" w:rsidTr="00EA4598">
        <w:trPr>
          <w:trHeight w:val="4645"/>
        </w:trPr>
        <w:tc>
          <w:tcPr>
            <w:tcW w:w="6258" w:type="dxa"/>
          </w:tcPr>
          <w:p w14:paraId="7FE6FD0B" w14:textId="77777777" w:rsidR="00FF2F7C" w:rsidRPr="00FF2F7C" w:rsidRDefault="00FF2F7C" w:rsidP="00FF2F7C">
            <w:pPr>
              <w:jc w:val="center"/>
              <w:rPr>
                <w:rFonts w:asciiTheme="minorBidi" w:eastAsiaTheme="minorHAnsi" w:hAnsiTheme="minorBidi"/>
                <w:color w:val="1F4E79" w:themeColor="accent5" w:themeShade="80"/>
                <w:lang w:eastAsia="en-US"/>
              </w:rPr>
            </w:pPr>
            <w:bookmarkStart w:id="7" w:name="_GoBack" w:colFirst="1" w:colLast="1"/>
            <w:r w:rsidRPr="00FF2F7C">
              <w:rPr>
                <w:rFonts w:asciiTheme="minorBidi" w:eastAsiaTheme="minorHAnsi" w:hAnsiTheme="minorBidi"/>
                <w:noProof/>
                <w:color w:val="1F4E79" w:themeColor="accent5" w:themeShade="80"/>
              </w:rPr>
              <w:drawing>
                <wp:inline distT="0" distB="0" distL="0" distR="0" wp14:anchorId="7305156B" wp14:editId="2513B16B">
                  <wp:extent cx="3642995" cy="2667000"/>
                  <wp:effectExtent l="0" t="0" r="14605" b="0"/>
                  <wp:docPr id="39" name="Chart 39">
                    <a:extLst xmlns:a="http://schemas.openxmlformats.org/drawingml/2006/main">
                      <a:ext uri="{FF2B5EF4-FFF2-40B4-BE49-F238E27FC236}">
                        <a16:creationId xmlns:a16="http://schemas.microsoft.com/office/drawing/2014/main" id="{88ECDDE9-B7A4-48B1-9D2D-80F6628524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375" w:type="dxa"/>
            <w:shd w:val="clear" w:color="auto" w:fill="FFFFFF" w:themeFill="background1"/>
          </w:tcPr>
          <w:p w14:paraId="5B868FF2" w14:textId="77777777" w:rsidR="00FF2F7C" w:rsidRPr="00FF2F7C" w:rsidRDefault="00FF2F7C" w:rsidP="00FF2F7C">
            <w:pPr>
              <w:rPr>
                <w:rFonts w:ascii="Arial" w:eastAsiaTheme="minorHAnsi" w:hAnsi="Arial" w:cs="Arial"/>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 xml:space="preserve">Fife Council has achieved the lowest level of council tax collection costs for a number of years. This is partly due to the way we deliver the service and the way we apportion the costs.  </w:t>
            </w:r>
          </w:p>
        </w:tc>
      </w:tr>
      <w:tr w:rsidR="00FF2F7C" w:rsidRPr="00FF2F7C" w14:paraId="0C616FA8" w14:textId="77777777" w:rsidTr="00EA4598">
        <w:tc>
          <w:tcPr>
            <w:tcW w:w="6258" w:type="dxa"/>
          </w:tcPr>
          <w:p w14:paraId="2F03A5B2" w14:textId="77777777" w:rsidR="00FF2F7C" w:rsidRPr="00FF2F7C" w:rsidRDefault="00FF2F7C" w:rsidP="00FF2F7C">
            <w:pPr>
              <w:jc w:val="center"/>
              <w:rPr>
                <w:rFonts w:asciiTheme="minorBidi" w:eastAsiaTheme="minorHAnsi" w:hAnsiTheme="minorBidi"/>
                <w:noProof/>
                <w:color w:val="1F4E79" w:themeColor="accent5" w:themeShade="80"/>
              </w:rPr>
            </w:pPr>
            <w:r w:rsidRPr="00FF2F7C">
              <w:rPr>
                <w:rFonts w:asciiTheme="minorBidi" w:eastAsiaTheme="minorHAnsi" w:hAnsiTheme="minorBidi"/>
                <w:noProof/>
                <w:color w:val="1F4E79" w:themeColor="accent5" w:themeShade="80"/>
              </w:rPr>
              <w:drawing>
                <wp:inline distT="0" distB="0" distL="0" distR="0" wp14:anchorId="7F8A1FF9" wp14:editId="70F985F2">
                  <wp:extent cx="3652520" cy="2000250"/>
                  <wp:effectExtent l="0" t="0" r="5080" b="0"/>
                  <wp:docPr id="21" name="Chart 21">
                    <a:extLst xmlns:a="http://schemas.openxmlformats.org/drawingml/2006/main">
                      <a:ext uri="{FF2B5EF4-FFF2-40B4-BE49-F238E27FC236}">
                        <a16:creationId xmlns:a16="http://schemas.microsoft.com/office/drawing/2014/main" id="{9F8102C4-6105-44F1-8685-93FFD7264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375" w:type="dxa"/>
            <w:shd w:val="clear" w:color="auto" w:fill="FFFFFF" w:themeFill="background1"/>
            <w:vAlign w:val="center"/>
          </w:tcPr>
          <w:p w14:paraId="39F86B84" w14:textId="77777777" w:rsidR="00FF2F7C" w:rsidRPr="00FF2F7C" w:rsidRDefault="00FF2F7C" w:rsidP="00FF2F7C">
            <w:pPr>
              <w:rPr>
                <w:rFonts w:ascii="Arial" w:eastAsiaTheme="minorHAnsi" w:hAnsi="Arial" w:cs="Arial"/>
                <w:b/>
                <w:color w:val="1F4E79" w:themeColor="accent5" w:themeShade="80"/>
                <w:sz w:val="22"/>
                <w:szCs w:val="22"/>
                <w:u w:val="single"/>
                <w:lang w:eastAsia="en-US"/>
              </w:rPr>
            </w:pPr>
            <w:r w:rsidRPr="00FF2F7C">
              <w:rPr>
                <w:rFonts w:ascii="Arial" w:eastAsiaTheme="minorHAnsi" w:hAnsi="Arial" w:cs="Arial"/>
                <w:b/>
                <w:color w:val="1F4E79" w:themeColor="accent5" w:themeShade="80"/>
                <w:sz w:val="22"/>
                <w:szCs w:val="22"/>
                <w:u w:val="single"/>
                <w:lang w:eastAsia="en-US"/>
              </w:rPr>
              <w:t>Council-Wide Indicator</w:t>
            </w:r>
          </w:p>
          <w:p w14:paraId="0A41763B" w14:textId="77777777" w:rsidR="00FF2F7C" w:rsidRPr="00FF2F7C" w:rsidRDefault="00FF2F7C" w:rsidP="00FF2F7C">
            <w:pPr>
              <w:rPr>
                <w:rFonts w:ascii="Arial" w:eastAsiaTheme="minorHAnsi" w:hAnsi="Arial" w:cs="Arial"/>
                <w:color w:val="1F4E79" w:themeColor="accent5" w:themeShade="80"/>
                <w:sz w:val="22"/>
                <w:szCs w:val="22"/>
                <w:lang w:eastAsia="en-US"/>
              </w:rPr>
            </w:pPr>
            <w:r w:rsidRPr="00FF2F7C">
              <w:rPr>
                <w:rFonts w:ascii="Arial" w:eastAsiaTheme="minorHAnsi" w:hAnsi="Arial" w:cs="Arial"/>
                <w:color w:val="1F4E79" w:themeColor="accent5" w:themeShade="80"/>
                <w:sz w:val="22"/>
                <w:szCs w:val="22"/>
                <w:lang w:eastAsia="en-US"/>
              </w:rPr>
              <w:t>The level of slippage is a measure of capital expenditure against the planned capital programme.  This has improved over the last 3 years. The Capital Programme is monitored by the Investment Strategy Group and action taken to maximise spend and improve projections. Resources have been dedicated to support Services with programme and project management in order to minimise slippage.</w:t>
            </w:r>
          </w:p>
        </w:tc>
      </w:tr>
      <w:tr w:rsidR="00FF2F7C" w:rsidRPr="00FF2F7C" w14:paraId="47E6B64B" w14:textId="77777777" w:rsidTr="00EA4598">
        <w:trPr>
          <w:trHeight w:val="4648"/>
        </w:trPr>
        <w:tc>
          <w:tcPr>
            <w:tcW w:w="6258" w:type="dxa"/>
          </w:tcPr>
          <w:p w14:paraId="110538AE" w14:textId="77777777" w:rsidR="00FF2F7C" w:rsidRPr="00FF2F7C" w:rsidRDefault="00FF2F7C" w:rsidP="00FF2F7C">
            <w:pPr>
              <w:jc w:val="center"/>
              <w:rPr>
                <w:rFonts w:asciiTheme="minorBidi" w:eastAsiaTheme="minorHAnsi" w:hAnsiTheme="minorBidi"/>
                <w:noProof/>
                <w:color w:val="1F4E79" w:themeColor="accent5" w:themeShade="80"/>
                <w:lang w:eastAsia="en-US"/>
              </w:rPr>
            </w:pPr>
            <w:r w:rsidRPr="00FF2F7C">
              <w:rPr>
                <w:rFonts w:asciiTheme="minorBidi" w:eastAsiaTheme="minorHAnsi" w:hAnsiTheme="minorBidi"/>
                <w:noProof/>
                <w:color w:val="1F4E79" w:themeColor="accent5" w:themeShade="80"/>
              </w:rPr>
              <w:drawing>
                <wp:inline distT="0" distB="0" distL="0" distR="0" wp14:anchorId="2F9483BC" wp14:editId="6F8E8FA5">
                  <wp:extent cx="3652520" cy="2705100"/>
                  <wp:effectExtent l="0" t="0" r="5080" b="0"/>
                  <wp:docPr id="23" name="Chart 23">
                    <a:extLst xmlns:a="http://schemas.openxmlformats.org/drawingml/2006/main">
                      <a:ext uri="{FF2B5EF4-FFF2-40B4-BE49-F238E27FC236}">
                        <a16:creationId xmlns:a16="http://schemas.microsoft.com/office/drawing/2014/main" id="{F53E110A-3768-48B8-97DD-B4075C30B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375" w:type="dxa"/>
            <w:shd w:val="clear" w:color="auto" w:fill="FFFFFF" w:themeFill="background1"/>
          </w:tcPr>
          <w:p w14:paraId="105C2AFA" w14:textId="77777777" w:rsidR="00FF2F7C" w:rsidRPr="00FF2F7C" w:rsidRDefault="00FF2F7C" w:rsidP="00FF2F7C">
            <w:pPr>
              <w:rPr>
                <w:rFonts w:ascii="Arial" w:eastAsiaTheme="minorHAnsi" w:hAnsi="Arial" w:cs="Arial"/>
                <w:b/>
                <w:color w:val="1F4E79" w:themeColor="accent5" w:themeShade="80"/>
                <w:sz w:val="22"/>
                <w:szCs w:val="22"/>
                <w:u w:val="single"/>
                <w:lang w:eastAsia="en-US"/>
              </w:rPr>
            </w:pPr>
            <w:r w:rsidRPr="00FF2F7C">
              <w:rPr>
                <w:rFonts w:ascii="Arial" w:eastAsiaTheme="minorHAnsi" w:hAnsi="Arial" w:cs="Arial"/>
                <w:b/>
                <w:color w:val="1F4E79" w:themeColor="accent5" w:themeShade="80"/>
                <w:sz w:val="22"/>
                <w:szCs w:val="22"/>
                <w:u w:val="single"/>
                <w:lang w:eastAsia="en-US"/>
              </w:rPr>
              <w:t>Council-Wide Indicator</w:t>
            </w:r>
          </w:p>
          <w:p w14:paraId="3AE98267" w14:textId="77777777" w:rsidR="00FF2F7C" w:rsidRPr="00FF2F7C" w:rsidRDefault="00FF2F7C" w:rsidP="00FF2F7C">
            <w:pPr>
              <w:rPr>
                <w:rFonts w:ascii="Arial" w:eastAsiaTheme="minorHAnsi" w:hAnsi="Arial" w:cs="Arial"/>
                <w:sz w:val="22"/>
                <w:szCs w:val="22"/>
                <w:lang w:eastAsia="en-US"/>
              </w:rPr>
            </w:pPr>
            <w:r w:rsidRPr="00FF2F7C">
              <w:rPr>
                <w:rFonts w:ascii="Arial" w:eastAsiaTheme="minorHAnsi" w:hAnsi="Arial" w:cs="Arial"/>
                <w:color w:val="1F4E79" w:themeColor="accent5" w:themeShade="80"/>
                <w:sz w:val="22"/>
                <w:szCs w:val="22"/>
                <w:lang w:eastAsia="en-US"/>
              </w:rPr>
              <w:t xml:space="preserve">For the previous 3 years, the Council has contained expenditure within the budget overall, however in 2018/19 there was a slight overspend.  The Council has strong financial controls in place to minimise the level of overspends and underspends. However, going forward the challenge to do so will increase. </w:t>
            </w:r>
          </w:p>
          <w:p w14:paraId="2B3C6B22" w14:textId="77777777" w:rsidR="00FF2F7C" w:rsidRPr="00FF2F7C" w:rsidRDefault="00FF2F7C" w:rsidP="00FF2F7C">
            <w:pPr>
              <w:rPr>
                <w:rFonts w:ascii="Arial" w:eastAsiaTheme="minorHAnsi" w:hAnsi="Arial" w:cs="Arial"/>
                <w:color w:val="1F4E79" w:themeColor="accent5" w:themeShade="80"/>
                <w:sz w:val="22"/>
                <w:szCs w:val="22"/>
                <w:lang w:eastAsia="en-US"/>
              </w:rPr>
            </w:pPr>
          </w:p>
        </w:tc>
      </w:tr>
    </w:tbl>
    <w:bookmarkEnd w:id="7"/>
    <w:p w14:paraId="78EC24E6" w14:textId="77777777" w:rsidR="00FF2F7C" w:rsidRPr="00FF2F7C" w:rsidRDefault="00FF2F7C" w:rsidP="00FF2F7C">
      <w:pPr>
        <w:rPr>
          <w:rFonts w:asciiTheme="minorBidi" w:eastAsiaTheme="minorHAnsi" w:hAnsiTheme="minorBidi" w:cstheme="minorBidi"/>
          <w:color w:val="1F4E79" w:themeColor="accent5" w:themeShade="80"/>
          <w:szCs w:val="24"/>
          <w:lang w:eastAsia="en-US"/>
        </w:rPr>
      </w:pPr>
      <w:r w:rsidRPr="00FF2F7C">
        <w:rPr>
          <w:rFonts w:asciiTheme="minorBidi" w:eastAsiaTheme="minorHAnsi" w:hAnsiTheme="minorBidi" w:cstheme="minorBidi"/>
          <w:color w:val="1F4E79" w:themeColor="accent5" w:themeShade="80"/>
          <w:szCs w:val="24"/>
          <w:lang w:eastAsia="en-US"/>
        </w:rPr>
        <w:tab/>
      </w:r>
      <w:r w:rsidRPr="00FF2F7C">
        <w:rPr>
          <w:rFonts w:asciiTheme="minorBidi" w:eastAsiaTheme="minorHAnsi" w:hAnsiTheme="minorBidi" w:cstheme="minorBidi"/>
          <w:color w:val="1F4E79" w:themeColor="accent5" w:themeShade="80"/>
          <w:szCs w:val="24"/>
          <w:lang w:eastAsia="en-US"/>
        </w:rPr>
        <w:tab/>
      </w:r>
      <w:r w:rsidRPr="00FF2F7C">
        <w:rPr>
          <w:rFonts w:asciiTheme="minorBidi" w:eastAsiaTheme="minorHAnsi" w:hAnsiTheme="minorBidi" w:cstheme="minorBidi"/>
          <w:color w:val="1F4E79" w:themeColor="accent5" w:themeShade="80"/>
          <w:szCs w:val="24"/>
          <w:lang w:eastAsia="en-US"/>
        </w:rPr>
        <w:tab/>
      </w:r>
      <w:r w:rsidRPr="00FF2F7C">
        <w:rPr>
          <w:rFonts w:asciiTheme="minorBidi" w:eastAsiaTheme="minorHAnsi" w:hAnsiTheme="minorBidi" w:cstheme="minorBidi"/>
          <w:color w:val="1F4E79" w:themeColor="accent5" w:themeShade="80"/>
          <w:szCs w:val="24"/>
          <w:lang w:eastAsia="en-US"/>
        </w:rPr>
        <w:tab/>
      </w:r>
    </w:p>
    <w:p w14:paraId="6E829FDA" w14:textId="77777777" w:rsidR="00FF2F7C" w:rsidRPr="00910BBF" w:rsidRDefault="00FF2F7C" w:rsidP="008B7AEF">
      <w:pPr>
        <w:spacing w:before="0" w:after="0"/>
        <w:rPr>
          <w:szCs w:val="24"/>
        </w:rPr>
      </w:pPr>
    </w:p>
    <w:sectPr w:rsidR="00FF2F7C" w:rsidRPr="00910BBF" w:rsidSect="00313576">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0D08B" w14:textId="77777777" w:rsidR="00F71104" w:rsidRDefault="00F71104">
      <w:r>
        <w:separator/>
      </w:r>
    </w:p>
  </w:endnote>
  <w:endnote w:type="continuationSeparator" w:id="0">
    <w:p w14:paraId="5E76BCA7" w14:textId="77777777" w:rsidR="00F71104" w:rsidRDefault="00F71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tone Sans">
    <w:altName w:val="Stone Sans"/>
    <w:panose1 w:val="00000000000000000000"/>
    <w:charset w:val="00"/>
    <w:family w:val="swiss"/>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4049E" w14:textId="77777777" w:rsidR="00F71104" w:rsidRDefault="00F71104">
      <w:r>
        <w:separator/>
      </w:r>
    </w:p>
  </w:footnote>
  <w:footnote w:type="continuationSeparator" w:id="0">
    <w:p w14:paraId="23129F08" w14:textId="77777777" w:rsidR="00F71104" w:rsidRDefault="00F71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A766BBB"/>
    <w:multiLevelType w:val="hybridMultilevel"/>
    <w:tmpl w:val="20722B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27769"/>
    <w:multiLevelType w:val="multilevel"/>
    <w:tmpl w:val="FE1E739C"/>
    <w:lvl w:ilvl="0">
      <w:start w:val="1"/>
      <w:numFmt w:val="decimal"/>
      <w:pStyle w:val="NumberedList4"/>
      <w:lvlText w:val="%1."/>
      <w:lvlJc w:val="left"/>
      <w:pPr>
        <w:tabs>
          <w:tab w:val="num" w:pos="360"/>
        </w:tabs>
        <w:ind w:left="360" w:hanging="360"/>
      </w:pPr>
      <w:rPr>
        <w:rFonts w:hint="default"/>
      </w:rPr>
    </w:lvl>
    <w:lvl w:ilvl="1">
      <w:start w:val="1"/>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E533627"/>
    <w:multiLevelType w:val="hybridMultilevel"/>
    <w:tmpl w:val="3056DC58"/>
    <w:lvl w:ilvl="0" w:tplc="1CDA2E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5736D6"/>
    <w:multiLevelType w:val="hybridMultilevel"/>
    <w:tmpl w:val="BAFCD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FF3D88"/>
    <w:multiLevelType w:val="multilevel"/>
    <w:tmpl w:val="A75E61C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AFB527F"/>
    <w:multiLevelType w:val="multilevel"/>
    <w:tmpl w:val="3E34B372"/>
    <w:lvl w:ilvl="0">
      <w:start w:val="1"/>
      <w:numFmt w:val="decimal"/>
      <w:lvlText w:val="%1."/>
      <w:lvlJc w:val="left"/>
      <w:pPr>
        <w:ind w:left="1080" w:hanging="360"/>
      </w:pPr>
      <w:rPr>
        <w:rFonts w:hint="default"/>
      </w:rPr>
    </w:lvl>
    <w:lvl w:ilvl="1">
      <w:start w:val="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3204C4C"/>
    <w:multiLevelType w:val="hybridMultilevel"/>
    <w:tmpl w:val="A9EC3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491394"/>
    <w:multiLevelType w:val="multilevel"/>
    <w:tmpl w:val="CAE2BBE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CD0173"/>
    <w:multiLevelType w:val="hybridMultilevel"/>
    <w:tmpl w:val="7CFA2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681F7E"/>
    <w:multiLevelType w:val="hybridMultilevel"/>
    <w:tmpl w:val="AB00B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B31D8"/>
    <w:multiLevelType w:val="hybridMultilevel"/>
    <w:tmpl w:val="E88A8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7828A8"/>
    <w:multiLevelType w:val="multilevel"/>
    <w:tmpl w:val="EDE2B5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510283"/>
    <w:multiLevelType w:val="hybridMultilevel"/>
    <w:tmpl w:val="CDA00E6C"/>
    <w:lvl w:ilvl="0" w:tplc="2C60B148">
      <w:numFmt w:val="bullet"/>
      <w:lvlText w:val=""/>
      <w:lvlJc w:val="left"/>
      <w:pPr>
        <w:ind w:left="1080" w:hanging="360"/>
      </w:pPr>
      <w:rPr>
        <w:rFonts w:ascii="SymbolMT" w:eastAsia="SymbolMT" w:hAnsi="Arial" w:cs="SymbolMT" w:hint="eastAsi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0D42FB"/>
    <w:multiLevelType w:val="multilevel"/>
    <w:tmpl w:val="9F64273C"/>
    <w:lvl w:ilvl="0">
      <w:start w:val="1"/>
      <w:numFmt w:val="decimal"/>
      <w:lvlText w:val="%1"/>
      <w:lvlJc w:val="left"/>
      <w:pPr>
        <w:ind w:left="780" w:hanging="780"/>
      </w:pPr>
      <w:rPr>
        <w:rFonts w:hint="default"/>
        <w:color w:val="000000"/>
        <w:sz w:val="24"/>
      </w:rPr>
    </w:lvl>
    <w:lvl w:ilvl="1">
      <w:start w:val="1"/>
      <w:numFmt w:val="decimal"/>
      <w:lvlText w:val="%1.%2"/>
      <w:lvlJc w:val="left"/>
      <w:pPr>
        <w:ind w:left="780" w:hanging="780"/>
      </w:pPr>
      <w:rPr>
        <w:rFonts w:hint="default"/>
        <w:color w:val="000000"/>
        <w:sz w:val="24"/>
      </w:rPr>
    </w:lvl>
    <w:lvl w:ilvl="2">
      <w:start w:val="1"/>
      <w:numFmt w:val="decimal"/>
      <w:lvlText w:val="%1.%2.%3"/>
      <w:lvlJc w:val="left"/>
      <w:pPr>
        <w:ind w:left="780" w:hanging="780"/>
      </w:pPr>
      <w:rPr>
        <w:rFonts w:hint="default"/>
        <w:color w:val="000000"/>
        <w:sz w:val="24"/>
      </w:rPr>
    </w:lvl>
    <w:lvl w:ilvl="3">
      <w:start w:val="1"/>
      <w:numFmt w:val="decimal"/>
      <w:lvlText w:val="%1.%2.%3.%4"/>
      <w:lvlJc w:val="left"/>
      <w:pPr>
        <w:ind w:left="780" w:hanging="78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440" w:hanging="144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800" w:hanging="1800"/>
      </w:pPr>
      <w:rPr>
        <w:rFonts w:hint="default"/>
        <w:color w:val="000000"/>
        <w:sz w:val="24"/>
      </w:rPr>
    </w:lvl>
    <w:lvl w:ilvl="8">
      <w:start w:val="1"/>
      <w:numFmt w:val="decimal"/>
      <w:lvlText w:val="%1.%2.%3.%4.%5.%6.%7.%8.%9"/>
      <w:lvlJc w:val="left"/>
      <w:pPr>
        <w:ind w:left="1800" w:hanging="1800"/>
      </w:pPr>
      <w:rPr>
        <w:rFonts w:hint="default"/>
        <w:color w:val="000000"/>
        <w:sz w:val="24"/>
      </w:rPr>
    </w:lvl>
  </w:abstractNum>
  <w:abstractNum w:abstractNumId="14" w15:restartNumberingAfterBreak="0">
    <w:nsid w:val="3DEC3F89"/>
    <w:multiLevelType w:val="multilevel"/>
    <w:tmpl w:val="718EBBC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0538F9"/>
    <w:multiLevelType w:val="hybridMultilevel"/>
    <w:tmpl w:val="D626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0E4E6D"/>
    <w:multiLevelType w:val="hybridMultilevel"/>
    <w:tmpl w:val="B7F48BD6"/>
    <w:lvl w:ilvl="0" w:tplc="048815E8">
      <w:start w:val="1"/>
      <w:numFmt w:val="decimal"/>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E317CB3"/>
    <w:multiLevelType w:val="hybridMultilevel"/>
    <w:tmpl w:val="D85CFD48"/>
    <w:lvl w:ilvl="0" w:tplc="08090001">
      <w:start w:val="1"/>
      <w:numFmt w:val="bullet"/>
      <w:lvlText w:val=""/>
      <w:lvlJc w:val="left"/>
      <w:pPr>
        <w:ind w:left="11226" w:hanging="360"/>
      </w:pPr>
      <w:rPr>
        <w:rFonts w:ascii="Symbol" w:hAnsi="Symbol" w:hint="default"/>
      </w:rPr>
    </w:lvl>
    <w:lvl w:ilvl="1" w:tplc="08090003">
      <w:start w:val="1"/>
      <w:numFmt w:val="bullet"/>
      <w:lvlText w:val="o"/>
      <w:lvlJc w:val="left"/>
      <w:pPr>
        <w:ind w:left="11946" w:hanging="360"/>
      </w:pPr>
      <w:rPr>
        <w:rFonts w:ascii="Courier New" w:hAnsi="Courier New" w:cs="Courier New" w:hint="default"/>
      </w:rPr>
    </w:lvl>
    <w:lvl w:ilvl="2" w:tplc="08090005" w:tentative="1">
      <w:start w:val="1"/>
      <w:numFmt w:val="bullet"/>
      <w:lvlText w:val=""/>
      <w:lvlJc w:val="left"/>
      <w:pPr>
        <w:ind w:left="12666" w:hanging="360"/>
      </w:pPr>
      <w:rPr>
        <w:rFonts w:ascii="Wingdings" w:hAnsi="Wingdings" w:hint="default"/>
      </w:rPr>
    </w:lvl>
    <w:lvl w:ilvl="3" w:tplc="08090001" w:tentative="1">
      <w:start w:val="1"/>
      <w:numFmt w:val="bullet"/>
      <w:lvlText w:val=""/>
      <w:lvlJc w:val="left"/>
      <w:pPr>
        <w:ind w:left="13386" w:hanging="360"/>
      </w:pPr>
      <w:rPr>
        <w:rFonts w:ascii="Symbol" w:hAnsi="Symbol" w:hint="default"/>
      </w:rPr>
    </w:lvl>
    <w:lvl w:ilvl="4" w:tplc="08090003" w:tentative="1">
      <w:start w:val="1"/>
      <w:numFmt w:val="bullet"/>
      <w:lvlText w:val="o"/>
      <w:lvlJc w:val="left"/>
      <w:pPr>
        <w:ind w:left="14106" w:hanging="360"/>
      </w:pPr>
      <w:rPr>
        <w:rFonts w:ascii="Courier New" w:hAnsi="Courier New" w:cs="Courier New" w:hint="default"/>
      </w:rPr>
    </w:lvl>
    <w:lvl w:ilvl="5" w:tplc="08090005" w:tentative="1">
      <w:start w:val="1"/>
      <w:numFmt w:val="bullet"/>
      <w:lvlText w:val=""/>
      <w:lvlJc w:val="left"/>
      <w:pPr>
        <w:ind w:left="14826" w:hanging="360"/>
      </w:pPr>
      <w:rPr>
        <w:rFonts w:ascii="Wingdings" w:hAnsi="Wingdings" w:hint="default"/>
      </w:rPr>
    </w:lvl>
    <w:lvl w:ilvl="6" w:tplc="08090001" w:tentative="1">
      <w:start w:val="1"/>
      <w:numFmt w:val="bullet"/>
      <w:lvlText w:val=""/>
      <w:lvlJc w:val="left"/>
      <w:pPr>
        <w:ind w:left="15546" w:hanging="360"/>
      </w:pPr>
      <w:rPr>
        <w:rFonts w:ascii="Symbol" w:hAnsi="Symbol" w:hint="default"/>
      </w:rPr>
    </w:lvl>
    <w:lvl w:ilvl="7" w:tplc="08090003" w:tentative="1">
      <w:start w:val="1"/>
      <w:numFmt w:val="bullet"/>
      <w:lvlText w:val="o"/>
      <w:lvlJc w:val="left"/>
      <w:pPr>
        <w:ind w:left="16266" w:hanging="360"/>
      </w:pPr>
      <w:rPr>
        <w:rFonts w:ascii="Courier New" w:hAnsi="Courier New" w:cs="Courier New" w:hint="default"/>
      </w:rPr>
    </w:lvl>
    <w:lvl w:ilvl="8" w:tplc="08090005" w:tentative="1">
      <w:start w:val="1"/>
      <w:numFmt w:val="bullet"/>
      <w:lvlText w:val=""/>
      <w:lvlJc w:val="left"/>
      <w:pPr>
        <w:ind w:left="16986" w:hanging="360"/>
      </w:pPr>
      <w:rPr>
        <w:rFonts w:ascii="Wingdings" w:hAnsi="Wingdings" w:hint="default"/>
      </w:rPr>
    </w:lvl>
  </w:abstractNum>
  <w:abstractNum w:abstractNumId="18" w15:restartNumberingAfterBreak="0">
    <w:nsid w:val="50D372BD"/>
    <w:multiLevelType w:val="multilevel"/>
    <w:tmpl w:val="EB42F3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8672AF6"/>
    <w:multiLevelType w:val="hybridMultilevel"/>
    <w:tmpl w:val="9258DBF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5C05054F"/>
    <w:multiLevelType w:val="hybridMultilevel"/>
    <w:tmpl w:val="BCAA4D0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4E7758"/>
    <w:multiLevelType w:val="hybridMultilevel"/>
    <w:tmpl w:val="76A4E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0603CE"/>
    <w:multiLevelType w:val="hybridMultilevel"/>
    <w:tmpl w:val="84BCC9FE"/>
    <w:lvl w:ilvl="0" w:tplc="8A4E5D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4C809A7"/>
    <w:multiLevelType w:val="multilevel"/>
    <w:tmpl w:val="104EC67E"/>
    <w:lvl w:ilvl="0">
      <w:start w:val="3"/>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4DC2AC9"/>
    <w:multiLevelType w:val="multilevel"/>
    <w:tmpl w:val="C53C18CC"/>
    <w:lvl w:ilvl="0">
      <w:start w:val="2"/>
      <w:numFmt w:val="decimal"/>
      <w:lvlText w:val="%1.0"/>
      <w:lvlJc w:val="left"/>
      <w:pPr>
        <w:ind w:left="495" w:hanging="495"/>
      </w:pPr>
      <w:rPr>
        <w:rFonts w:cs="Times New Roman" w:hint="default"/>
        <w:b/>
        <w:sz w:val="36"/>
      </w:rPr>
    </w:lvl>
    <w:lvl w:ilvl="1">
      <w:start w:val="1"/>
      <w:numFmt w:val="decimal"/>
      <w:lvlText w:val="%1.%2"/>
      <w:lvlJc w:val="left"/>
      <w:pPr>
        <w:ind w:left="1215" w:hanging="495"/>
      </w:pPr>
      <w:rPr>
        <w:rFonts w:cs="Times New Roman" w:hint="default"/>
        <w:b/>
        <w:sz w:val="36"/>
      </w:rPr>
    </w:lvl>
    <w:lvl w:ilvl="2">
      <w:start w:val="1"/>
      <w:numFmt w:val="decimal"/>
      <w:lvlText w:val="%1.%2.%3"/>
      <w:lvlJc w:val="left"/>
      <w:pPr>
        <w:ind w:left="2160" w:hanging="720"/>
      </w:pPr>
      <w:rPr>
        <w:rFonts w:cs="Times New Roman" w:hint="default"/>
        <w:b/>
        <w:sz w:val="36"/>
      </w:rPr>
    </w:lvl>
    <w:lvl w:ilvl="3">
      <w:start w:val="1"/>
      <w:numFmt w:val="decimal"/>
      <w:lvlText w:val="%1.%2.%3.%4"/>
      <w:lvlJc w:val="left"/>
      <w:pPr>
        <w:ind w:left="3240" w:hanging="1080"/>
      </w:pPr>
      <w:rPr>
        <w:rFonts w:cs="Times New Roman" w:hint="default"/>
        <w:b/>
        <w:sz w:val="36"/>
      </w:rPr>
    </w:lvl>
    <w:lvl w:ilvl="4">
      <w:start w:val="1"/>
      <w:numFmt w:val="decimal"/>
      <w:lvlText w:val="%1.%2.%3.%4.%5"/>
      <w:lvlJc w:val="left"/>
      <w:pPr>
        <w:ind w:left="3960" w:hanging="1080"/>
      </w:pPr>
      <w:rPr>
        <w:rFonts w:cs="Times New Roman" w:hint="default"/>
        <w:b/>
        <w:sz w:val="36"/>
      </w:rPr>
    </w:lvl>
    <w:lvl w:ilvl="5">
      <w:start w:val="1"/>
      <w:numFmt w:val="decimal"/>
      <w:lvlText w:val="%1.%2.%3.%4.%5.%6"/>
      <w:lvlJc w:val="left"/>
      <w:pPr>
        <w:ind w:left="5040" w:hanging="1440"/>
      </w:pPr>
      <w:rPr>
        <w:rFonts w:cs="Times New Roman" w:hint="default"/>
        <w:b/>
        <w:sz w:val="36"/>
      </w:rPr>
    </w:lvl>
    <w:lvl w:ilvl="6">
      <w:start w:val="1"/>
      <w:numFmt w:val="decimal"/>
      <w:lvlText w:val="%1.%2.%3.%4.%5.%6.%7"/>
      <w:lvlJc w:val="left"/>
      <w:pPr>
        <w:ind w:left="5760" w:hanging="1440"/>
      </w:pPr>
      <w:rPr>
        <w:rFonts w:cs="Times New Roman" w:hint="default"/>
        <w:b/>
        <w:sz w:val="36"/>
      </w:rPr>
    </w:lvl>
    <w:lvl w:ilvl="7">
      <w:start w:val="1"/>
      <w:numFmt w:val="decimal"/>
      <w:lvlText w:val="%1.%2.%3.%4.%5.%6.%7.%8"/>
      <w:lvlJc w:val="left"/>
      <w:pPr>
        <w:ind w:left="6840" w:hanging="1800"/>
      </w:pPr>
      <w:rPr>
        <w:rFonts w:cs="Times New Roman" w:hint="default"/>
        <w:b/>
        <w:sz w:val="36"/>
      </w:rPr>
    </w:lvl>
    <w:lvl w:ilvl="8">
      <w:start w:val="1"/>
      <w:numFmt w:val="decimal"/>
      <w:lvlText w:val="%1.%2.%3.%4.%5.%6.%7.%8.%9"/>
      <w:lvlJc w:val="left"/>
      <w:pPr>
        <w:ind w:left="7560" w:hanging="1800"/>
      </w:pPr>
      <w:rPr>
        <w:rFonts w:cs="Times New Roman" w:hint="default"/>
        <w:b/>
        <w:sz w:val="36"/>
      </w:rPr>
    </w:lvl>
  </w:abstractNum>
  <w:abstractNum w:abstractNumId="25" w15:restartNumberingAfterBreak="0">
    <w:nsid w:val="6C2E5FDE"/>
    <w:multiLevelType w:val="hybridMultilevel"/>
    <w:tmpl w:val="F7564D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4A7F7B"/>
    <w:multiLevelType w:val="hybridMultilevel"/>
    <w:tmpl w:val="A2401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EA3769"/>
    <w:multiLevelType w:val="hybridMultilevel"/>
    <w:tmpl w:val="6F0CBB76"/>
    <w:lvl w:ilvl="0" w:tplc="4BEAE1C2">
      <w:start w:val="1"/>
      <w:numFmt w:val="lowerLetter"/>
      <w:lvlText w:val="%1)"/>
      <w:lvlJc w:val="left"/>
      <w:pPr>
        <w:ind w:left="1080" w:hanging="360"/>
      </w:pPr>
      <w:rPr>
        <w:rFonts w:ascii="Helvetica" w:eastAsia="Times" w:hAnsi="Helvetica"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9352F79"/>
    <w:multiLevelType w:val="multilevel"/>
    <w:tmpl w:val="FF807026"/>
    <w:lvl w:ilvl="0">
      <w:start w:val="1"/>
      <w:numFmt w:val="decimal"/>
      <w:lvlText w:val="%1"/>
      <w:lvlJc w:val="left"/>
      <w:pPr>
        <w:ind w:left="495" w:hanging="495"/>
      </w:pPr>
      <w:rPr>
        <w:rFonts w:hint="default"/>
        <w:b w:val="0"/>
        <w:color w:val="000000"/>
        <w:sz w:val="24"/>
      </w:rPr>
    </w:lvl>
    <w:lvl w:ilvl="1">
      <w:start w:val="1"/>
      <w:numFmt w:val="decimal"/>
      <w:lvlText w:val="%1.%2"/>
      <w:lvlJc w:val="left"/>
      <w:pPr>
        <w:ind w:left="495" w:hanging="495"/>
      </w:pPr>
      <w:rPr>
        <w:rFonts w:hint="default"/>
        <w:b w:val="0"/>
        <w:color w:val="000000"/>
        <w:sz w:val="24"/>
      </w:rPr>
    </w:lvl>
    <w:lvl w:ilvl="2">
      <w:start w:val="1"/>
      <w:numFmt w:val="decimal"/>
      <w:lvlText w:val="%1.%2.%3"/>
      <w:lvlJc w:val="left"/>
      <w:pPr>
        <w:ind w:left="720" w:hanging="720"/>
      </w:pPr>
      <w:rPr>
        <w:rFonts w:hint="default"/>
        <w:b w:val="0"/>
        <w:color w:val="000000"/>
        <w:sz w:val="24"/>
      </w:rPr>
    </w:lvl>
    <w:lvl w:ilvl="3">
      <w:start w:val="1"/>
      <w:numFmt w:val="decimal"/>
      <w:lvlText w:val="%1.%2.%3.%4"/>
      <w:lvlJc w:val="left"/>
      <w:pPr>
        <w:ind w:left="720" w:hanging="720"/>
      </w:pPr>
      <w:rPr>
        <w:rFonts w:hint="default"/>
        <w:b w:val="0"/>
        <w:color w:val="000000"/>
        <w:sz w:val="24"/>
      </w:rPr>
    </w:lvl>
    <w:lvl w:ilvl="4">
      <w:start w:val="1"/>
      <w:numFmt w:val="decimal"/>
      <w:lvlText w:val="%1.%2.%3.%4.%5"/>
      <w:lvlJc w:val="left"/>
      <w:pPr>
        <w:ind w:left="1080" w:hanging="1080"/>
      </w:pPr>
      <w:rPr>
        <w:rFonts w:hint="default"/>
        <w:b w:val="0"/>
        <w:color w:val="000000"/>
        <w:sz w:val="24"/>
      </w:rPr>
    </w:lvl>
    <w:lvl w:ilvl="5">
      <w:start w:val="1"/>
      <w:numFmt w:val="decimal"/>
      <w:lvlText w:val="%1.%2.%3.%4.%5.%6"/>
      <w:lvlJc w:val="left"/>
      <w:pPr>
        <w:ind w:left="1440" w:hanging="1440"/>
      </w:pPr>
      <w:rPr>
        <w:rFonts w:hint="default"/>
        <w:b w:val="0"/>
        <w:color w:val="000000"/>
        <w:sz w:val="24"/>
      </w:rPr>
    </w:lvl>
    <w:lvl w:ilvl="6">
      <w:start w:val="1"/>
      <w:numFmt w:val="decimal"/>
      <w:lvlText w:val="%1.%2.%3.%4.%5.%6.%7"/>
      <w:lvlJc w:val="left"/>
      <w:pPr>
        <w:ind w:left="1440" w:hanging="1440"/>
      </w:pPr>
      <w:rPr>
        <w:rFonts w:hint="default"/>
        <w:b w:val="0"/>
        <w:color w:val="000000"/>
        <w:sz w:val="24"/>
      </w:rPr>
    </w:lvl>
    <w:lvl w:ilvl="7">
      <w:start w:val="1"/>
      <w:numFmt w:val="decimal"/>
      <w:lvlText w:val="%1.%2.%3.%4.%5.%6.%7.%8"/>
      <w:lvlJc w:val="left"/>
      <w:pPr>
        <w:ind w:left="1800" w:hanging="1800"/>
      </w:pPr>
      <w:rPr>
        <w:rFonts w:hint="default"/>
        <w:b w:val="0"/>
        <w:color w:val="000000"/>
        <w:sz w:val="24"/>
      </w:rPr>
    </w:lvl>
    <w:lvl w:ilvl="8">
      <w:start w:val="1"/>
      <w:numFmt w:val="decimal"/>
      <w:lvlText w:val="%1.%2.%3.%4.%5.%6.%7.%8.%9"/>
      <w:lvlJc w:val="left"/>
      <w:pPr>
        <w:ind w:left="1800" w:hanging="1800"/>
      </w:pPr>
      <w:rPr>
        <w:rFonts w:hint="default"/>
        <w:b w:val="0"/>
        <w:color w:val="000000"/>
        <w:sz w:val="24"/>
      </w:rPr>
    </w:lvl>
  </w:abstractNum>
  <w:num w:numId="1">
    <w:abstractNumId w:val="1"/>
  </w:num>
  <w:num w:numId="2">
    <w:abstractNumId w:val="14"/>
  </w:num>
  <w:num w:numId="3">
    <w:abstractNumId w:val="17"/>
  </w:num>
  <w:num w:numId="4">
    <w:abstractNumId w:val="23"/>
  </w:num>
  <w:num w:numId="5">
    <w:abstractNumId w:val="11"/>
  </w:num>
  <w:num w:numId="6">
    <w:abstractNumId w:val="19"/>
  </w:num>
  <w:num w:numId="7">
    <w:abstractNumId w:val="7"/>
  </w:num>
  <w:num w:numId="8">
    <w:abstractNumId w:val="26"/>
  </w:num>
  <w:num w:numId="9">
    <w:abstractNumId w:val="12"/>
  </w:num>
  <w:num w:numId="10">
    <w:abstractNumId w:val="4"/>
  </w:num>
  <w:num w:numId="11">
    <w:abstractNumId w:val="27"/>
  </w:num>
  <w:num w:numId="12">
    <w:abstractNumId w:val="28"/>
  </w:num>
  <w:num w:numId="13">
    <w:abstractNumId w:val="13"/>
  </w:num>
  <w:num w:numId="14">
    <w:abstractNumId w:val="18"/>
  </w:num>
  <w:num w:numId="15">
    <w:abstractNumId w:val="2"/>
  </w:num>
  <w:num w:numId="16">
    <w:abstractNumId w:val="10"/>
  </w:num>
  <w:num w:numId="17">
    <w:abstractNumId w:val="22"/>
  </w:num>
  <w:num w:numId="18">
    <w:abstractNumId w:val="15"/>
  </w:num>
  <w:num w:numId="19">
    <w:abstractNumId w:val="20"/>
  </w:num>
  <w:num w:numId="20">
    <w:abstractNumId w:val="5"/>
  </w:num>
  <w:num w:numId="21">
    <w:abstractNumId w:val="16"/>
  </w:num>
  <w:num w:numId="22">
    <w:abstractNumId w:val="25"/>
  </w:num>
  <w:num w:numId="23">
    <w:abstractNumId w:val="24"/>
  </w:num>
  <w:num w:numId="24">
    <w:abstractNumId w:val="0"/>
  </w:num>
  <w:num w:numId="25">
    <w:abstractNumId w:val="21"/>
  </w:num>
  <w:num w:numId="26">
    <w:abstractNumId w:val="9"/>
  </w:num>
  <w:num w:numId="27">
    <w:abstractNumId w:val="3"/>
  </w:num>
  <w:num w:numId="28">
    <w:abstractNumId w:val="6"/>
  </w:num>
  <w:num w:numId="2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C08"/>
    <w:rsid w:val="00000860"/>
    <w:rsid w:val="00001073"/>
    <w:rsid w:val="00001665"/>
    <w:rsid w:val="00002138"/>
    <w:rsid w:val="00002C42"/>
    <w:rsid w:val="000062A8"/>
    <w:rsid w:val="00006D87"/>
    <w:rsid w:val="00007631"/>
    <w:rsid w:val="00007A1A"/>
    <w:rsid w:val="00007B49"/>
    <w:rsid w:val="000108C6"/>
    <w:rsid w:val="0001191A"/>
    <w:rsid w:val="00011968"/>
    <w:rsid w:val="00011E02"/>
    <w:rsid w:val="000125B1"/>
    <w:rsid w:val="000133CB"/>
    <w:rsid w:val="000146B9"/>
    <w:rsid w:val="00022694"/>
    <w:rsid w:val="000228F5"/>
    <w:rsid w:val="00023336"/>
    <w:rsid w:val="0002371B"/>
    <w:rsid w:val="00025434"/>
    <w:rsid w:val="00025E8A"/>
    <w:rsid w:val="0002638E"/>
    <w:rsid w:val="00027CA5"/>
    <w:rsid w:val="0003033A"/>
    <w:rsid w:val="00030B94"/>
    <w:rsid w:val="0003194B"/>
    <w:rsid w:val="00031EF8"/>
    <w:rsid w:val="000335CB"/>
    <w:rsid w:val="000336BD"/>
    <w:rsid w:val="00037753"/>
    <w:rsid w:val="00037AB9"/>
    <w:rsid w:val="00037ACF"/>
    <w:rsid w:val="00040A65"/>
    <w:rsid w:val="000425E9"/>
    <w:rsid w:val="00042ACD"/>
    <w:rsid w:val="00043E1E"/>
    <w:rsid w:val="0004481E"/>
    <w:rsid w:val="0004510A"/>
    <w:rsid w:val="000452C1"/>
    <w:rsid w:val="00045739"/>
    <w:rsid w:val="000474A7"/>
    <w:rsid w:val="00047819"/>
    <w:rsid w:val="0005119B"/>
    <w:rsid w:val="000532D5"/>
    <w:rsid w:val="0005334E"/>
    <w:rsid w:val="0005592F"/>
    <w:rsid w:val="00056702"/>
    <w:rsid w:val="00056B39"/>
    <w:rsid w:val="000571BF"/>
    <w:rsid w:val="0006019F"/>
    <w:rsid w:val="00060D58"/>
    <w:rsid w:val="00061466"/>
    <w:rsid w:val="0006335A"/>
    <w:rsid w:val="00063E54"/>
    <w:rsid w:val="00064325"/>
    <w:rsid w:val="00065055"/>
    <w:rsid w:val="00065CAC"/>
    <w:rsid w:val="00066995"/>
    <w:rsid w:val="0006736D"/>
    <w:rsid w:val="000701F5"/>
    <w:rsid w:val="000704D5"/>
    <w:rsid w:val="00071207"/>
    <w:rsid w:val="00071D0F"/>
    <w:rsid w:val="0007263E"/>
    <w:rsid w:val="00072BF4"/>
    <w:rsid w:val="0007352D"/>
    <w:rsid w:val="00074624"/>
    <w:rsid w:val="00074861"/>
    <w:rsid w:val="0007599E"/>
    <w:rsid w:val="00076001"/>
    <w:rsid w:val="000761A9"/>
    <w:rsid w:val="00077492"/>
    <w:rsid w:val="0007793C"/>
    <w:rsid w:val="00080110"/>
    <w:rsid w:val="000813F1"/>
    <w:rsid w:val="0008174F"/>
    <w:rsid w:val="00083D78"/>
    <w:rsid w:val="0008508C"/>
    <w:rsid w:val="000855C9"/>
    <w:rsid w:val="000858A1"/>
    <w:rsid w:val="000860FA"/>
    <w:rsid w:val="000865F8"/>
    <w:rsid w:val="00086A2F"/>
    <w:rsid w:val="00086BCB"/>
    <w:rsid w:val="0008715E"/>
    <w:rsid w:val="00091DDC"/>
    <w:rsid w:val="0009223E"/>
    <w:rsid w:val="000932CB"/>
    <w:rsid w:val="0009444F"/>
    <w:rsid w:val="0009667B"/>
    <w:rsid w:val="00097366"/>
    <w:rsid w:val="00097399"/>
    <w:rsid w:val="000A0CCA"/>
    <w:rsid w:val="000A1C30"/>
    <w:rsid w:val="000A1ECC"/>
    <w:rsid w:val="000A2223"/>
    <w:rsid w:val="000A3A94"/>
    <w:rsid w:val="000A3F11"/>
    <w:rsid w:val="000A4267"/>
    <w:rsid w:val="000A42C7"/>
    <w:rsid w:val="000A5524"/>
    <w:rsid w:val="000A5AD9"/>
    <w:rsid w:val="000A67CC"/>
    <w:rsid w:val="000A69B3"/>
    <w:rsid w:val="000A7836"/>
    <w:rsid w:val="000A7C6F"/>
    <w:rsid w:val="000B15CC"/>
    <w:rsid w:val="000B1A8F"/>
    <w:rsid w:val="000B4B49"/>
    <w:rsid w:val="000B7240"/>
    <w:rsid w:val="000C054D"/>
    <w:rsid w:val="000C1D35"/>
    <w:rsid w:val="000C2D0D"/>
    <w:rsid w:val="000C366E"/>
    <w:rsid w:val="000C3D21"/>
    <w:rsid w:val="000C4709"/>
    <w:rsid w:val="000C5184"/>
    <w:rsid w:val="000C59EB"/>
    <w:rsid w:val="000C5B7F"/>
    <w:rsid w:val="000D0F44"/>
    <w:rsid w:val="000D171B"/>
    <w:rsid w:val="000D24BF"/>
    <w:rsid w:val="000D3E37"/>
    <w:rsid w:val="000D4C48"/>
    <w:rsid w:val="000D4DA2"/>
    <w:rsid w:val="000D647C"/>
    <w:rsid w:val="000D709B"/>
    <w:rsid w:val="000E0C3E"/>
    <w:rsid w:val="000E1230"/>
    <w:rsid w:val="000E359F"/>
    <w:rsid w:val="000E3EE7"/>
    <w:rsid w:val="000E456C"/>
    <w:rsid w:val="000E4ABF"/>
    <w:rsid w:val="000E5301"/>
    <w:rsid w:val="000E5C88"/>
    <w:rsid w:val="000E702A"/>
    <w:rsid w:val="000F2663"/>
    <w:rsid w:val="000F38BA"/>
    <w:rsid w:val="000F549B"/>
    <w:rsid w:val="000F5650"/>
    <w:rsid w:val="000F6095"/>
    <w:rsid w:val="000F642C"/>
    <w:rsid w:val="000F6F96"/>
    <w:rsid w:val="00100A0E"/>
    <w:rsid w:val="00100F79"/>
    <w:rsid w:val="0010109A"/>
    <w:rsid w:val="0010149D"/>
    <w:rsid w:val="00101527"/>
    <w:rsid w:val="00101BD1"/>
    <w:rsid w:val="00104147"/>
    <w:rsid w:val="0010441D"/>
    <w:rsid w:val="00106779"/>
    <w:rsid w:val="001069B9"/>
    <w:rsid w:val="0010784A"/>
    <w:rsid w:val="00110403"/>
    <w:rsid w:val="00110AB4"/>
    <w:rsid w:val="00112DCD"/>
    <w:rsid w:val="00114D6A"/>
    <w:rsid w:val="00115569"/>
    <w:rsid w:val="00116E69"/>
    <w:rsid w:val="0011718D"/>
    <w:rsid w:val="00120371"/>
    <w:rsid w:val="00121E2D"/>
    <w:rsid w:val="00122223"/>
    <w:rsid w:val="00122DAE"/>
    <w:rsid w:val="0012428D"/>
    <w:rsid w:val="00132179"/>
    <w:rsid w:val="0013385C"/>
    <w:rsid w:val="00133F49"/>
    <w:rsid w:val="0013464E"/>
    <w:rsid w:val="0013542D"/>
    <w:rsid w:val="001402CF"/>
    <w:rsid w:val="001418F2"/>
    <w:rsid w:val="001432BB"/>
    <w:rsid w:val="00144EC6"/>
    <w:rsid w:val="00145EFD"/>
    <w:rsid w:val="00146EB2"/>
    <w:rsid w:val="00147469"/>
    <w:rsid w:val="00147C38"/>
    <w:rsid w:val="00147D6F"/>
    <w:rsid w:val="001509A7"/>
    <w:rsid w:val="00150C2E"/>
    <w:rsid w:val="00152CA6"/>
    <w:rsid w:val="00153338"/>
    <w:rsid w:val="00153486"/>
    <w:rsid w:val="00154F3F"/>
    <w:rsid w:val="00156A9B"/>
    <w:rsid w:val="001617C6"/>
    <w:rsid w:val="00161949"/>
    <w:rsid w:val="00165031"/>
    <w:rsid w:val="0016540C"/>
    <w:rsid w:val="001674F6"/>
    <w:rsid w:val="00170A4F"/>
    <w:rsid w:val="00171B3A"/>
    <w:rsid w:val="00171DE3"/>
    <w:rsid w:val="00173E9E"/>
    <w:rsid w:val="0017408A"/>
    <w:rsid w:val="00177B2C"/>
    <w:rsid w:val="00180738"/>
    <w:rsid w:val="0018096F"/>
    <w:rsid w:val="00180A34"/>
    <w:rsid w:val="00180D71"/>
    <w:rsid w:val="00181456"/>
    <w:rsid w:val="00181EC0"/>
    <w:rsid w:val="0018391E"/>
    <w:rsid w:val="00184322"/>
    <w:rsid w:val="00185309"/>
    <w:rsid w:val="00186A0F"/>
    <w:rsid w:val="00190F79"/>
    <w:rsid w:val="001927FC"/>
    <w:rsid w:val="001930DE"/>
    <w:rsid w:val="00193B24"/>
    <w:rsid w:val="00193D67"/>
    <w:rsid w:val="00195F25"/>
    <w:rsid w:val="00196208"/>
    <w:rsid w:val="001A0A5E"/>
    <w:rsid w:val="001A2321"/>
    <w:rsid w:val="001A2D0D"/>
    <w:rsid w:val="001A3F08"/>
    <w:rsid w:val="001A443F"/>
    <w:rsid w:val="001A5857"/>
    <w:rsid w:val="001A5E0C"/>
    <w:rsid w:val="001A5FE1"/>
    <w:rsid w:val="001A7F45"/>
    <w:rsid w:val="001B00CD"/>
    <w:rsid w:val="001B0AD3"/>
    <w:rsid w:val="001B0AE9"/>
    <w:rsid w:val="001B0BB1"/>
    <w:rsid w:val="001B0DAD"/>
    <w:rsid w:val="001B1746"/>
    <w:rsid w:val="001B34D0"/>
    <w:rsid w:val="001B38D6"/>
    <w:rsid w:val="001B6A09"/>
    <w:rsid w:val="001C0DC5"/>
    <w:rsid w:val="001C356D"/>
    <w:rsid w:val="001C3F16"/>
    <w:rsid w:val="001C4715"/>
    <w:rsid w:val="001C541F"/>
    <w:rsid w:val="001C6190"/>
    <w:rsid w:val="001C7DA1"/>
    <w:rsid w:val="001D0F2A"/>
    <w:rsid w:val="001D13BA"/>
    <w:rsid w:val="001D23EC"/>
    <w:rsid w:val="001D261C"/>
    <w:rsid w:val="001D315D"/>
    <w:rsid w:val="001D420A"/>
    <w:rsid w:val="001D479B"/>
    <w:rsid w:val="001D5820"/>
    <w:rsid w:val="001D5F25"/>
    <w:rsid w:val="001D758F"/>
    <w:rsid w:val="001E0D6D"/>
    <w:rsid w:val="001E2E6D"/>
    <w:rsid w:val="001E6FC4"/>
    <w:rsid w:val="001F23B0"/>
    <w:rsid w:val="001F477A"/>
    <w:rsid w:val="001F4F99"/>
    <w:rsid w:val="001F4F9E"/>
    <w:rsid w:val="001F5DD2"/>
    <w:rsid w:val="001F77B9"/>
    <w:rsid w:val="001F7B37"/>
    <w:rsid w:val="002018E8"/>
    <w:rsid w:val="00201C37"/>
    <w:rsid w:val="00202B2A"/>
    <w:rsid w:val="00202D8E"/>
    <w:rsid w:val="00204065"/>
    <w:rsid w:val="0020458F"/>
    <w:rsid w:val="00207984"/>
    <w:rsid w:val="002103A5"/>
    <w:rsid w:val="00210EB6"/>
    <w:rsid w:val="00211146"/>
    <w:rsid w:val="002125C9"/>
    <w:rsid w:val="00212A68"/>
    <w:rsid w:val="00214265"/>
    <w:rsid w:val="002149BB"/>
    <w:rsid w:val="0021557D"/>
    <w:rsid w:val="002157C1"/>
    <w:rsid w:val="00216397"/>
    <w:rsid w:val="002175BB"/>
    <w:rsid w:val="00220A84"/>
    <w:rsid w:val="00220DF1"/>
    <w:rsid w:val="002219D5"/>
    <w:rsid w:val="00221BBB"/>
    <w:rsid w:val="002234CA"/>
    <w:rsid w:val="00223BD4"/>
    <w:rsid w:val="00227586"/>
    <w:rsid w:val="002275BB"/>
    <w:rsid w:val="00231E55"/>
    <w:rsid w:val="002321AC"/>
    <w:rsid w:val="00232B9C"/>
    <w:rsid w:val="002339B4"/>
    <w:rsid w:val="0023459D"/>
    <w:rsid w:val="00235C8E"/>
    <w:rsid w:val="00236501"/>
    <w:rsid w:val="00237326"/>
    <w:rsid w:val="00241A4C"/>
    <w:rsid w:val="00241EEC"/>
    <w:rsid w:val="002423E2"/>
    <w:rsid w:val="00242972"/>
    <w:rsid w:val="00242978"/>
    <w:rsid w:val="00242C09"/>
    <w:rsid w:val="0024331E"/>
    <w:rsid w:val="002434C4"/>
    <w:rsid w:val="00245254"/>
    <w:rsid w:val="00246DFD"/>
    <w:rsid w:val="00247571"/>
    <w:rsid w:val="00247BA8"/>
    <w:rsid w:val="0025098F"/>
    <w:rsid w:val="002511E8"/>
    <w:rsid w:val="002512E1"/>
    <w:rsid w:val="00252019"/>
    <w:rsid w:val="00253BE3"/>
    <w:rsid w:val="00254CEA"/>
    <w:rsid w:val="002577F4"/>
    <w:rsid w:val="00260375"/>
    <w:rsid w:val="00261DB3"/>
    <w:rsid w:val="00262BFD"/>
    <w:rsid w:val="00265298"/>
    <w:rsid w:val="00265668"/>
    <w:rsid w:val="00265E08"/>
    <w:rsid w:val="00266333"/>
    <w:rsid w:val="00267015"/>
    <w:rsid w:val="00267405"/>
    <w:rsid w:val="002675F2"/>
    <w:rsid w:val="00270401"/>
    <w:rsid w:val="00272DC8"/>
    <w:rsid w:val="00273520"/>
    <w:rsid w:val="00274DEE"/>
    <w:rsid w:val="00277E1E"/>
    <w:rsid w:val="002810D1"/>
    <w:rsid w:val="0028164F"/>
    <w:rsid w:val="00282032"/>
    <w:rsid w:val="00284BBC"/>
    <w:rsid w:val="0029157C"/>
    <w:rsid w:val="00293A02"/>
    <w:rsid w:val="0029452C"/>
    <w:rsid w:val="00294B88"/>
    <w:rsid w:val="0029702E"/>
    <w:rsid w:val="00297560"/>
    <w:rsid w:val="00297BBD"/>
    <w:rsid w:val="00297D74"/>
    <w:rsid w:val="002A02E9"/>
    <w:rsid w:val="002A201A"/>
    <w:rsid w:val="002A264C"/>
    <w:rsid w:val="002A4412"/>
    <w:rsid w:val="002B0C29"/>
    <w:rsid w:val="002B2107"/>
    <w:rsid w:val="002B2DDF"/>
    <w:rsid w:val="002B3387"/>
    <w:rsid w:val="002B353D"/>
    <w:rsid w:val="002B3C1A"/>
    <w:rsid w:val="002B6935"/>
    <w:rsid w:val="002B73D9"/>
    <w:rsid w:val="002B7FA0"/>
    <w:rsid w:val="002C2826"/>
    <w:rsid w:val="002C386E"/>
    <w:rsid w:val="002C4672"/>
    <w:rsid w:val="002C57E0"/>
    <w:rsid w:val="002C5F4A"/>
    <w:rsid w:val="002C6537"/>
    <w:rsid w:val="002C7621"/>
    <w:rsid w:val="002D0F80"/>
    <w:rsid w:val="002D19C3"/>
    <w:rsid w:val="002D365A"/>
    <w:rsid w:val="002D6A47"/>
    <w:rsid w:val="002D73AB"/>
    <w:rsid w:val="002E16D9"/>
    <w:rsid w:val="002E16E3"/>
    <w:rsid w:val="002E1A15"/>
    <w:rsid w:val="002E1BAB"/>
    <w:rsid w:val="002E275B"/>
    <w:rsid w:val="002E27F7"/>
    <w:rsid w:val="002E28E3"/>
    <w:rsid w:val="002E301F"/>
    <w:rsid w:val="002E328D"/>
    <w:rsid w:val="002E3748"/>
    <w:rsid w:val="002E37B8"/>
    <w:rsid w:val="002E438B"/>
    <w:rsid w:val="002E56D6"/>
    <w:rsid w:val="002E6C34"/>
    <w:rsid w:val="002F0164"/>
    <w:rsid w:val="002F137E"/>
    <w:rsid w:val="002F23E7"/>
    <w:rsid w:val="002F3464"/>
    <w:rsid w:val="002F5BFE"/>
    <w:rsid w:val="0030238C"/>
    <w:rsid w:val="00302BE6"/>
    <w:rsid w:val="00303AE4"/>
    <w:rsid w:val="00304567"/>
    <w:rsid w:val="00305039"/>
    <w:rsid w:val="00305832"/>
    <w:rsid w:val="003067F0"/>
    <w:rsid w:val="00306B6D"/>
    <w:rsid w:val="003114C4"/>
    <w:rsid w:val="003117EE"/>
    <w:rsid w:val="00313576"/>
    <w:rsid w:val="00313CBB"/>
    <w:rsid w:val="003155B0"/>
    <w:rsid w:val="00315A3F"/>
    <w:rsid w:val="00316BB0"/>
    <w:rsid w:val="0031708F"/>
    <w:rsid w:val="003174EC"/>
    <w:rsid w:val="00317850"/>
    <w:rsid w:val="00323AD2"/>
    <w:rsid w:val="00323F00"/>
    <w:rsid w:val="00324158"/>
    <w:rsid w:val="00324F9C"/>
    <w:rsid w:val="00326B8A"/>
    <w:rsid w:val="003273EE"/>
    <w:rsid w:val="003314ED"/>
    <w:rsid w:val="003317B0"/>
    <w:rsid w:val="00331B39"/>
    <w:rsid w:val="0033257B"/>
    <w:rsid w:val="00332C60"/>
    <w:rsid w:val="00335D1F"/>
    <w:rsid w:val="00335DEA"/>
    <w:rsid w:val="00337EC9"/>
    <w:rsid w:val="00340EC0"/>
    <w:rsid w:val="00341FF6"/>
    <w:rsid w:val="0034434D"/>
    <w:rsid w:val="00344EB0"/>
    <w:rsid w:val="0034691C"/>
    <w:rsid w:val="00347FA9"/>
    <w:rsid w:val="003504D1"/>
    <w:rsid w:val="0035098E"/>
    <w:rsid w:val="00351F8D"/>
    <w:rsid w:val="003520A6"/>
    <w:rsid w:val="00352997"/>
    <w:rsid w:val="00352B85"/>
    <w:rsid w:val="00354932"/>
    <w:rsid w:val="0035575E"/>
    <w:rsid w:val="00355B5B"/>
    <w:rsid w:val="003561EA"/>
    <w:rsid w:val="00357DC1"/>
    <w:rsid w:val="003601F1"/>
    <w:rsid w:val="003604B7"/>
    <w:rsid w:val="00360A46"/>
    <w:rsid w:val="00360F35"/>
    <w:rsid w:val="0036108A"/>
    <w:rsid w:val="00362FAD"/>
    <w:rsid w:val="003630B4"/>
    <w:rsid w:val="003633D5"/>
    <w:rsid w:val="003652AC"/>
    <w:rsid w:val="00365C85"/>
    <w:rsid w:val="00367333"/>
    <w:rsid w:val="003676F6"/>
    <w:rsid w:val="00367B81"/>
    <w:rsid w:val="00370D91"/>
    <w:rsid w:val="00371018"/>
    <w:rsid w:val="00372994"/>
    <w:rsid w:val="00373741"/>
    <w:rsid w:val="00373B8E"/>
    <w:rsid w:val="00374D1E"/>
    <w:rsid w:val="003750F2"/>
    <w:rsid w:val="00377D22"/>
    <w:rsid w:val="003802C3"/>
    <w:rsid w:val="00381078"/>
    <w:rsid w:val="003832B4"/>
    <w:rsid w:val="00383A89"/>
    <w:rsid w:val="00384000"/>
    <w:rsid w:val="003853B3"/>
    <w:rsid w:val="00385522"/>
    <w:rsid w:val="00385FA4"/>
    <w:rsid w:val="0038700D"/>
    <w:rsid w:val="00390932"/>
    <w:rsid w:val="003911EC"/>
    <w:rsid w:val="00392EB0"/>
    <w:rsid w:val="00394534"/>
    <w:rsid w:val="003952B3"/>
    <w:rsid w:val="0039762D"/>
    <w:rsid w:val="00397D45"/>
    <w:rsid w:val="00397F11"/>
    <w:rsid w:val="003A18EE"/>
    <w:rsid w:val="003A2259"/>
    <w:rsid w:val="003A2503"/>
    <w:rsid w:val="003A4B9C"/>
    <w:rsid w:val="003A56ED"/>
    <w:rsid w:val="003A70A8"/>
    <w:rsid w:val="003A73DF"/>
    <w:rsid w:val="003A789E"/>
    <w:rsid w:val="003A7EFA"/>
    <w:rsid w:val="003B1ADA"/>
    <w:rsid w:val="003B2B9A"/>
    <w:rsid w:val="003B35D6"/>
    <w:rsid w:val="003B470D"/>
    <w:rsid w:val="003B5230"/>
    <w:rsid w:val="003B525E"/>
    <w:rsid w:val="003B5480"/>
    <w:rsid w:val="003B5CD6"/>
    <w:rsid w:val="003B6F31"/>
    <w:rsid w:val="003B785B"/>
    <w:rsid w:val="003C0615"/>
    <w:rsid w:val="003C134F"/>
    <w:rsid w:val="003C289B"/>
    <w:rsid w:val="003C2C4D"/>
    <w:rsid w:val="003C6043"/>
    <w:rsid w:val="003D1402"/>
    <w:rsid w:val="003D2962"/>
    <w:rsid w:val="003D2FCB"/>
    <w:rsid w:val="003D34B3"/>
    <w:rsid w:val="003D54AD"/>
    <w:rsid w:val="003D579C"/>
    <w:rsid w:val="003D6752"/>
    <w:rsid w:val="003E4FEF"/>
    <w:rsid w:val="003E6058"/>
    <w:rsid w:val="003E631E"/>
    <w:rsid w:val="003E7D99"/>
    <w:rsid w:val="003E7F32"/>
    <w:rsid w:val="003F04E4"/>
    <w:rsid w:val="003F10F7"/>
    <w:rsid w:val="003F22B5"/>
    <w:rsid w:val="003F263E"/>
    <w:rsid w:val="003F30B3"/>
    <w:rsid w:val="003F390F"/>
    <w:rsid w:val="003F3999"/>
    <w:rsid w:val="003F6265"/>
    <w:rsid w:val="004007C9"/>
    <w:rsid w:val="00401374"/>
    <w:rsid w:val="00402077"/>
    <w:rsid w:val="004049D8"/>
    <w:rsid w:val="00405C9D"/>
    <w:rsid w:val="00405FB5"/>
    <w:rsid w:val="004064E6"/>
    <w:rsid w:val="004066BC"/>
    <w:rsid w:val="004066E4"/>
    <w:rsid w:val="0040677A"/>
    <w:rsid w:val="00407791"/>
    <w:rsid w:val="0041057F"/>
    <w:rsid w:val="00411584"/>
    <w:rsid w:val="00412771"/>
    <w:rsid w:val="004135B9"/>
    <w:rsid w:val="00413C1A"/>
    <w:rsid w:val="00413F0C"/>
    <w:rsid w:val="00414448"/>
    <w:rsid w:val="004149D2"/>
    <w:rsid w:val="00417F6D"/>
    <w:rsid w:val="00420272"/>
    <w:rsid w:val="004217D3"/>
    <w:rsid w:val="00421B07"/>
    <w:rsid w:val="004232F2"/>
    <w:rsid w:val="00423464"/>
    <w:rsid w:val="00424BDA"/>
    <w:rsid w:val="0042536A"/>
    <w:rsid w:val="00426C88"/>
    <w:rsid w:val="00426DB7"/>
    <w:rsid w:val="00430558"/>
    <w:rsid w:val="00430F51"/>
    <w:rsid w:val="004312AC"/>
    <w:rsid w:val="004317CA"/>
    <w:rsid w:val="0043281D"/>
    <w:rsid w:val="004328AB"/>
    <w:rsid w:val="00433008"/>
    <w:rsid w:val="00433389"/>
    <w:rsid w:val="00435B66"/>
    <w:rsid w:val="00440F62"/>
    <w:rsid w:val="004426F3"/>
    <w:rsid w:val="00444821"/>
    <w:rsid w:val="00445FAB"/>
    <w:rsid w:val="00446F66"/>
    <w:rsid w:val="004477B7"/>
    <w:rsid w:val="00447ED6"/>
    <w:rsid w:val="00447F26"/>
    <w:rsid w:val="0045143B"/>
    <w:rsid w:val="00451D0E"/>
    <w:rsid w:val="00454890"/>
    <w:rsid w:val="00454AC8"/>
    <w:rsid w:val="00456264"/>
    <w:rsid w:val="004563F1"/>
    <w:rsid w:val="0046075D"/>
    <w:rsid w:val="004619DA"/>
    <w:rsid w:val="00465164"/>
    <w:rsid w:val="00465241"/>
    <w:rsid w:val="00465F51"/>
    <w:rsid w:val="00467B2E"/>
    <w:rsid w:val="00470AEA"/>
    <w:rsid w:val="00471F38"/>
    <w:rsid w:val="00472FF6"/>
    <w:rsid w:val="0047455C"/>
    <w:rsid w:val="0047482E"/>
    <w:rsid w:val="00474D44"/>
    <w:rsid w:val="00477AD3"/>
    <w:rsid w:val="00480B42"/>
    <w:rsid w:val="0048112F"/>
    <w:rsid w:val="0048123F"/>
    <w:rsid w:val="00482253"/>
    <w:rsid w:val="004827B1"/>
    <w:rsid w:val="00484836"/>
    <w:rsid w:val="0048683E"/>
    <w:rsid w:val="00486DE9"/>
    <w:rsid w:val="00486F0B"/>
    <w:rsid w:val="00487BD3"/>
    <w:rsid w:val="004908CE"/>
    <w:rsid w:val="004912F2"/>
    <w:rsid w:val="00492DE4"/>
    <w:rsid w:val="00494E1F"/>
    <w:rsid w:val="00494FCA"/>
    <w:rsid w:val="00495A4A"/>
    <w:rsid w:val="004961BA"/>
    <w:rsid w:val="004A21C3"/>
    <w:rsid w:val="004A28F8"/>
    <w:rsid w:val="004A38A6"/>
    <w:rsid w:val="004A5E06"/>
    <w:rsid w:val="004A7985"/>
    <w:rsid w:val="004B126C"/>
    <w:rsid w:val="004B1477"/>
    <w:rsid w:val="004B3D80"/>
    <w:rsid w:val="004B4537"/>
    <w:rsid w:val="004C1691"/>
    <w:rsid w:val="004C2221"/>
    <w:rsid w:val="004C23C8"/>
    <w:rsid w:val="004C31E9"/>
    <w:rsid w:val="004C3AD6"/>
    <w:rsid w:val="004C3D9D"/>
    <w:rsid w:val="004C51C1"/>
    <w:rsid w:val="004C714C"/>
    <w:rsid w:val="004C74BD"/>
    <w:rsid w:val="004D0081"/>
    <w:rsid w:val="004D1234"/>
    <w:rsid w:val="004D1C37"/>
    <w:rsid w:val="004D24EC"/>
    <w:rsid w:val="004D3017"/>
    <w:rsid w:val="004D430B"/>
    <w:rsid w:val="004D7718"/>
    <w:rsid w:val="004E05C8"/>
    <w:rsid w:val="004E1B07"/>
    <w:rsid w:val="004E1E55"/>
    <w:rsid w:val="004E23B3"/>
    <w:rsid w:val="004E4106"/>
    <w:rsid w:val="004E49E4"/>
    <w:rsid w:val="004E4F18"/>
    <w:rsid w:val="004E5E72"/>
    <w:rsid w:val="004E5E84"/>
    <w:rsid w:val="004E7325"/>
    <w:rsid w:val="004F0890"/>
    <w:rsid w:val="004F3DE2"/>
    <w:rsid w:val="004F47DD"/>
    <w:rsid w:val="004F48C9"/>
    <w:rsid w:val="004F5849"/>
    <w:rsid w:val="004F5D18"/>
    <w:rsid w:val="004F5DFD"/>
    <w:rsid w:val="004F6ABC"/>
    <w:rsid w:val="00500A72"/>
    <w:rsid w:val="00500B0A"/>
    <w:rsid w:val="00502E22"/>
    <w:rsid w:val="005044A3"/>
    <w:rsid w:val="00504F9B"/>
    <w:rsid w:val="0050507B"/>
    <w:rsid w:val="00507583"/>
    <w:rsid w:val="00511FB5"/>
    <w:rsid w:val="005149BA"/>
    <w:rsid w:val="00514A2B"/>
    <w:rsid w:val="00514BE8"/>
    <w:rsid w:val="00514BFD"/>
    <w:rsid w:val="00515ED1"/>
    <w:rsid w:val="00516143"/>
    <w:rsid w:val="0051617A"/>
    <w:rsid w:val="00516B18"/>
    <w:rsid w:val="005178B1"/>
    <w:rsid w:val="005206AD"/>
    <w:rsid w:val="00520993"/>
    <w:rsid w:val="00520B6D"/>
    <w:rsid w:val="005221FD"/>
    <w:rsid w:val="005229F8"/>
    <w:rsid w:val="005238F0"/>
    <w:rsid w:val="00525387"/>
    <w:rsid w:val="00526EE8"/>
    <w:rsid w:val="005306F5"/>
    <w:rsid w:val="0053183D"/>
    <w:rsid w:val="00531868"/>
    <w:rsid w:val="00531E60"/>
    <w:rsid w:val="00532045"/>
    <w:rsid w:val="005333A6"/>
    <w:rsid w:val="00533D8F"/>
    <w:rsid w:val="005346C1"/>
    <w:rsid w:val="00534DED"/>
    <w:rsid w:val="005367A3"/>
    <w:rsid w:val="00536DFA"/>
    <w:rsid w:val="00536E6E"/>
    <w:rsid w:val="00537078"/>
    <w:rsid w:val="005408A7"/>
    <w:rsid w:val="0054145C"/>
    <w:rsid w:val="0054229C"/>
    <w:rsid w:val="00542641"/>
    <w:rsid w:val="0054358E"/>
    <w:rsid w:val="00544553"/>
    <w:rsid w:val="005447E1"/>
    <w:rsid w:val="00547122"/>
    <w:rsid w:val="0054726B"/>
    <w:rsid w:val="005473D4"/>
    <w:rsid w:val="00547880"/>
    <w:rsid w:val="00550F9D"/>
    <w:rsid w:val="005510A6"/>
    <w:rsid w:val="00553002"/>
    <w:rsid w:val="00553079"/>
    <w:rsid w:val="00553E86"/>
    <w:rsid w:val="00553FE0"/>
    <w:rsid w:val="00554F78"/>
    <w:rsid w:val="0055518B"/>
    <w:rsid w:val="0055772C"/>
    <w:rsid w:val="00561BD6"/>
    <w:rsid w:val="00561FBB"/>
    <w:rsid w:val="0056254E"/>
    <w:rsid w:val="005639E6"/>
    <w:rsid w:val="00564162"/>
    <w:rsid w:val="005645BA"/>
    <w:rsid w:val="005651B7"/>
    <w:rsid w:val="00565319"/>
    <w:rsid w:val="005678E3"/>
    <w:rsid w:val="00567D42"/>
    <w:rsid w:val="00572158"/>
    <w:rsid w:val="0057236F"/>
    <w:rsid w:val="00572D58"/>
    <w:rsid w:val="005732ED"/>
    <w:rsid w:val="00574531"/>
    <w:rsid w:val="00575052"/>
    <w:rsid w:val="00576157"/>
    <w:rsid w:val="005763DF"/>
    <w:rsid w:val="00576DC1"/>
    <w:rsid w:val="00577287"/>
    <w:rsid w:val="00580247"/>
    <w:rsid w:val="00580295"/>
    <w:rsid w:val="00581884"/>
    <w:rsid w:val="00582712"/>
    <w:rsid w:val="005832F3"/>
    <w:rsid w:val="00583459"/>
    <w:rsid w:val="0058498F"/>
    <w:rsid w:val="0058542D"/>
    <w:rsid w:val="005858F2"/>
    <w:rsid w:val="00586707"/>
    <w:rsid w:val="00586DF7"/>
    <w:rsid w:val="00587D95"/>
    <w:rsid w:val="00590540"/>
    <w:rsid w:val="00590A46"/>
    <w:rsid w:val="005914BC"/>
    <w:rsid w:val="00591F93"/>
    <w:rsid w:val="0059328D"/>
    <w:rsid w:val="00594B4A"/>
    <w:rsid w:val="00596060"/>
    <w:rsid w:val="005A0377"/>
    <w:rsid w:val="005A3666"/>
    <w:rsid w:val="005A476D"/>
    <w:rsid w:val="005A4960"/>
    <w:rsid w:val="005A7251"/>
    <w:rsid w:val="005A72E2"/>
    <w:rsid w:val="005A7CAF"/>
    <w:rsid w:val="005A7DBB"/>
    <w:rsid w:val="005B0536"/>
    <w:rsid w:val="005B0639"/>
    <w:rsid w:val="005B06ED"/>
    <w:rsid w:val="005B0F38"/>
    <w:rsid w:val="005B1E6A"/>
    <w:rsid w:val="005B26C2"/>
    <w:rsid w:val="005B3D23"/>
    <w:rsid w:val="005B45D1"/>
    <w:rsid w:val="005B6296"/>
    <w:rsid w:val="005B65A1"/>
    <w:rsid w:val="005B7980"/>
    <w:rsid w:val="005C1B80"/>
    <w:rsid w:val="005C35AE"/>
    <w:rsid w:val="005C49FB"/>
    <w:rsid w:val="005C6416"/>
    <w:rsid w:val="005C6761"/>
    <w:rsid w:val="005C6EB6"/>
    <w:rsid w:val="005D00B5"/>
    <w:rsid w:val="005D2DD4"/>
    <w:rsid w:val="005D42AB"/>
    <w:rsid w:val="005D4D9F"/>
    <w:rsid w:val="005D50D7"/>
    <w:rsid w:val="005D5167"/>
    <w:rsid w:val="005D632B"/>
    <w:rsid w:val="005D68DA"/>
    <w:rsid w:val="005D6C29"/>
    <w:rsid w:val="005D6C3D"/>
    <w:rsid w:val="005D6FDE"/>
    <w:rsid w:val="005D71DB"/>
    <w:rsid w:val="005D7329"/>
    <w:rsid w:val="005E06A6"/>
    <w:rsid w:val="005E113C"/>
    <w:rsid w:val="005E144A"/>
    <w:rsid w:val="005E22A2"/>
    <w:rsid w:val="005E2869"/>
    <w:rsid w:val="005E3491"/>
    <w:rsid w:val="005E3E02"/>
    <w:rsid w:val="005E5F06"/>
    <w:rsid w:val="005E7321"/>
    <w:rsid w:val="005E7CDB"/>
    <w:rsid w:val="005F03B8"/>
    <w:rsid w:val="005F0D01"/>
    <w:rsid w:val="005F1428"/>
    <w:rsid w:val="005F2DB3"/>
    <w:rsid w:val="005F3EDB"/>
    <w:rsid w:val="005F497A"/>
    <w:rsid w:val="005F49FE"/>
    <w:rsid w:val="005F4D83"/>
    <w:rsid w:val="005F5F9E"/>
    <w:rsid w:val="00601E88"/>
    <w:rsid w:val="00603139"/>
    <w:rsid w:val="00604201"/>
    <w:rsid w:val="00605791"/>
    <w:rsid w:val="0060772D"/>
    <w:rsid w:val="006077C3"/>
    <w:rsid w:val="006125DA"/>
    <w:rsid w:val="0061264E"/>
    <w:rsid w:val="00613431"/>
    <w:rsid w:val="00613929"/>
    <w:rsid w:val="00613BA1"/>
    <w:rsid w:val="00613D47"/>
    <w:rsid w:val="00613F2E"/>
    <w:rsid w:val="0061464E"/>
    <w:rsid w:val="00614D1A"/>
    <w:rsid w:val="0061680F"/>
    <w:rsid w:val="00616D1F"/>
    <w:rsid w:val="0061707D"/>
    <w:rsid w:val="006172D6"/>
    <w:rsid w:val="00617381"/>
    <w:rsid w:val="00621335"/>
    <w:rsid w:val="00623511"/>
    <w:rsid w:val="0062482E"/>
    <w:rsid w:val="00625D9F"/>
    <w:rsid w:val="0062612D"/>
    <w:rsid w:val="006268C3"/>
    <w:rsid w:val="00626908"/>
    <w:rsid w:val="00626FF7"/>
    <w:rsid w:val="00627068"/>
    <w:rsid w:val="006272F3"/>
    <w:rsid w:val="00627E74"/>
    <w:rsid w:val="006339BF"/>
    <w:rsid w:val="00634671"/>
    <w:rsid w:val="00634BF6"/>
    <w:rsid w:val="006358CD"/>
    <w:rsid w:val="00635D9A"/>
    <w:rsid w:val="00636530"/>
    <w:rsid w:val="006374B9"/>
    <w:rsid w:val="00637C3F"/>
    <w:rsid w:val="00640C92"/>
    <w:rsid w:val="00642121"/>
    <w:rsid w:val="00643873"/>
    <w:rsid w:val="00644049"/>
    <w:rsid w:val="00644A3B"/>
    <w:rsid w:val="00644B3E"/>
    <w:rsid w:val="0064622B"/>
    <w:rsid w:val="0064704D"/>
    <w:rsid w:val="00647555"/>
    <w:rsid w:val="0065076C"/>
    <w:rsid w:val="00650BB8"/>
    <w:rsid w:val="006534A3"/>
    <w:rsid w:val="00653AF3"/>
    <w:rsid w:val="006550CE"/>
    <w:rsid w:val="006566A6"/>
    <w:rsid w:val="0065673C"/>
    <w:rsid w:val="00656B98"/>
    <w:rsid w:val="0065789E"/>
    <w:rsid w:val="00660FF7"/>
    <w:rsid w:val="006625C8"/>
    <w:rsid w:val="00662BB4"/>
    <w:rsid w:val="00663165"/>
    <w:rsid w:val="00663C06"/>
    <w:rsid w:val="00663D41"/>
    <w:rsid w:val="006644B2"/>
    <w:rsid w:val="006648D4"/>
    <w:rsid w:val="00664C36"/>
    <w:rsid w:val="006650A5"/>
    <w:rsid w:val="006657B2"/>
    <w:rsid w:val="006721CC"/>
    <w:rsid w:val="006731A7"/>
    <w:rsid w:val="00673283"/>
    <w:rsid w:val="006733A1"/>
    <w:rsid w:val="006735E6"/>
    <w:rsid w:val="00674547"/>
    <w:rsid w:val="0067514B"/>
    <w:rsid w:val="00677C8D"/>
    <w:rsid w:val="00680927"/>
    <w:rsid w:val="00681B6D"/>
    <w:rsid w:val="00682B3C"/>
    <w:rsid w:val="006837C5"/>
    <w:rsid w:val="006852D2"/>
    <w:rsid w:val="00686120"/>
    <w:rsid w:val="006863DB"/>
    <w:rsid w:val="006867E6"/>
    <w:rsid w:val="00687088"/>
    <w:rsid w:val="00687B26"/>
    <w:rsid w:val="00687D3A"/>
    <w:rsid w:val="00690BD0"/>
    <w:rsid w:val="006914C8"/>
    <w:rsid w:val="00691973"/>
    <w:rsid w:val="006921B6"/>
    <w:rsid w:val="006955FD"/>
    <w:rsid w:val="00695674"/>
    <w:rsid w:val="006A1566"/>
    <w:rsid w:val="006A17FA"/>
    <w:rsid w:val="006A1ADD"/>
    <w:rsid w:val="006A3001"/>
    <w:rsid w:val="006A30DF"/>
    <w:rsid w:val="006A6505"/>
    <w:rsid w:val="006A65F8"/>
    <w:rsid w:val="006A69D4"/>
    <w:rsid w:val="006B0162"/>
    <w:rsid w:val="006B0EB5"/>
    <w:rsid w:val="006B1739"/>
    <w:rsid w:val="006B1B85"/>
    <w:rsid w:val="006B2171"/>
    <w:rsid w:val="006B444C"/>
    <w:rsid w:val="006B5EC5"/>
    <w:rsid w:val="006B734D"/>
    <w:rsid w:val="006B7E99"/>
    <w:rsid w:val="006C02C0"/>
    <w:rsid w:val="006C2AB7"/>
    <w:rsid w:val="006C2E4E"/>
    <w:rsid w:val="006C3FE4"/>
    <w:rsid w:val="006C4026"/>
    <w:rsid w:val="006C61CD"/>
    <w:rsid w:val="006C65D5"/>
    <w:rsid w:val="006C681C"/>
    <w:rsid w:val="006C7641"/>
    <w:rsid w:val="006D0246"/>
    <w:rsid w:val="006D41BF"/>
    <w:rsid w:val="006D6332"/>
    <w:rsid w:val="006D64DF"/>
    <w:rsid w:val="006D6D00"/>
    <w:rsid w:val="006D7827"/>
    <w:rsid w:val="006D7FE9"/>
    <w:rsid w:val="006E0E56"/>
    <w:rsid w:val="006E11DC"/>
    <w:rsid w:val="006E254F"/>
    <w:rsid w:val="006E25CC"/>
    <w:rsid w:val="006E2AE2"/>
    <w:rsid w:val="006E2BB0"/>
    <w:rsid w:val="006E316E"/>
    <w:rsid w:val="006E40BA"/>
    <w:rsid w:val="006E4238"/>
    <w:rsid w:val="006E51F2"/>
    <w:rsid w:val="006E66D5"/>
    <w:rsid w:val="006F615D"/>
    <w:rsid w:val="006F66C5"/>
    <w:rsid w:val="006F6C69"/>
    <w:rsid w:val="006F7DED"/>
    <w:rsid w:val="00700FCB"/>
    <w:rsid w:val="0070206E"/>
    <w:rsid w:val="007029A9"/>
    <w:rsid w:val="00703F22"/>
    <w:rsid w:val="00704C8D"/>
    <w:rsid w:val="00707118"/>
    <w:rsid w:val="007078EC"/>
    <w:rsid w:val="00710177"/>
    <w:rsid w:val="007106E8"/>
    <w:rsid w:val="00711E78"/>
    <w:rsid w:val="007129DE"/>
    <w:rsid w:val="007131A6"/>
    <w:rsid w:val="0071410D"/>
    <w:rsid w:val="007149D9"/>
    <w:rsid w:val="00714B15"/>
    <w:rsid w:val="00714FCC"/>
    <w:rsid w:val="00715890"/>
    <w:rsid w:val="00715958"/>
    <w:rsid w:val="00717DA4"/>
    <w:rsid w:val="00720313"/>
    <w:rsid w:val="00720562"/>
    <w:rsid w:val="007213A2"/>
    <w:rsid w:val="00721416"/>
    <w:rsid w:val="00721E32"/>
    <w:rsid w:val="00722001"/>
    <w:rsid w:val="007250AF"/>
    <w:rsid w:val="0072551B"/>
    <w:rsid w:val="007257A4"/>
    <w:rsid w:val="00726405"/>
    <w:rsid w:val="0072688E"/>
    <w:rsid w:val="00727142"/>
    <w:rsid w:val="00727726"/>
    <w:rsid w:val="00727AB3"/>
    <w:rsid w:val="00727DEA"/>
    <w:rsid w:val="00730705"/>
    <w:rsid w:val="00730E2A"/>
    <w:rsid w:val="00730F47"/>
    <w:rsid w:val="007328C8"/>
    <w:rsid w:val="00732982"/>
    <w:rsid w:val="00732997"/>
    <w:rsid w:val="00732D7C"/>
    <w:rsid w:val="00732EDE"/>
    <w:rsid w:val="00734D6F"/>
    <w:rsid w:val="007364C8"/>
    <w:rsid w:val="00736EFE"/>
    <w:rsid w:val="00737947"/>
    <w:rsid w:val="007408A5"/>
    <w:rsid w:val="0074153F"/>
    <w:rsid w:val="00741E9E"/>
    <w:rsid w:val="007423AB"/>
    <w:rsid w:val="007439DE"/>
    <w:rsid w:val="0074599F"/>
    <w:rsid w:val="00745CFB"/>
    <w:rsid w:val="0074664E"/>
    <w:rsid w:val="00746C87"/>
    <w:rsid w:val="00747552"/>
    <w:rsid w:val="00750471"/>
    <w:rsid w:val="00751D76"/>
    <w:rsid w:val="00752306"/>
    <w:rsid w:val="007527BD"/>
    <w:rsid w:val="00752D9C"/>
    <w:rsid w:val="00754BA3"/>
    <w:rsid w:val="00755775"/>
    <w:rsid w:val="00755DBE"/>
    <w:rsid w:val="007563BE"/>
    <w:rsid w:val="007607C4"/>
    <w:rsid w:val="00760A89"/>
    <w:rsid w:val="0076299E"/>
    <w:rsid w:val="00763274"/>
    <w:rsid w:val="007636B1"/>
    <w:rsid w:val="00763D98"/>
    <w:rsid w:val="007642B7"/>
    <w:rsid w:val="00766717"/>
    <w:rsid w:val="00766DF1"/>
    <w:rsid w:val="00766F68"/>
    <w:rsid w:val="00766FD5"/>
    <w:rsid w:val="0076730C"/>
    <w:rsid w:val="00771580"/>
    <w:rsid w:val="00773306"/>
    <w:rsid w:val="007743B9"/>
    <w:rsid w:val="0077529A"/>
    <w:rsid w:val="0077665F"/>
    <w:rsid w:val="00777BAA"/>
    <w:rsid w:val="00777D42"/>
    <w:rsid w:val="00780213"/>
    <w:rsid w:val="007803F5"/>
    <w:rsid w:val="00780466"/>
    <w:rsid w:val="007843A3"/>
    <w:rsid w:val="0078789E"/>
    <w:rsid w:val="007912F3"/>
    <w:rsid w:val="0079137F"/>
    <w:rsid w:val="00795F32"/>
    <w:rsid w:val="00796CAC"/>
    <w:rsid w:val="0079753C"/>
    <w:rsid w:val="007A0E6C"/>
    <w:rsid w:val="007A251A"/>
    <w:rsid w:val="007A6CBF"/>
    <w:rsid w:val="007A7573"/>
    <w:rsid w:val="007B287E"/>
    <w:rsid w:val="007B316C"/>
    <w:rsid w:val="007B3EBA"/>
    <w:rsid w:val="007B5191"/>
    <w:rsid w:val="007C0E35"/>
    <w:rsid w:val="007C0EEB"/>
    <w:rsid w:val="007C14C4"/>
    <w:rsid w:val="007C2090"/>
    <w:rsid w:val="007C2631"/>
    <w:rsid w:val="007C3083"/>
    <w:rsid w:val="007C58E5"/>
    <w:rsid w:val="007C5B91"/>
    <w:rsid w:val="007C6ABE"/>
    <w:rsid w:val="007C7197"/>
    <w:rsid w:val="007D1204"/>
    <w:rsid w:val="007D2D78"/>
    <w:rsid w:val="007D39EF"/>
    <w:rsid w:val="007D3EBB"/>
    <w:rsid w:val="007D3FEF"/>
    <w:rsid w:val="007D4E6A"/>
    <w:rsid w:val="007D4E87"/>
    <w:rsid w:val="007D56BF"/>
    <w:rsid w:val="007D56F1"/>
    <w:rsid w:val="007D5CCF"/>
    <w:rsid w:val="007D6367"/>
    <w:rsid w:val="007D7507"/>
    <w:rsid w:val="007D7BA3"/>
    <w:rsid w:val="007E02DA"/>
    <w:rsid w:val="007E0D64"/>
    <w:rsid w:val="007E41BA"/>
    <w:rsid w:val="007E44E4"/>
    <w:rsid w:val="007E4F85"/>
    <w:rsid w:val="007E6506"/>
    <w:rsid w:val="007E680C"/>
    <w:rsid w:val="007F2F85"/>
    <w:rsid w:val="007F34FC"/>
    <w:rsid w:val="007F4CD9"/>
    <w:rsid w:val="007F5AF7"/>
    <w:rsid w:val="007F6119"/>
    <w:rsid w:val="007F6C72"/>
    <w:rsid w:val="007F7AA6"/>
    <w:rsid w:val="008000E5"/>
    <w:rsid w:val="008004EF"/>
    <w:rsid w:val="0080109B"/>
    <w:rsid w:val="0080266B"/>
    <w:rsid w:val="00802C21"/>
    <w:rsid w:val="00802C2C"/>
    <w:rsid w:val="00802E8D"/>
    <w:rsid w:val="00803C50"/>
    <w:rsid w:val="00804965"/>
    <w:rsid w:val="00805578"/>
    <w:rsid w:val="0080676C"/>
    <w:rsid w:val="0080764B"/>
    <w:rsid w:val="0080780B"/>
    <w:rsid w:val="00810BDD"/>
    <w:rsid w:val="008115FF"/>
    <w:rsid w:val="00811DB5"/>
    <w:rsid w:val="00812676"/>
    <w:rsid w:val="00813226"/>
    <w:rsid w:val="00813E53"/>
    <w:rsid w:val="008157DE"/>
    <w:rsid w:val="00816FEB"/>
    <w:rsid w:val="0081700F"/>
    <w:rsid w:val="0081798F"/>
    <w:rsid w:val="00817F85"/>
    <w:rsid w:val="0082210E"/>
    <w:rsid w:val="0082255F"/>
    <w:rsid w:val="00822FCD"/>
    <w:rsid w:val="00823143"/>
    <w:rsid w:val="0082336D"/>
    <w:rsid w:val="00823E0E"/>
    <w:rsid w:val="00823F90"/>
    <w:rsid w:val="008248B3"/>
    <w:rsid w:val="00824950"/>
    <w:rsid w:val="0082611E"/>
    <w:rsid w:val="0082765D"/>
    <w:rsid w:val="00827E79"/>
    <w:rsid w:val="0083245D"/>
    <w:rsid w:val="00832AF3"/>
    <w:rsid w:val="0083482B"/>
    <w:rsid w:val="00834A48"/>
    <w:rsid w:val="00834F5A"/>
    <w:rsid w:val="00835BAE"/>
    <w:rsid w:val="0083738C"/>
    <w:rsid w:val="008404CB"/>
    <w:rsid w:val="00841311"/>
    <w:rsid w:val="00841B16"/>
    <w:rsid w:val="0084301F"/>
    <w:rsid w:val="008449D7"/>
    <w:rsid w:val="00845D97"/>
    <w:rsid w:val="00847C9C"/>
    <w:rsid w:val="00850BEF"/>
    <w:rsid w:val="00853BC5"/>
    <w:rsid w:val="00854669"/>
    <w:rsid w:val="008576C9"/>
    <w:rsid w:val="00860F3A"/>
    <w:rsid w:val="00864AB5"/>
    <w:rsid w:val="00866454"/>
    <w:rsid w:val="00866A3A"/>
    <w:rsid w:val="00870693"/>
    <w:rsid w:val="00870DF7"/>
    <w:rsid w:val="0087109B"/>
    <w:rsid w:val="0087134A"/>
    <w:rsid w:val="00871774"/>
    <w:rsid w:val="008751B7"/>
    <w:rsid w:val="008770B8"/>
    <w:rsid w:val="008813F1"/>
    <w:rsid w:val="008816F2"/>
    <w:rsid w:val="008833A7"/>
    <w:rsid w:val="008834A1"/>
    <w:rsid w:val="008836A6"/>
    <w:rsid w:val="008864B2"/>
    <w:rsid w:val="008869B0"/>
    <w:rsid w:val="008870D8"/>
    <w:rsid w:val="008908B7"/>
    <w:rsid w:val="00892684"/>
    <w:rsid w:val="008969E5"/>
    <w:rsid w:val="008977A0"/>
    <w:rsid w:val="008A1344"/>
    <w:rsid w:val="008A1F6E"/>
    <w:rsid w:val="008A300E"/>
    <w:rsid w:val="008A3587"/>
    <w:rsid w:val="008A388F"/>
    <w:rsid w:val="008A39C1"/>
    <w:rsid w:val="008A3CAE"/>
    <w:rsid w:val="008A40A7"/>
    <w:rsid w:val="008A4412"/>
    <w:rsid w:val="008A596D"/>
    <w:rsid w:val="008A5C1C"/>
    <w:rsid w:val="008A7100"/>
    <w:rsid w:val="008A7120"/>
    <w:rsid w:val="008A76AB"/>
    <w:rsid w:val="008A7FE9"/>
    <w:rsid w:val="008B167A"/>
    <w:rsid w:val="008B1F8B"/>
    <w:rsid w:val="008B360C"/>
    <w:rsid w:val="008B37C1"/>
    <w:rsid w:val="008B4061"/>
    <w:rsid w:val="008B4442"/>
    <w:rsid w:val="008B543B"/>
    <w:rsid w:val="008B5485"/>
    <w:rsid w:val="008B7AEF"/>
    <w:rsid w:val="008B7D2E"/>
    <w:rsid w:val="008C0B3D"/>
    <w:rsid w:val="008C1610"/>
    <w:rsid w:val="008C18BA"/>
    <w:rsid w:val="008C35E1"/>
    <w:rsid w:val="008C464C"/>
    <w:rsid w:val="008C6147"/>
    <w:rsid w:val="008C6F41"/>
    <w:rsid w:val="008D0653"/>
    <w:rsid w:val="008D0ACC"/>
    <w:rsid w:val="008D114E"/>
    <w:rsid w:val="008D20CA"/>
    <w:rsid w:val="008D2B49"/>
    <w:rsid w:val="008D47DE"/>
    <w:rsid w:val="008D6DB4"/>
    <w:rsid w:val="008E00F0"/>
    <w:rsid w:val="008E1B5E"/>
    <w:rsid w:val="008E26AF"/>
    <w:rsid w:val="008E2D16"/>
    <w:rsid w:val="008E3D00"/>
    <w:rsid w:val="008E3FAD"/>
    <w:rsid w:val="008E493F"/>
    <w:rsid w:val="008E4D85"/>
    <w:rsid w:val="008E5854"/>
    <w:rsid w:val="008E74AD"/>
    <w:rsid w:val="008E7562"/>
    <w:rsid w:val="008E7F5D"/>
    <w:rsid w:val="008F03B5"/>
    <w:rsid w:val="008F050D"/>
    <w:rsid w:val="008F1400"/>
    <w:rsid w:val="008F2005"/>
    <w:rsid w:val="008F25C7"/>
    <w:rsid w:val="008F31D4"/>
    <w:rsid w:val="008F4E9C"/>
    <w:rsid w:val="008F5AD0"/>
    <w:rsid w:val="00901F2D"/>
    <w:rsid w:val="00903499"/>
    <w:rsid w:val="00903731"/>
    <w:rsid w:val="00903C25"/>
    <w:rsid w:val="009054CE"/>
    <w:rsid w:val="00906514"/>
    <w:rsid w:val="00910BBF"/>
    <w:rsid w:val="009115BC"/>
    <w:rsid w:val="009121DC"/>
    <w:rsid w:val="00913B89"/>
    <w:rsid w:val="00913C0A"/>
    <w:rsid w:val="00913EA4"/>
    <w:rsid w:val="009151AA"/>
    <w:rsid w:val="009157D0"/>
    <w:rsid w:val="00916C3C"/>
    <w:rsid w:val="009206F1"/>
    <w:rsid w:val="0092085C"/>
    <w:rsid w:val="00920CF8"/>
    <w:rsid w:val="00920D16"/>
    <w:rsid w:val="00920E8D"/>
    <w:rsid w:val="009218D5"/>
    <w:rsid w:val="00921D63"/>
    <w:rsid w:val="0092212D"/>
    <w:rsid w:val="0092252C"/>
    <w:rsid w:val="0092283B"/>
    <w:rsid w:val="00922B3A"/>
    <w:rsid w:val="009230D8"/>
    <w:rsid w:val="009234E7"/>
    <w:rsid w:val="00923CFB"/>
    <w:rsid w:val="00923CFE"/>
    <w:rsid w:val="00924138"/>
    <w:rsid w:val="00924A93"/>
    <w:rsid w:val="00925862"/>
    <w:rsid w:val="00926BA1"/>
    <w:rsid w:val="00930428"/>
    <w:rsid w:val="00930EC6"/>
    <w:rsid w:val="009323E5"/>
    <w:rsid w:val="0093242E"/>
    <w:rsid w:val="00932B0D"/>
    <w:rsid w:val="00933181"/>
    <w:rsid w:val="00933B7F"/>
    <w:rsid w:val="009341DD"/>
    <w:rsid w:val="009353B2"/>
    <w:rsid w:val="00935858"/>
    <w:rsid w:val="009414DE"/>
    <w:rsid w:val="00941847"/>
    <w:rsid w:val="00941AA9"/>
    <w:rsid w:val="0094335F"/>
    <w:rsid w:val="00944E7E"/>
    <w:rsid w:val="00945473"/>
    <w:rsid w:val="009460B7"/>
    <w:rsid w:val="00946218"/>
    <w:rsid w:val="009467BD"/>
    <w:rsid w:val="00946EE0"/>
    <w:rsid w:val="00947E33"/>
    <w:rsid w:val="00950F16"/>
    <w:rsid w:val="00952307"/>
    <w:rsid w:val="009529E9"/>
    <w:rsid w:val="009533E5"/>
    <w:rsid w:val="0095612F"/>
    <w:rsid w:val="00956C0B"/>
    <w:rsid w:val="00956EA2"/>
    <w:rsid w:val="0095700E"/>
    <w:rsid w:val="009578CD"/>
    <w:rsid w:val="00960209"/>
    <w:rsid w:val="00960AB0"/>
    <w:rsid w:val="00961902"/>
    <w:rsid w:val="00961C01"/>
    <w:rsid w:val="00962658"/>
    <w:rsid w:val="00963948"/>
    <w:rsid w:val="00963AF4"/>
    <w:rsid w:val="00965638"/>
    <w:rsid w:val="00967528"/>
    <w:rsid w:val="00970EDB"/>
    <w:rsid w:val="00972CC9"/>
    <w:rsid w:val="00972F1D"/>
    <w:rsid w:val="009734EC"/>
    <w:rsid w:val="009772D3"/>
    <w:rsid w:val="009778C0"/>
    <w:rsid w:val="00977B05"/>
    <w:rsid w:val="00980AB1"/>
    <w:rsid w:val="009813F5"/>
    <w:rsid w:val="0098168D"/>
    <w:rsid w:val="0098215E"/>
    <w:rsid w:val="00984083"/>
    <w:rsid w:val="00984B38"/>
    <w:rsid w:val="00985349"/>
    <w:rsid w:val="009853A9"/>
    <w:rsid w:val="00986278"/>
    <w:rsid w:val="00986785"/>
    <w:rsid w:val="00986992"/>
    <w:rsid w:val="00987A9A"/>
    <w:rsid w:val="0099060C"/>
    <w:rsid w:val="00990B32"/>
    <w:rsid w:val="00991602"/>
    <w:rsid w:val="00991D29"/>
    <w:rsid w:val="009922C9"/>
    <w:rsid w:val="0099393C"/>
    <w:rsid w:val="00993B54"/>
    <w:rsid w:val="0099428B"/>
    <w:rsid w:val="0099430E"/>
    <w:rsid w:val="009948C1"/>
    <w:rsid w:val="00995A70"/>
    <w:rsid w:val="00997AC7"/>
    <w:rsid w:val="009A044E"/>
    <w:rsid w:val="009A08CA"/>
    <w:rsid w:val="009A1E90"/>
    <w:rsid w:val="009A28E9"/>
    <w:rsid w:val="009A2E77"/>
    <w:rsid w:val="009A3D21"/>
    <w:rsid w:val="009A5200"/>
    <w:rsid w:val="009A56FC"/>
    <w:rsid w:val="009A5852"/>
    <w:rsid w:val="009A698D"/>
    <w:rsid w:val="009A6AA2"/>
    <w:rsid w:val="009B00D0"/>
    <w:rsid w:val="009B015D"/>
    <w:rsid w:val="009B0248"/>
    <w:rsid w:val="009B0675"/>
    <w:rsid w:val="009B06F3"/>
    <w:rsid w:val="009B07F4"/>
    <w:rsid w:val="009B105C"/>
    <w:rsid w:val="009B1191"/>
    <w:rsid w:val="009B20A4"/>
    <w:rsid w:val="009B34F7"/>
    <w:rsid w:val="009B42ED"/>
    <w:rsid w:val="009B4ECC"/>
    <w:rsid w:val="009B59AA"/>
    <w:rsid w:val="009B7361"/>
    <w:rsid w:val="009B75F2"/>
    <w:rsid w:val="009B7800"/>
    <w:rsid w:val="009C2AA3"/>
    <w:rsid w:val="009C4684"/>
    <w:rsid w:val="009C4E0C"/>
    <w:rsid w:val="009C64ED"/>
    <w:rsid w:val="009C6600"/>
    <w:rsid w:val="009C6A27"/>
    <w:rsid w:val="009D0413"/>
    <w:rsid w:val="009D082A"/>
    <w:rsid w:val="009D159C"/>
    <w:rsid w:val="009D1711"/>
    <w:rsid w:val="009D1D4A"/>
    <w:rsid w:val="009D53E4"/>
    <w:rsid w:val="009D6009"/>
    <w:rsid w:val="009D6BCB"/>
    <w:rsid w:val="009D7343"/>
    <w:rsid w:val="009D73ED"/>
    <w:rsid w:val="009D786C"/>
    <w:rsid w:val="009E4956"/>
    <w:rsid w:val="009E49DF"/>
    <w:rsid w:val="009E4C14"/>
    <w:rsid w:val="009E61FD"/>
    <w:rsid w:val="009E731A"/>
    <w:rsid w:val="009E7AEF"/>
    <w:rsid w:val="009F01D0"/>
    <w:rsid w:val="009F2B99"/>
    <w:rsid w:val="009F2F4A"/>
    <w:rsid w:val="009F4985"/>
    <w:rsid w:val="009F4BE8"/>
    <w:rsid w:val="009F5BD1"/>
    <w:rsid w:val="009F5F60"/>
    <w:rsid w:val="00A00618"/>
    <w:rsid w:val="00A01FC3"/>
    <w:rsid w:val="00A0314D"/>
    <w:rsid w:val="00A03184"/>
    <w:rsid w:val="00A032E8"/>
    <w:rsid w:val="00A035F8"/>
    <w:rsid w:val="00A03BC4"/>
    <w:rsid w:val="00A03F6D"/>
    <w:rsid w:val="00A041C8"/>
    <w:rsid w:val="00A044C8"/>
    <w:rsid w:val="00A04D64"/>
    <w:rsid w:val="00A0583E"/>
    <w:rsid w:val="00A064C0"/>
    <w:rsid w:val="00A075E0"/>
    <w:rsid w:val="00A07BFB"/>
    <w:rsid w:val="00A120FA"/>
    <w:rsid w:val="00A123F4"/>
    <w:rsid w:val="00A1327B"/>
    <w:rsid w:val="00A1393D"/>
    <w:rsid w:val="00A149CF"/>
    <w:rsid w:val="00A14EAE"/>
    <w:rsid w:val="00A155F6"/>
    <w:rsid w:val="00A157F4"/>
    <w:rsid w:val="00A15BBF"/>
    <w:rsid w:val="00A16A2C"/>
    <w:rsid w:val="00A1769B"/>
    <w:rsid w:val="00A1786A"/>
    <w:rsid w:val="00A1789D"/>
    <w:rsid w:val="00A20833"/>
    <w:rsid w:val="00A2122A"/>
    <w:rsid w:val="00A219F0"/>
    <w:rsid w:val="00A21D4E"/>
    <w:rsid w:val="00A220D8"/>
    <w:rsid w:val="00A231A4"/>
    <w:rsid w:val="00A23AE4"/>
    <w:rsid w:val="00A23F59"/>
    <w:rsid w:val="00A241E8"/>
    <w:rsid w:val="00A246BE"/>
    <w:rsid w:val="00A24F68"/>
    <w:rsid w:val="00A24FC3"/>
    <w:rsid w:val="00A27141"/>
    <w:rsid w:val="00A27757"/>
    <w:rsid w:val="00A30604"/>
    <w:rsid w:val="00A314D4"/>
    <w:rsid w:val="00A331A3"/>
    <w:rsid w:val="00A33250"/>
    <w:rsid w:val="00A3498B"/>
    <w:rsid w:val="00A3585E"/>
    <w:rsid w:val="00A366F3"/>
    <w:rsid w:val="00A373E6"/>
    <w:rsid w:val="00A37BE6"/>
    <w:rsid w:val="00A4305C"/>
    <w:rsid w:val="00A4332F"/>
    <w:rsid w:val="00A4403E"/>
    <w:rsid w:val="00A4434E"/>
    <w:rsid w:val="00A448AE"/>
    <w:rsid w:val="00A45F0F"/>
    <w:rsid w:val="00A47087"/>
    <w:rsid w:val="00A51D4D"/>
    <w:rsid w:val="00A52AA4"/>
    <w:rsid w:val="00A55A11"/>
    <w:rsid w:val="00A56DC9"/>
    <w:rsid w:val="00A60839"/>
    <w:rsid w:val="00A60864"/>
    <w:rsid w:val="00A6179E"/>
    <w:rsid w:val="00A61EDF"/>
    <w:rsid w:val="00A62CEE"/>
    <w:rsid w:val="00A62EB1"/>
    <w:rsid w:val="00A63702"/>
    <w:rsid w:val="00A64BC9"/>
    <w:rsid w:val="00A67589"/>
    <w:rsid w:val="00A708CF"/>
    <w:rsid w:val="00A709CE"/>
    <w:rsid w:val="00A71F50"/>
    <w:rsid w:val="00A73068"/>
    <w:rsid w:val="00A7445B"/>
    <w:rsid w:val="00A755AD"/>
    <w:rsid w:val="00A75C3C"/>
    <w:rsid w:val="00A75D19"/>
    <w:rsid w:val="00A7603B"/>
    <w:rsid w:val="00A760A3"/>
    <w:rsid w:val="00A77CD6"/>
    <w:rsid w:val="00A81C14"/>
    <w:rsid w:val="00A82624"/>
    <w:rsid w:val="00A8274D"/>
    <w:rsid w:val="00A830F1"/>
    <w:rsid w:val="00A834B3"/>
    <w:rsid w:val="00A83EBD"/>
    <w:rsid w:val="00A84BF3"/>
    <w:rsid w:val="00A86AA5"/>
    <w:rsid w:val="00A90C08"/>
    <w:rsid w:val="00A91848"/>
    <w:rsid w:val="00A91D85"/>
    <w:rsid w:val="00A9263A"/>
    <w:rsid w:val="00A92967"/>
    <w:rsid w:val="00A93899"/>
    <w:rsid w:val="00A938BB"/>
    <w:rsid w:val="00A93ECE"/>
    <w:rsid w:val="00A93F38"/>
    <w:rsid w:val="00A9421C"/>
    <w:rsid w:val="00A94909"/>
    <w:rsid w:val="00A96E4F"/>
    <w:rsid w:val="00AA0DCE"/>
    <w:rsid w:val="00AA0E61"/>
    <w:rsid w:val="00AA10C2"/>
    <w:rsid w:val="00AA19B6"/>
    <w:rsid w:val="00AA2FF7"/>
    <w:rsid w:val="00AA51B7"/>
    <w:rsid w:val="00AA76C4"/>
    <w:rsid w:val="00AB0D0E"/>
    <w:rsid w:val="00AB109C"/>
    <w:rsid w:val="00AB1122"/>
    <w:rsid w:val="00AB223C"/>
    <w:rsid w:val="00AB2306"/>
    <w:rsid w:val="00AB3A2B"/>
    <w:rsid w:val="00AB3B36"/>
    <w:rsid w:val="00AB445D"/>
    <w:rsid w:val="00AB6CF8"/>
    <w:rsid w:val="00AB7D6D"/>
    <w:rsid w:val="00AC10B3"/>
    <w:rsid w:val="00AC3BC7"/>
    <w:rsid w:val="00AC5C02"/>
    <w:rsid w:val="00AC6811"/>
    <w:rsid w:val="00AD06E8"/>
    <w:rsid w:val="00AD0C11"/>
    <w:rsid w:val="00AD0D97"/>
    <w:rsid w:val="00AD259E"/>
    <w:rsid w:val="00AD3331"/>
    <w:rsid w:val="00AD4D7E"/>
    <w:rsid w:val="00AD62CD"/>
    <w:rsid w:val="00AE053E"/>
    <w:rsid w:val="00AE2C2C"/>
    <w:rsid w:val="00AE34B0"/>
    <w:rsid w:val="00AE374D"/>
    <w:rsid w:val="00AE38E5"/>
    <w:rsid w:val="00AE3BAD"/>
    <w:rsid w:val="00AE5189"/>
    <w:rsid w:val="00AE5922"/>
    <w:rsid w:val="00AE6156"/>
    <w:rsid w:val="00AE6974"/>
    <w:rsid w:val="00AE6F0E"/>
    <w:rsid w:val="00AE7259"/>
    <w:rsid w:val="00AF0FBB"/>
    <w:rsid w:val="00AF276E"/>
    <w:rsid w:val="00AF311A"/>
    <w:rsid w:val="00AF448B"/>
    <w:rsid w:val="00AF4831"/>
    <w:rsid w:val="00AF50E8"/>
    <w:rsid w:val="00AF5234"/>
    <w:rsid w:val="00AF573F"/>
    <w:rsid w:val="00AF59E6"/>
    <w:rsid w:val="00AF5CD3"/>
    <w:rsid w:val="00AF63F2"/>
    <w:rsid w:val="00B00332"/>
    <w:rsid w:val="00B0039C"/>
    <w:rsid w:val="00B01737"/>
    <w:rsid w:val="00B0213A"/>
    <w:rsid w:val="00B031E1"/>
    <w:rsid w:val="00B039B7"/>
    <w:rsid w:val="00B03E80"/>
    <w:rsid w:val="00B061B6"/>
    <w:rsid w:val="00B07993"/>
    <w:rsid w:val="00B07F57"/>
    <w:rsid w:val="00B10393"/>
    <w:rsid w:val="00B111AE"/>
    <w:rsid w:val="00B11225"/>
    <w:rsid w:val="00B112CC"/>
    <w:rsid w:val="00B11890"/>
    <w:rsid w:val="00B1189F"/>
    <w:rsid w:val="00B11A9F"/>
    <w:rsid w:val="00B17BC2"/>
    <w:rsid w:val="00B2004B"/>
    <w:rsid w:val="00B20263"/>
    <w:rsid w:val="00B23782"/>
    <w:rsid w:val="00B23A68"/>
    <w:rsid w:val="00B24E90"/>
    <w:rsid w:val="00B2567D"/>
    <w:rsid w:val="00B26F5F"/>
    <w:rsid w:val="00B271C0"/>
    <w:rsid w:val="00B27FB6"/>
    <w:rsid w:val="00B301CF"/>
    <w:rsid w:val="00B320C2"/>
    <w:rsid w:val="00B3250A"/>
    <w:rsid w:val="00B33942"/>
    <w:rsid w:val="00B36588"/>
    <w:rsid w:val="00B403F0"/>
    <w:rsid w:val="00B40924"/>
    <w:rsid w:val="00B40D2C"/>
    <w:rsid w:val="00B413F2"/>
    <w:rsid w:val="00B4218E"/>
    <w:rsid w:val="00B42352"/>
    <w:rsid w:val="00B45E7D"/>
    <w:rsid w:val="00B46B37"/>
    <w:rsid w:val="00B4769F"/>
    <w:rsid w:val="00B502C9"/>
    <w:rsid w:val="00B5099B"/>
    <w:rsid w:val="00B510E5"/>
    <w:rsid w:val="00B530B1"/>
    <w:rsid w:val="00B540AF"/>
    <w:rsid w:val="00B55A6A"/>
    <w:rsid w:val="00B55CD5"/>
    <w:rsid w:val="00B56ECB"/>
    <w:rsid w:val="00B604B0"/>
    <w:rsid w:val="00B61884"/>
    <w:rsid w:val="00B61BDD"/>
    <w:rsid w:val="00B61DD6"/>
    <w:rsid w:val="00B6329C"/>
    <w:rsid w:val="00B632E7"/>
    <w:rsid w:val="00B64B14"/>
    <w:rsid w:val="00B64FD8"/>
    <w:rsid w:val="00B666B9"/>
    <w:rsid w:val="00B70BAF"/>
    <w:rsid w:val="00B719F6"/>
    <w:rsid w:val="00B72A43"/>
    <w:rsid w:val="00B72A5B"/>
    <w:rsid w:val="00B7475B"/>
    <w:rsid w:val="00B76BE7"/>
    <w:rsid w:val="00B76CDF"/>
    <w:rsid w:val="00B806F8"/>
    <w:rsid w:val="00B80A47"/>
    <w:rsid w:val="00B80F0E"/>
    <w:rsid w:val="00B80F79"/>
    <w:rsid w:val="00B81B1E"/>
    <w:rsid w:val="00B8243F"/>
    <w:rsid w:val="00B8385A"/>
    <w:rsid w:val="00B84A5E"/>
    <w:rsid w:val="00B85ADB"/>
    <w:rsid w:val="00B86886"/>
    <w:rsid w:val="00B86E65"/>
    <w:rsid w:val="00B86F9E"/>
    <w:rsid w:val="00B871AB"/>
    <w:rsid w:val="00B87941"/>
    <w:rsid w:val="00B91E16"/>
    <w:rsid w:val="00B920F8"/>
    <w:rsid w:val="00B93B04"/>
    <w:rsid w:val="00B93E0E"/>
    <w:rsid w:val="00B94135"/>
    <w:rsid w:val="00B94E1B"/>
    <w:rsid w:val="00B96292"/>
    <w:rsid w:val="00BA018A"/>
    <w:rsid w:val="00BA1C5B"/>
    <w:rsid w:val="00BA1CAD"/>
    <w:rsid w:val="00BA3953"/>
    <w:rsid w:val="00BA5185"/>
    <w:rsid w:val="00BA530C"/>
    <w:rsid w:val="00BA7E6A"/>
    <w:rsid w:val="00BB0AA2"/>
    <w:rsid w:val="00BB1B19"/>
    <w:rsid w:val="00BB2104"/>
    <w:rsid w:val="00BB2C8B"/>
    <w:rsid w:val="00BB3D13"/>
    <w:rsid w:val="00BB5251"/>
    <w:rsid w:val="00BB5694"/>
    <w:rsid w:val="00BB64CE"/>
    <w:rsid w:val="00BB675F"/>
    <w:rsid w:val="00BB6857"/>
    <w:rsid w:val="00BB7FF0"/>
    <w:rsid w:val="00BC155A"/>
    <w:rsid w:val="00BC1BDA"/>
    <w:rsid w:val="00BC1CD7"/>
    <w:rsid w:val="00BC294C"/>
    <w:rsid w:val="00BC3467"/>
    <w:rsid w:val="00BC3E56"/>
    <w:rsid w:val="00BC46A0"/>
    <w:rsid w:val="00BC475A"/>
    <w:rsid w:val="00BC5700"/>
    <w:rsid w:val="00BC5777"/>
    <w:rsid w:val="00BC6BB4"/>
    <w:rsid w:val="00BC6BF6"/>
    <w:rsid w:val="00BD079E"/>
    <w:rsid w:val="00BD0C79"/>
    <w:rsid w:val="00BD1CAA"/>
    <w:rsid w:val="00BD45FC"/>
    <w:rsid w:val="00BD498D"/>
    <w:rsid w:val="00BD6A0F"/>
    <w:rsid w:val="00BD6DF6"/>
    <w:rsid w:val="00BD7373"/>
    <w:rsid w:val="00BD73CC"/>
    <w:rsid w:val="00BD7A97"/>
    <w:rsid w:val="00BE1055"/>
    <w:rsid w:val="00BE1FF6"/>
    <w:rsid w:val="00BE31E2"/>
    <w:rsid w:val="00BE4094"/>
    <w:rsid w:val="00BE4FAE"/>
    <w:rsid w:val="00BE7CE1"/>
    <w:rsid w:val="00BE7D32"/>
    <w:rsid w:val="00BF0181"/>
    <w:rsid w:val="00BF2020"/>
    <w:rsid w:val="00BF325C"/>
    <w:rsid w:val="00BF3A4A"/>
    <w:rsid w:val="00BF4663"/>
    <w:rsid w:val="00BF49EA"/>
    <w:rsid w:val="00BF5DFB"/>
    <w:rsid w:val="00C03B73"/>
    <w:rsid w:val="00C048C1"/>
    <w:rsid w:val="00C04B01"/>
    <w:rsid w:val="00C04F7C"/>
    <w:rsid w:val="00C05C62"/>
    <w:rsid w:val="00C05D9C"/>
    <w:rsid w:val="00C0668D"/>
    <w:rsid w:val="00C07617"/>
    <w:rsid w:val="00C07C7C"/>
    <w:rsid w:val="00C11C3D"/>
    <w:rsid w:val="00C122B0"/>
    <w:rsid w:val="00C1248D"/>
    <w:rsid w:val="00C12721"/>
    <w:rsid w:val="00C1282A"/>
    <w:rsid w:val="00C134C6"/>
    <w:rsid w:val="00C144DD"/>
    <w:rsid w:val="00C14A3F"/>
    <w:rsid w:val="00C153E1"/>
    <w:rsid w:val="00C1657E"/>
    <w:rsid w:val="00C17BD5"/>
    <w:rsid w:val="00C17CC7"/>
    <w:rsid w:val="00C20944"/>
    <w:rsid w:val="00C20C3E"/>
    <w:rsid w:val="00C20F09"/>
    <w:rsid w:val="00C20F27"/>
    <w:rsid w:val="00C216AD"/>
    <w:rsid w:val="00C21FA1"/>
    <w:rsid w:val="00C2468A"/>
    <w:rsid w:val="00C24E19"/>
    <w:rsid w:val="00C2677A"/>
    <w:rsid w:val="00C26ADD"/>
    <w:rsid w:val="00C26D03"/>
    <w:rsid w:val="00C279F5"/>
    <w:rsid w:val="00C30A66"/>
    <w:rsid w:val="00C3217B"/>
    <w:rsid w:val="00C325AB"/>
    <w:rsid w:val="00C34015"/>
    <w:rsid w:val="00C35737"/>
    <w:rsid w:val="00C36D6E"/>
    <w:rsid w:val="00C3734C"/>
    <w:rsid w:val="00C37CC2"/>
    <w:rsid w:val="00C40DA2"/>
    <w:rsid w:val="00C415A9"/>
    <w:rsid w:val="00C428AB"/>
    <w:rsid w:val="00C4660E"/>
    <w:rsid w:val="00C50F9C"/>
    <w:rsid w:val="00C519F7"/>
    <w:rsid w:val="00C54DF2"/>
    <w:rsid w:val="00C55EB8"/>
    <w:rsid w:val="00C56831"/>
    <w:rsid w:val="00C57BB7"/>
    <w:rsid w:val="00C61727"/>
    <w:rsid w:val="00C61F6D"/>
    <w:rsid w:val="00C6235F"/>
    <w:rsid w:val="00C6478C"/>
    <w:rsid w:val="00C655FE"/>
    <w:rsid w:val="00C65768"/>
    <w:rsid w:val="00C65CAA"/>
    <w:rsid w:val="00C66768"/>
    <w:rsid w:val="00C70117"/>
    <w:rsid w:val="00C71AEE"/>
    <w:rsid w:val="00C729D2"/>
    <w:rsid w:val="00C74689"/>
    <w:rsid w:val="00C746F4"/>
    <w:rsid w:val="00C748AE"/>
    <w:rsid w:val="00C74D1F"/>
    <w:rsid w:val="00C75AF8"/>
    <w:rsid w:val="00C76CA6"/>
    <w:rsid w:val="00C80285"/>
    <w:rsid w:val="00C828EB"/>
    <w:rsid w:val="00C83196"/>
    <w:rsid w:val="00C83820"/>
    <w:rsid w:val="00C84B0E"/>
    <w:rsid w:val="00C84DA6"/>
    <w:rsid w:val="00C84E98"/>
    <w:rsid w:val="00C85CC1"/>
    <w:rsid w:val="00C8653F"/>
    <w:rsid w:val="00C867D6"/>
    <w:rsid w:val="00C86E71"/>
    <w:rsid w:val="00C87075"/>
    <w:rsid w:val="00C902DB"/>
    <w:rsid w:val="00C90A73"/>
    <w:rsid w:val="00C92812"/>
    <w:rsid w:val="00C940E1"/>
    <w:rsid w:val="00C94BEE"/>
    <w:rsid w:val="00C97163"/>
    <w:rsid w:val="00C97522"/>
    <w:rsid w:val="00CA12D7"/>
    <w:rsid w:val="00CA279C"/>
    <w:rsid w:val="00CA30B4"/>
    <w:rsid w:val="00CA336A"/>
    <w:rsid w:val="00CA3DC9"/>
    <w:rsid w:val="00CA530A"/>
    <w:rsid w:val="00CA56A2"/>
    <w:rsid w:val="00CA5D4F"/>
    <w:rsid w:val="00CA6003"/>
    <w:rsid w:val="00CA6CA4"/>
    <w:rsid w:val="00CB1CEA"/>
    <w:rsid w:val="00CB3116"/>
    <w:rsid w:val="00CB3607"/>
    <w:rsid w:val="00CB391E"/>
    <w:rsid w:val="00CB5D82"/>
    <w:rsid w:val="00CB5F91"/>
    <w:rsid w:val="00CB68B1"/>
    <w:rsid w:val="00CB7E2D"/>
    <w:rsid w:val="00CC09D0"/>
    <w:rsid w:val="00CC137F"/>
    <w:rsid w:val="00CC319F"/>
    <w:rsid w:val="00CC423F"/>
    <w:rsid w:val="00CC4855"/>
    <w:rsid w:val="00CC4B2F"/>
    <w:rsid w:val="00CC4E09"/>
    <w:rsid w:val="00CC5F1A"/>
    <w:rsid w:val="00CC5FB9"/>
    <w:rsid w:val="00CC79FF"/>
    <w:rsid w:val="00CD0EC8"/>
    <w:rsid w:val="00CD1550"/>
    <w:rsid w:val="00CD2374"/>
    <w:rsid w:val="00CD48A8"/>
    <w:rsid w:val="00CD4EFC"/>
    <w:rsid w:val="00CD50F7"/>
    <w:rsid w:val="00CD5192"/>
    <w:rsid w:val="00CD56EC"/>
    <w:rsid w:val="00CD5C9B"/>
    <w:rsid w:val="00CD7A04"/>
    <w:rsid w:val="00CE0236"/>
    <w:rsid w:val="00CE43B3"/>
    <w:rsid w:val="00CE6B6D"/>
    <w:rsid w:val="00CE6C43"/>
    <w:rsid w:val="00CE789C"/>
    <w:rsid w:val="00CF08E0"/>
    <w:rsid w:val="00CF206C"/>
    <w:rsid w:val="00CF288F"/>
    <w:rsid w:val="00CF367D"/>
    <w:rsid w:val="00CF449E"/>
    <w:rsid w:val="00CF4E10"/>
    <w:rsid w:val="00CF595B"/>
    <w:rsid w:val="00CF62EB"/>
    <w:rsid w:val="00CF680F"/>
    <w:rsid w:val="00CF6EC0"/>
    <w:rsid w:val="00CF7143"/>
    <w:rsid w:val="00D006EC"/>
    <w:rsid w:val="00D008E8"/>
    <w:rsid w:val="00D01E8D"/>
    <w:rsid w:val="00D04DC8"/>
    <w:rsid w:val="00D07347"/>
    <w:rsid w:val="00D07AA7"/>
    <w:rsid w:val="00D1040E"/>
    <w:rsid w:val="00D110A5"/>
    <w:rsid w:val="00D11152"/>
    <w:rsid w:val="00D137AE"/>
    <w:rsid w:val="00D13CC1"/>
    <w:rsid w:val="00D14F81"/>
    <w:rsid w:val="00D163BA"/>
    <w:rsid w:val="00D164B6"/>
    <w:rsid w:val="00D164EB"/>
    <w:rsid w:val="00D17340"/>
    <w:rsid w:val="00D175D4"/>
    <w:rsid w:val="00D20F0D"/>
    <w:rsid w:val="00D22D0C"/>
    <w:rsid w:val="00D23B7E"/>
    <w:rsid w:val="00D256C7"/>
    <w:rsid w:val="00D26484"/>
    <w:rsid w:val="00D27357"/>
    <w:rsid w:val="00D32210"/>
    <w:rsid w:val="00D32FDB"/>
    <w:rsid w:val="00D33821"/>
    <w:rsid w:val="00D3447D"/>
    <w:rsid w:val="00D35ACA"/>
    <w:rsid w:val="00D35D3A"/>
    <w:rsid w:val="00D36540"/>
    <w:rsid w:val="00D448AB"/>
    <w:rsid w:val="00D45687"/>
    <w:rsid w:val="00D53F1C"/>
    <w:rsid w:val="00D5449F"/>
    <w:rsid w:val="00D5465E"/>
    <w:rsid w:val="00D54867"/>
    <w:rsid w:val="00D54966"/>
    <w:rsid w:val="00D55068"/>
    <w:rsid w:val="00D562E0"/>
    <w:rsid w:val="00D56496"/>
    <w:rsid w:val="00D565E0"/>
    <w:rsid w:val="00D56631"/>
    <w:rsid w:val="00D57CF5"/>
    <w:rsid w:val="00D6094C"/>
    <w:rsid w:val="00D60B6B"/>
    <w:rsid w:val="00D61556"/>
    <w:rsid w:val="00D61F1E"/>
    <w:rsid w:val="00D64718"/>
    <w:rsid w:val="00D64D33"/>
    <w:rsid w:val="00D65597"/>
    <w:rsid w:val="00D65DF6"/>
    <w:rsid w:val="00D6697F"/>
    <w:rsid w:val="00D66F09"/>
    <w:rsid w:val="00D67256"/>
    <w:rsid w:val="00D672AF"/>
    <w:rsid w:val="00D67963"/>
    <w:rsid w:val="00D67D0F"/>
    <w:rsid w:val="00D67E70"/>
    <w:rsid w:val="00D70003"/>
    <w:rsid w:val="00D70A15"/>
    <w:rsid w:val="00D70E69"/>
    <w:rsid w:val="00D70F5B"/>
    <w:rsid w:val="00D7204D"/>
    <w:rsid w:val="00D72DE4"/>
    <w:rsid w:val="00D73D65"/>
    <w:rsid w:val="00D7505B"/>
    <w:rsid w:val="00D76249"/>
    <w:rsid w:val="00D76BD2"/>
    <w:rsid w:val="00D774AC"/>
    <w:rsid w:val="00D776EA"/>
    <w:rsid w:val="00D80AF9"/>
    <w:rsid w:val="00D80FA3"/>
    <w:rsid w:val="00D81C9C"/>
    <w:rsid w:val="00D82CE9"/>
    <w:rsid w:val="00D83D85"/>
    <w:rsid w:val="00D842C4"/>
    <w:rsid w:val="00D863E3"/>
    <w:rsid w:val="00D86450"/>
    <w:rsid w:val="00D8687F"/>
    <w:rsid w:val="00D87236"/>
    <w:rsid w:val="00D90131"/>
    <w:rsid w:val="00D90659"/>
    <w:rsid w:val="00D91123"/>
    <w:rsid w:val="00D91761"/>
    <w:rsid w:val="00D92C62"/>
    <w:rsid w:val="00D93EB5"/>
    <w:rsid w:val="00D9458C"/>
    <w:rsid w:val="00D94782"/>
    <w:rsid w:val="00D959BE"/>
    <w:rsid w:val="00D95EA1"/>
    <w:rsid w:val="00DA00F5"/>
    <w:rsid w:val="00DA1611"/>
    <w:rsid w:val="00DA1D39"/>
    <w:rsid w:val="00DA2F54"/>
    <w:rsid w:val="00DA3666"/>
    <w:rsid w:val="00DA3CA9"/>
    <w:rsid w:val="00DA4286"/>
    <w:rsid w:val="00DA576E"/>
    <w:rsid w:val="00DA5F78"/>
    <w:rsid w:val="00DA6A67"/>
    <w:rsid w:val="00DA75AA"/>
    <w:rsid w:val="00DA7824"/>
    <w:rsid w:val="00DA7D8E"/>
    <w:rsid w:val="00DB0643"/>
    <w:rsid w:val="00DB0F2C"/>
    <w:rsid w:val="00DB1B2F"/>
    <w:rsid w:val="00DB28CD"/>
    <w:rsid w:val="00DB32BF"/>
    <w:rsid w:val="00DB5092"/>
    <w:rsid w:val="00DB58E2"/>
    <w:rsid w:val="00DB5BC2"/>
    <w:rsid w:val="00DC0B0C"/>
    <w:rsid w:val="00DC1DCC"/>
    <w:rsid w:val="00DC27D5"/>
    <w:rsid w:val="00DC372B"/>
    <w:rsid w:val="00DC3B81"/>
    <w:rsid w:val="00DC4268"/>
    <w:rsid w:val="00DC5F7B"/>
    <w:rsid w:val="00DC66F6"/>
    <w:rsid w:val="00DC66FE"/>
    <w:rsid w:val="00DC6A13"/>
    <w:rsid w:val="00DC7264"/>
    <w:rsid w:val="00DC7AA8"/>
    <w:rsid w:val="00DC7B26"/>
    <w:rsid w:val="00DC7E5D"/>
    <w:rsid w:val="00DD1515"/>
    <w:rsid w:val="00DD1729"/>
    <w:rsid w:val="00DD215D"/>
    <w:rsid w:val="00DD227D"/>
    <w:rsid w:val="00DD3F79"/>
    <w:rsid w:val="00DD3FBE"/>
    <w:rsid w:val="00DD4857"/>
    <w:rsid w:val="00DD5696"/>
    <w:rsid w:val="00DD6066"/>
    <w:rsid w:val="00DD6E86"/>
    <w:rsid w:val="00DD7B28"/>
    <w:rsid w:val="00DD7DF6"/>
    <w:rsid w:val="00DE11C8"/>
    <w:rsid w:val="00DE24E9"/>
    <w:rsid w:val="00DE3C49"/>
    <w:rsid w:val="00DE437D"/>
    <w:rsid w:val="00DE51E5"/>
    <w:rsid w:val="00DE683C"/>
    <w:rsid w:val="00DE7C99"/>
    <w:rsid w:val="00DE7CBA"/>
    <w:rsid w:val="00DF19C0"/>
    <w:rsid w:val="00DF3346"/>
    <w:rsid w:val="00DF38F8"/>
    <w:rsid w:val="00DF42EB"/>
    <w:rsid w:val="00DF4B52"/>
    <w:rsid w:val="00DF4BA3"/>
    <w:rsid w:val="00DF4D70"/>
    <w:rsid w:val="00DF4F56"/>
    <w:rsid w:val="00DF6459"/>
    <w:rsid w:val="00DF6DA2"/>
    <w:rsid w:val="00E000EF"/>
    <w:rsid w:val="00E00591"/>
    <w:rsid w:val="00E007AE"/>
    <w:rsid w:val="00E00B6B"/>
    <w:rsid w:val="00E00E89"/>
    <w:rsid w:val="00E02973"/>
    <w:rsid w:val="00E0655F"/>
    <w:rsid w:val="00E06DDB"/>
    <w:rsid w:val="00E0745F"/>
    <w:rsid w:val="00E0759E"/>
    <w:rsid w:val="00E12351"/>
    <w:rsid w:val="00E1385D"/>
    <w:rsid w:val="00E14DD6"/>
    <w:rsid w:val="00E14EFF"/>
    <w:rsid w:val="00E156C4"/>
    <w:rsid w:val="00E16709"/>
    <w:rsid w:val="00E1688E"/>
    <w:rsid w:val="00E16CD1"/>
    <w:rsid w:val="00E21064"/>
    <w:rsid w:val="00E2170D"/>
    <w:rsid w:val="00E2229F"/>
    <w:rsid w:val="00E224B5"/>
    <w:rsid w:val="00E228EC"/>
    <w:rsid w:val="00E23B3B"/>
    <w:rsid w:val="00E24079"/>
    <w:rsid w:val="00E24C7F"/>
    <w:rsid w:val="00E25F05"/>
    <w:rsid w:val="00E27933"/>
    <w:rsid w:val="00E27E72"/>
    <w:rsid w:val="00E3130F"/>
    <w:rsid w:val="00E32FD0"/>
    <w:rsid w:val="00E33486"/>
    <w:rsid w:val="00E336BF"/>
    <w:rsid w:val="00E34AFE"/>
    <w:rsid w:val="00E40EA6"/>
    <w:rsid w:val="00E429B8"/>
    <w:rsid w:val="00E42B5B"/>
    <w:rsid w:val="00E42BA6"/>
    <w:rsid w:val="00E4420E"/>
    <w:rsid w:val="00E44FA6"/>
    <w:rsid w:val="00E469D8"/>
    <w:rsid w:val="00E501CB"/>
    <w:rsid w:val="00E502D4"/>
    <w:rsid w:val="00E50590"/>
    <w:rsid w:val="00E52028"/>
    <w:rsid w:val="00E520C5"/>
    <w:rsid w:val="00E5379D"/>
    <w:rsid w:val="00E53C50"/>
    <w:rsid w:val="00E53EA8"/>
    <w:rsid w:val="00E5460A"/>
    <w:rsid w:val="00E546E4"/>
    <w:rsid w:val="00E5653B"/>
    <w:rsid w:val="00E56BE2"/>
    <w:rsid w:val="00E607C3"/>
    <w:rsid w:val="00E61439"/>
    <w:rsid w:val="00E6180B"/>
    <w:rsid w:val="00E61D0B"/>
    <w:rsid w:val="00E634D1"/>
    <w:rsid w:val="00E63D81"/>
    <w:rsid w:val="00E63FD9"/>
    <w:rsid w:val="00E6462F"/>
    <w:rsid w:val="00E6538E"/>
    <w:rsid w:val="00E65F4B"/>
    <w:rsid w:val="00E71F08"/>
    <w:rsid w:val="00E7219F"/>
    <w:rsid w:val="00E732A1"/>
    <w:rsid w:val="00E73D50"/>
    <w:rsid w:val="00E7401E"/>
    <w:rsid w:val="00E751EC"/>
    <w:rsid w:val="00E75CB3"/>
    <w:rsid w:val="00E806A2"/>
    <w:rsid w:val="00E81012"/>
    <w:rsid w:val="00E82D85"/>
    <w:rsid w:val="00E83916"/>
    <w:rsid w:val="00E83E7A"/>
    <w:rsid w:val="00E84362"/>
    <w:rsid w:val="00E8561A"/>
    <w:rsid w:val="00E860D3"/>
    <w:rsid w:val="00E90E9B"/>
    <w:rsid w:val="00E91DBA"/>
    <w:rsid w:val="00E93936"/>
    <w:rsid w:val="00E94FB4"/>
    <w:rsid w:val="00E95024"/>
    <w:rsid w:val="00E95DEF"/>
    <w:rsid w:val="00EA0369"/>
    <w:rsid w:val="00EA584F"/>
    <w:rsid w:val="00EA638C"/>
    <w:rsid w:val="00EA6667"/>
    <w:rsid w:val="00EA758A"/>
    <w:rsid w:val="00EA7976"/>
    <w:rsid w:val="00EA7B77"/>
    <w:rsid w:val="00EB1E23"/>
    <w:rsid w:val="00EB225B"/>
    <w:rsid w:val="00EB2E2D"/>
    <w:rsid w:val="00EB3F73"/>
    <w:rsid w:val="00EB5F5B"/>
    <w:rsid w:val="00EB6770"/>
    <w:rsid w:val="00EB6B43"/>
    <w:rsid w:val="00EC0F91"/>
    <w:rsid w:val="00EC139C"/>
    <w:rsid w:val="00EC14A8"/>
    <w:rsid w:val="00EC18A3"/>
    <w:rsid w:val="00EC3579"/>
    <w:rsid w:val="00EC47AC"/>
    <w:rsid w:val="00EC6D33"/>
    <w:rsid w:val="00EC7EE1"/>
    <w:rsid w:val="00ED054E"/>
    <w:rsid w:val="00ED09D4"/>
    <w:rsid w:val="00ED0C58"/>
    <w:rsid w:val="00ED0C63"/>
    <w:rsid w:val="00ED3AFF"/>
    <w:rsid w:val="00ED4466"/>
    <w:rsid w:val="00ED4E8C"/>
    <w:rsid w:val="00ED539F"/>
    <w:rsid w:val="00ED5DB5"/>
    <w:rsid w:val="00ED5F0F"/>
    <w:rsid w:val="00ED6798"/>
    <w:rsid w:val="00ED6873"/>
    <w:rsid w:val="00ED792F"/>
    <w:rsid w:val="00ED7CD7"/>
    <w:rsid w:val="00EE0A85"/>
    <w:rsid w:val="00EE11BA"/>
    <w:rsid w:val="00EE1835"/>
    <w:rsid w:val="00EE1C20"/>
    <w:rsid w:val="00EE1DCE"/>
    <w:rsid w:val="00EE27C0"/>
    <w:rsid w:val="00EE293C"/>
    <w:rsid w:val="00EE3742"/>
    <w:rsid w:val="00EE439D"/>
    <w:rsid w:val="00EE5113"/>
    <w:rsid w:val="00EE683D"/>
    <w:rsid w:val="00EE7590"/>
    <w:rsid w:val="00EE7B04"/>
    <w:rsid w:val="00EF3667"/>
    <w:rsid w:val="00EF40AB"/>
    <w:rsid w:val="00EF630C"/>
    <w:rsid w:val="00EF7196"/>
    <w:rsid w:val="00F000CE"/>
    <w:rsid w:val="00F0029C"/>
    <w:rsid w:val="00F00744"/>
    <w:rsid w:val="00F00D9B"/>
    <w:rsid w:val="00F01B80"/>
    <w:rsid w:val="00F02E2E"/>
    <w:rsid w:val="00F03C59"/>
    <w:rsid w:val="00F05BDB"/>
    <w:rsid w:val="00F0652A"/>
    <w:rsid w:val="00F072F7"/>
    <w:rsid w:val="00F0776A"/>
    <w:rsid w:val="00F0796C"/>
    <w:rsid w:val="00F10FC0"/>
    <w:rsid w:val="00F11193"/>
    <w:rsid w:val="00F11841"/>
    <w:rsid w:val="00F11E80"/>
    <w:rsid w:val="00F12677"/>
    <w:rsid w:val="00F131D9"/>
    <w:rsid w:val="00F1421D"/>
    <w:rsid w:val="00F155AB"/>
    <w:rsid w:val="00F15950"/>
    <w:rsid w:val="00F16291"/>
    <w:rsid w:val="00F16730"/>
    <w:rsid w:val="00F20A21"/>
    <w:rsid w:val="00F20E95"/>
    <w:rsid w:val="00F213A3"/>
    <w:rsid w:val="00F221CA"/>
    <w:rsid w:val="00F23003"/>
    <w:rsid w:val="00F244E4"/>
    <w:rsid w:val="00F264B9"/>
    <w:rsid w:val="00F266FF"/>
    <w:rsid w:val="00F31733"/>
    <w:rsid w:val="00F31797"/>
    <w:rsid w:val="00F353BA"/>
    <w:rsid w:val="00F3566B"/>
    <w:rsid w:val="00F35A81"/>
    <w:rsid w:val="00F36093"/>
    <w:rsid w:val="00F361D8"/>
    <w:rsid w:val="00F3649E"/>
    <w:rsid w:val="00F36BD9"/>
    <w:rsid w:val="00F36F61"/>
    <w:rsid w:val="00F36F9B"/>
    <w:rsid w:val="00F370EF"/>
    <w:rsid w:val="00F371D3"/>
    <w:rsid w:val="00F3730F"/>
    <w:rsid w:val="00F37AC7"/>
    <w:rsid w:val="00F40924"/>
    <w:rsid w:val="00F40D83"/>
    <w:rsid w:val="00F43C94"/>
    <w:rsid w:val="00F43D22"/>
    <w:rsid w:val="00F4462D"/>
    <w:rsid w:val="00F4484D"/>
    <w:rsid w:val="00F459F4"/>
    <w:rsid w:val="00F45BE0"/>
    <w:rsid w:val="00F47573"/>
    <w:rsid w:val="00F50158"/>
    <w:rsid w:val="00F505D6"/>
    <w:rsid w:val="00F52643"/>
    <w:rsid w:val="00F52C9F"/>
    <w:rsid w:val="00F53402"/>
    <w:rsid w:val="00F53577"/>
    <w:rsid w:val="00F5429F"/>
    <w:rsid w:val="00F54E9E"/>
    <w:rsid w:val="00F56A4E"/>
    <w:rsid w:val="00F56EBE"/>
    <w:rsid w:val="00F57317"/>
    <w:rsid w:val="00F57D43"/>
    <w:rsid w:val="00F57FBC"/>
    <w:rsid w:val="00F609FC"/>
    <w:rsid w:val="00F61172"/>
    <w:rsid w:val="00F63F72"/>
    <w:rsid w:val="00F64105"/>
    <w:rsid w:val="00F64E5E"/>
    <w:rsid w:val="00F6614E"/>
    <w:rsid w:val="00F67587"/>
    <w:rsid w:val="00F70092"/>
    <w:rsid w:val="00F70710"/>
    <w:rsid w:val="00F71104"/>
    <w:rsid w:val="00F71884"/>
    <w:rsid w:val="00F71F38"/>
    <w:rsid w:val="00F71F82"/>
    <w:rsid w:val="00F721CA"/>
    <w:rsid w:val="00F7268B"/>
    <w:rsid w:val="00F74944"/>
    <w:rsid w:val="00F74CFD"/>
    <w:rsid w:val="00F772AE"/>
    <w:rsid w:val="00F7740E"/>
    <w:rsid w:val="00F77AE8"/>
    <w:rsid w:val="00F77C9D"/>
    <w:rsid w:val="00F801A8"/>
    <w:rsid w:val="00F801DA"/>
    <w:rsid w:val="00F824CE"/>
    <w:rsid w:val="00F85B98"/>
    <w:rsid w:val="00F8612D"/>
    <w:rsid w:val="00F86B6D"/>
    <w:rsid w:val="00F90022"/>
    <w:rsid w:val="00F9048D"/>
    <w:rsid w:val="00F905FE"/>
    <w:rsid w:val="00F92BB2"/>
    <w:rsid w:val="00F94164"/>
    <w:rsid w:val="00F94A52"/>
    <w:rsid w:val="00F95140"/>
    <w:rsid w:val="00F951F0"/>
    <w:rsid w:val="00F95F80"/>
    <w:rsid w:val="00F95F92"/>
    <w:rsid w:val="00F96614"/>
    <w:rsid w:val="00F975CD"/>
    <w:rsid w:val="00FA0533"/>
    <w:rsid w:val="00FA2DB7"/>
    <w:rsid w:val="00FA3CC6"/>
    <w:rsid w:val="00FA5560"/>
    <w:rsid w:val="00FA7426"/>
    <w:rsid w:val="00FA7681"/>
    <w:rsid w:val="00FB116E"/>
    <w:rsid w:val="00FB22B9"/>
    <w:rsid w:val="00FB7F96"/>
    <w:rsid w:val="00FC16F3"/>
    <w:rsid w:val="00FC34BF"/>
    <w:rsid w:val="00FC3B98"/>
    <w:rsid w:val="00FC4A7F"/>
    <w:rsid w:val="00FC4C6C"/>
    <w:rsid w:val="00FC731E"/>
    <w:rsid w:val="00FC7BE5"/>
    <w:rsid w:val="00FC7E67"/>
    <w:rsid w:val="00FD217F"/>
    <w:rsid w:val="00FD22B0"/>
    <w:rsid w:val="00FD2736"/>
    <w:rsid w:val="00FD2B62"/>
    <w:rsid w:val="00FD3E88"/>
    <w:rsid w:val="00FD3E90"/>
    <w:rsid w:val="00FD4058"/>
    <w:rsid w:val="00FD559F"/>
    <w:rsid w:val="00FD74F0"/>
    <w:rsid w:val="00FD7A16"/>
    <w:rsid w:val="00FE0267"/>
    <w:rsid w:val="00FE0D2F"/>
    <w:rsid w:val="00FE1E38"/>
    <w:rsid w:val="00FE2AE3"/>
    <w:rsid w:val="00FE2B52"/>
    <w:rsid w:val="00FE2C0F"/>
    <w:rsid w:val="00FE2F93"/>
    <w:rsid w:val="00FE3BD8"/>
    <w:rsid w:val="00FE6030"/>
    <w:rsid w:val="00FE7BB9"/>
    <w:rsid w:val="00FF0B4B"/>
    <w:rsid w:val="00FF2344"/>
    <w:rsid w:val="00FF2489"/>
    <w:rsid w:val="00FF2F7C"/>
    <w:rsid w:val="00FF42D7"/>
    <w:rsid w:val="00FF45D8"/>
    <w:rsid w:val="00FF4FD0"/>
    <w:rsid w:val="00FF54C7"/>
    <w:rsid w:val="00FF5ED7"/>
    <w:rsid w:val="00FF7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3F4A2E6"/>
  <w15:chartTrackingRefBased/>
  <w15:docId w15:val="{27DE7BB8-F471-430B-B862-837359A3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619DA"/>
    <w:pPr>
      <w:spacing w:before="120" w:after="120"/>
    </w:pPr>
    <w:rPr>
      <w:rFonts w:ascii="Helvetica" w:eastAsia="Times" w:hAnsi="Helvetica"/>
      <w:sz w:val="24"/>
    </w:rPr>
  </w:style>
  <w:style w:type="paragraph" w:styleId="Heading1">
    <w:name w:val="heading 1"/>
    <w:basedOn w:val="Normal"/>
    <w:next w:val="Normal"/>
    <w:link w:val="Heading1Char"/>
    <w:qFormat/>
    <w:rsid w:val="00FF2F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A90C08"/>
    <w:pPr>
      <w:keepNext/>
      <w:pBdr>
        <w:bottom w:val="single" w:sz="8" w:space="4" w:color="00424F"/>
      </w:pBdr>
      <w:tabs>
        <w:tab w:val="left" w:pos="0"/>
      </w:tabs>
      <w:spacing w:before="360" w:after="240"/>
      <w:outlineLvl w:val="1"/>
    </w:pPr>
    <w:rPr>
      <w:rFonts w:eastAsia="Times New Roman"/>
      <w:b/>
      <w:sz w:val="36"/>
    </w:rPr>
  </w:style>
  <w:style w:type="paragraph" w:styleId="Heading3">
    <w:name w:val="heading 3"/>
    <w:basedOn w:val="Normal"/>
    <w:next w:val="Normal"/>
    <w:qFormat/>
    <w:rsid w:val="00A90C0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90C08"/>
    <w:pPr>
      <w:keepNext/>
      <w:spacing w:after="60"/>
      <w:outlineLvl w:val="3"/>
    </w:pPr>
    <w:rPr>
      <w:b/>
    </w:rPr>
  </w:style>
  <w:style w:type="paragraph" w:styleId="Heading7">
    <w:name w:val="heading 7"/>
    <w:basedOn w:val="Normal"/>
    <w:next w:val="Normal"/>
    <w:qFormat/>
    <w:rsid w:val="00AB6CF8"/>
    <w:pPr>
      <w:spacing w:before="240" w:after="60"/>
      <w:outlineLvl w:val="6"/>
    </w:pPr>
    <w:rPr>
      <w:rFonts w:ascii="Cambria" w:eastAsia="Times New Roman" w:hAnsi="Cambria"/>
      <w:szCs w:val="24"/>
    </w:rPr>
  </w:style>
  <w:style w:type="character" w:default="1" w:styleId="DefaultParagraphFont">
    <w:name w:val="Default Paragraph Font"/>
    <w:aliases w:val=" Char Char1"/>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overviewtext"/>
    <w:link w:val="HeaderChar"/>
    <w:rsid w:val="00A90C08"/>
    <w:pPr>
      <w:tabs>
        <w:tab w:val="center" w:pos="4153"/>
        <w:tab w:val="right" w:pos="8306"/>
      </w:tabs>
    </w:pPr>
  </w:style>
  <w:style w:type="paragraph" w:customStyle="1" w:styleId="CommitteeTitle">
    <w:name w:val="Committee Title"/>
    <w:basedOn w:val="Header"/>
    <w:next w:val="Header"/>
    <w:qFormat/>
    <w:rsid w:val="00A90C08"/>
    <w:pPr>
      <w:shd w:val="clear" w:color="auto" w:fill="000000"/>
      <w:tabs>
        <w:tab w:val="clear" w:pos="4153"/>
        <w:tab w:val="clear" w:pos="8306"/>
      </w:tabs>
      <w:spacing w:after="120"/>
      <w:ind w:right="2835"/>
    </w:pPr>
    <w:rPr>
      <w:b/>
      <w:noProof/>
      <w:color w:val="FFFFFF"/>
    </w:rPr>
  </w:style>
  <w:style w:type="paragraph" w:customStyle="1" w:styleId="summarydetails">
    <w:name w:val="summary details"/>
    <w:basedOn w:val="overviewtext"/>
    <w:qFormat/>
    <w:rsid w:val="00A90C08"/>
    <w:pPr>
      <w:ind w:left="720"/>
    </w:pPr>
  </w:style>
  <w:style w:type="paragraph" w:customStyle="1" w:styleId="overviewtext">
    <w:name w:val="overview text"/>
    <w:link w:val="overviewtextChar"/>
    <w:qFormat/>
    <w:rsid w:val="00A90C08"/>
    <w:pPr>
      <w:spacing w:before="60" w:after="60"/>
    </w:pPr>
    <w:rPr>
      <w:rFonts w:ascii="Helvetica" w:eastAsia="Times" w:hAnsi="Helvetica"/>
      <w:sz w:val="24"/>
    </w:rPr>
  </w:style>
  <w:style w:type="paragraph" w:customStyle="1" w:styleId="overviewheading">
    <w:name w:val="overview heading"/>
    <w:basedOn w:val="overviewtext"/>
    <w:qFormat/>
    <w:rsid w:val="00A90C08"/>
    <w:pPr>
      <w:pBdr>
        <w:bottom w:val="single" w:sz="4" w:space="4" w:color="auto"/>
      </w:pBdr>
      <w:spacing w:before="120"/>
    </w:pPr>
    <w:rPr>
      <w:b/>
    </w:rPr>
  </w:style>
  <w:style w:type="paragraph" w:customStyle="1" w:styleId="ReportTitle">
    <w:name w:val="Report Title"/>
    <w:basedOn w:val="overviewtext"/>
    <w:qFormat/>
    <w:rsid w:val="00A90C08"/>
    <w:pPr>
      <w:spacing w:before="120" w:after="120"/>
    </w:pPr>
    <w:rPr>
      <w:b/>
      <w:sz w:val="40"/>
    </w:rPr>
  </w:style>
  <w:style w:type="paragraph" w:customStyle="1" w:styleId="Para2">
    <w:name w:val="Para2"/>
    <w:basedOn w:val="Normal"/>
    <w:link w:val="Para2Char"/>
    <w:autoRedefine/>
    <w:rsid w:val="00C2468A"/>
    <w:pPr>
      <w:spacing w:after="0"/>
      <w:jc w:val="both"/>
    </w:pPr>
  </w:style>
  <w:style w:type="paragraph" w:customStyle="1" w:styleId="Para1">
    <w:name w:val="Para1"/>
    <w:basedOn w:val="Heading3"/>
    <w:rsid w:val="00A90C08"/>
    <w:pPr>
      <w:tabs>
        <w:tab w:val="left" w:pos="1440"/>
      </w:tabs>
      <w:spacing w:after="120"/>
      <w:ind w:left="1440" w:hanging="720"/>
    </w:pPr>
    <w:rPr>
      <w:rFonts w:ascii="Helvetica" w:hAnsi="Helvetica" w:cs="Times New Roman"/>
      <w:b w:val="0"/>
      <w:bCs w:val="0"/>
      <w:sz w:val="24"/>
      <w:szCs w:val="24"/>
    </w:rPr>
  </w:style>
  <w:style w:type="character" w:customStyle="1" w:styleId="Heading2Char">
    <w:name w:val="Heading 2 Char"/>
    <w:link w:val="Heading2"/>
    <w:rsid w:val="00A90C08"/>
    <w:rPr>
      <w:rFonts w:ascii="Helvetica" w:hAnsi="Helvetica"/>
      <w:b/>
      <w:sz w:val="36"/>
      <w:lang w:val="en-GB" w:eastAsia="en-GB" w:bidi="ar-SA"/>
    </w:rPr>
  </w:style>
  <w:style w:type="character" w:customStyle="1" w:styleId="overviewtextChar">
    <w:name w:val="overview text Char"/>
    <w:link w:val="overviewtext"/>
    <w:rsid w:val="00A90C08"/>
    <w:rPr>
      <w:rFonts w:ascii="Helvetica" w:eastAsia="Times" w:hAnsi="Helvetica"/>
      <w:sz w:val="24"/>
      <w:lang w:val="en-GB" w:eastAsia="en-GB" w:bidi="ar-SA"/>
    </w:rPr>
  </w:style>
  <w:style w:type="character" w:customStyle="1" w:styleId="HeaderChar">
    <w:name w:val="Header Char"/>
    <w:basedOn w:val="overviewtextChar"/>
    <w:link w:val="Header"/>
    <w:rsid w:val="00A90C08"/>
    <w:rPr>
      <w:rFonts w:ascii="Helvetica" w:eastAsia="Times" w:hAnsi="Helvetica"/>
      <w:sz w:val="24"/>
      <w:lang w:val="en-GB" w:eastAsia="en-GB" w:bidi="ar-SA"/>
    </w:rPr>
  </w:style>
  <w:style w:type="character" w:customStyle="1" w:styleId="Para2Char">
    <w:name w:val="Para2 Char"/>
    <w:link w:val="Para2"/>
    <w:rsid w:val="00C2468A"/>
    <w:rPr>
      <w:rFonts w:ascii="Helvetica" w:eastAsia="Times" w:hAnsi="Helvetica"/>
      <w:sz w:val="24"/>
    </w:rPr>
  </w:style>
  <w:style w:type="paragraph" w:customStyle="1" w:styleId="NumberedList4">
    <w:name w:val="Numbered List4"/>
    <w:basedOn w:val="Normal"/>
    <w:rsid w:val="00A90C08"/>
    <w:pPr>
      <w:numPr>
        <w:numId w:val="1"/>
      </w:numPr>
      <w:tabs>
        <w:tab w:val="num" w:pos="851"/>
      </w:tabs>
      <w:ind w:left="1134" w:hanging="708"/>
    </w:pPr>
  </w:style>
  <w:style w:type="paragraph" w:styleId="BodyTextIndent3">
    <w:name w:val="Body Text Indent 3"/>
    <w:basedOn w:val="Normal"/>
    <w:rsid w:val="00A90C08"/>
    <w:pPr>
      <w:ind w:left="283"/>
    </w:pPr>
    <w:rPr>
      <w:sz w:val="16"/>
      <w:szCs w:val="16"/>
    </w:rPr>
  </w:style>
  <w:style w:type="paragraph" w:styleId="Footer">
    <w:name w:val="footer"/>
    <w:basedOn w:val="Normal"/>
    <w:link w:val="FooterChar"/>
    <w:uiPriority w:val="99"/>
    <w:rsid w:val="00A90C08"/>
    <w:pPr>
      <w:tabs>
        <w:tab w:val="center" w:pos="4153"/>
        <w:tab w:val="right" w:pos="8306"/>
      </w:tabs>
    </w:pPr>
  </w:style>
  <w:style w:type="paragraph" w:customStyle="1" w:styleId="NormalLatinArial">
    <w:name w:val="Normal + (Latin) Arial"/>
    <w:aliases w:val="Justified,Left:  0 cm,Hanging:  1.27 cm,Before:  0..."/>
    <w:basedOn w:val="Normal"/>
    <w:rsid w:val="00DD7DF6"/>
    <w:pPr>
      <w:spacing w:before="0" w:after="0"/>
      <w:ind w:left="720" w:hanging="720"/>
      <w:jc w:val="both"/>
    </w:pPr>
    <w:rPr>
      <w:rFonts w:ascii="Arial" w:hAnsi="Arial" w:cs="Arial"/>
      <w:szCs w:val="24"/>
    </w:rPr>
  </w:style>
  <w:style w:type="paragraph" w:styleId="BodyTextIndent">
    <w:name w:val="Body Text Indent"/>
    <w:basedOn w:val="Normal"/>
    <w:rsid w:val="00DD7DF6"/>
    <w:pPr>
      <w:ind w:left="283"/>
    </w:pPr>
  </w:style>
  <w:style w:type="character" w:styleId="Emphasis">
    <w:name w:val="Emphasis"/>
    <w:qFormat/>
    <w:rsid w:val="00AB6CF8"/>
    <w:rPr>
      <w:i/>
      <w:iCs/>
    </w:rPr>
  </w:style>
  <w:style w:type="paragraph" w:styleId="BodyText">
    <w:name w:val="Body Text"/>
    <w:basedOn w:val="Normal"/>
    <w:rsid w:val="00E94FB4"/>
  </w:style>
  <w:style w:type="paragraph" w:customStyle="1" w:styleId="NumberedList3">
    <w:name w:val="Numbered List3"/>
    <w:basedOn w:val="Normal"/>
    <w:autoRedefine/>
    <w:rsid w:val="009B20A4"/>
    <w:pPr>
      <w:spacing w:before="0" w:after="0"/>
      <w:ind w:left="709" w:hanging="709"/>
    </w:pPr>
  </w:style>
  <w:style w:type="paragraph" w:styleId="BalloonText">
    <w:name w:val="Balloon Text"/>
    <w:basedOn w:val="Normal"/>
    <w:semiHidden/>
    <w:rsid w:val="00F7268B"/>
    <w:rPr>
      <w:rFonts w:ascii="Tahoma" w:hAnsi="Tahoma" w:cs="Tahoma"/>
      <w:sz w:val="16"/>
      <w:szCs w:val="16"/>
    </w:rPr>
  </w:style>
  <w:style w:type="table" w:styleId="TableGrid">
    <w:name w:val="Table Grid"/>
    <w:basedOn w:val="TableNormal"/>
    <w:uiPriority w:val="39"/>
    <w:rsid w:val="00F7268B"/>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0149D"/>
    <w:rPr>
      <w:color w:val="606420"/>
      <w:u w:val="single"/>
    </w:rPr>
  </w:style>
  <w:style w:type="paragraph" w:customStyle="1" w:styleId="a">
    <w:basedOn w:val="Normal"/>
    <w:autoRedefine/>
    <w:rsid w:val="00FE6030"/>
    <w:pPr>
      <w:spacing w:before="0" w:after="160" w:line="240" w:lineRule="exact"/>
    </w:pPr>
    <w:rPr>
      <w:rFonts w:ascii="Verdana" w:eastAsia="Times New Roman" w:hAnsi="Verdana"/>
      <w:sz w:val="20"/>
      <w:lang w:val="en-US" w:eastAsia="en-US"/>
    </w:rPr>
  </w:style>
  <w:style w:type="character" w:styleId="Hyperlink">
    <w:name w:val="Hyperlink"/>
    <w:rsid w:val="00BF5DFB"/>
    <w:rPr>
      <w:color w:val="0000FF"/>
      <w:u w:val="single"/>
    </w:rPr>
  </w:style>
  <w:style w:type="paragraph" w:customStyle="1" w:styleId="Char">
    <w:name w:val=" Char"/>
    <w:basedOn w:val="Normal"/>
    <w:link w:val="DefaultParagraphFont"/>
    <w:autoRedefine/>
    <w:rsid w:val="001418F2"/>
    <w:pPr>
      <w:spacing w:before="0" w:after="160" w:line="240" w:lineRule="exact"/>
    </w:pPr>
    <w:rPr>
      <w:rFonts w:ascii="Verdana" w:eastAsia="Times New Roman" w:hAnsi="Verdana"/>
      <w:sz w:val="20"/>
      <w:lang w:val="en-US" w:eastAsia="en-US"/>
    </w:rPr>
  </w:style>
  <w:style w:type="paragraph" w:styleId="NormalWeb">
    <w:name w:val="Normal (Web)"/>
    <w:basedOn w:val="Normal"/>
    <w:uiPriority w:val="99"/>
    <w:unhideWhenUsed/>
    <w:rsid w:val="00D256C7"/>
    <w:pPr>
      <w:spacing w:before="0" w:after="0"/>
    </w:pPr>
    <w:rPr>
      <w:rFonts w:ascii="Times New Roman" w:eastAsia="Calibri" w:hAnsi="Times New Roman"/>
      <w:szCs w:val="24"/>
    </w:rPr>
  </w:style>
  <w:style w:type="paragraph" w:styleId="NoSpacing">
    <w:name w:val="No Spacing"/>
    <w:uiPriority w:val="1"/>
    <w:qFormat/>
    <w:rsid w:val="0007793C"/>
    <w:rPr>
      <w:rFonts w:ascii="Calibri" w:eastAsia="Calibri" w:hAnsi="Calibri"/>
      <w:sz w:val="22"/>
      <w:szCs w:val="22"/>
      <w:lang w:eastAsia="en-US"/>
    </w:rPr>
  </w:style>
  <w:style w:type="character" w:styleId="CommentReference">
    <w:name w:val="annotation reference"/>
    <w:rsid w:val="006C2E4E"/>
    <w:rPr>
      <w:sz w:val="16"/>
      <w:szCs w:val="16"/>
    </w:rPr>
  </w:style>
  <w:style w:type="paragraph" w:styleId="CommentText">
    <w:name w:val="annotation text"/>
    <w:basedOn w:val="Normal"/>
    <w:link w:val="CommentTextChar"/>
    <w:rsid w:val="006C2E4E"/>
    <w:rPr>
      <w:sz w:val="20"/>
    </w:rPr>
  </w:style>
  <w:style w:type="character" w:customStyle="1" w:styleId="CommentTextChar">
    <w:name w:val="Comment Text Char"/>
    <w:link w:val="CommentText"/>
    <w:rsid w:val="006C2E4E"/>
    <w:rPr>
      <w:rFonts w:ascii="Helvetica" w:eastAsia="Times" w:hAnsi="Helvetica"/>
    </w:rPr>
  </w:style>
  <w:style w:type="paragraph" w:styleId="CommentSubject">
    <w:name w:val="annotation subject"/>
    <w:basedOn w:val="CommentText"/>
    <w:next w:val="CommentText"/>
    <w:link w:val="CommentSubjectChar"/>
    <w:rsid w:val="006C2E4E"/>
    <w:rPr>
      <w:b/>
      <w:bCs/>
    </w:rPr>
  </w:style>
  <w:style w:type="character" w:customStyle="1" w:styleId="CommentSubjectChar">
    <w:name w:val="Comment Subject Char"/>
    <w:link w:val="CommentSubject"/>
    <w:rsid w:val="006C2E4E"/>
    <w:rPr>
      <w:rFonts w:ascii="Helvetica" w:eastAsia="Times" w:hAnsi="Helvetica"/>
      <w:b/>
      <w:bCs/>
    </w:rPr>
  </w:style>
  <w:style w:type="paragraph" w:styleId="ListParagraph">
    <w:name w:val="List Paragraph"/>
    <w:basedOn w:val="Normal"/>
    <w:uiPriority w:val="34"/>
    <w:qFormat/>
    <w:rsid w:val="001509A7"/>
    <w:pPr>
      <w:ind w:left="720"/>
    </w:pPr>
  </w:style>
  <w:style w:type="character" w:customStyle="1" w:styleId="s7">
    <w:name w:val="s7"/>
    <w:rsid w:val="004135B9"/>
  </w:style>
  <w:style w:type="table" w:customStyle="1" w:styleId="TableGrid11">
    <w:name w:val="Table Grid11"/>
    <w:basedOn w:val="TableNormal"/>
    <w:next w:val="TableGrid"/>
    <w:rsid w:val="00145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0D16"/>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FF741B"/>
    <w:pPr>
      <w:spacing w:line="321" w:lineRule="atLeast"/>
    </w:pPr>
    <w:rPr>
      <w:rFonts w:ascii="Stone Sans" w:hAnsi="Stone Sans" w:cs="Times New Roman"/>
      <w:color w:val="auto"/>
    </w:rPr>
  </w:style>
  <w:style w:type="paragraph" w:customStyle="1" w:styleId="Pa3">
    <w:name w:val="Pa3"/>
    <w:basedOn w:val="Default"/>
    <w:next w:val="Default"/>
    <w:uiPriority w:val="99"/>
    <w:rsid w:val="00FF741B"/>
    <w:pPr>
      <w:spacing w:line="241" w:lineRule="atLeast"/>
    </w:pPr>
    <w:rPr>
      <w:rFonts w:ascii="Stone Sans" w:hAnsi="Stone Sans" w:cs="Times New Roman"/>
      <w:color w:val="auto"/>
    </w:rPr>
  </w:style>
  <w:style w:type="paragraph" w:customStyle="1" w:styleId="Pa13">
    <w:name w:val="Pa13"/>
    <w:basedOn w:val="Default"/>
    <w:next w:val="Default"/>
    <w:uiPriority w:val="99"/>
    <w:rsid w:val="00FF741B"/>
    <w:pPr>
      <w:spacing w:line="241" w:lineRule="atLeast"/>
    </w:pPr>
    <w:rPr>
      <w:rFonts w:ascii="Stone Sans" w:hAnsi="Stone Sans" w:cs="Times New Roman"/>
      <w:color w:val="auto"/>
    </w:rPr>
  </w:style>
  <w:style w:type="character" w:customStyle="1" w:styleId="Heading4Char">
    <w:name w:val="Heading 4 Char"/>
    <w:link w:val="Heading4"/>
    <w:rsid w:val="002512E1"/>
    <w:rPr>
      <w:rFonts w:ascii="Helvetica" w:eastAsia="Times" w:hAnsi="Helvetica"/>
      <w:b/>
      <w:sz w:val="24"/>
    </w:rPr>
  </w:style>
  <w:style w:type="character" w:customStyle="1" w:styleId="FooterChar">
    <w:name w:val="Footer Char"/>
    <w:link w:val="Footer"/>
    <w:uiPriority w:val="99"/>
    <w:rsid w:val="00972F1D"/>
    <w:rPr>
      <w:rFonts w:ascii="Helvetica" w:eastAsia="Times" w:hAnsi="Helvetica"/>
      <w:sz w:val="24"/>
    </w:rPr>
  </w:style>
  <w:style w:type="paragraph" w:styleId="Title">
    <w:name w:val="Title"/>
    <w:basedOn w:val="Normal"/>
    <w:link w:val="TitleChar"/>
    <w:qFormat/>
    <w:rsid w:val="004E5E84"/>
    <w:pPr>
      <w:spacing w:before="0" w:after="0"/>
      <w:jc w:val="center"/>
    </w:pPr>
    <w:rPr>
      <w:rFonts w:ascii="Centaur" w:eastAsia="Times New Roman" w:hAnsi="Centaur"/>
      <w:b/>
      <w:bCs/>
      <w:szCs w:val="24"/>
      <w:u w:val="single"/>
      <w:lang w:eastAsia="en-US"/>
    </w:rPr>
  </w:style>
  <w:style w:type="character" w:customStyle="1" w:styleId="TitleChar">
    <w:name w:val="Title Char"/>
    <w:link w:val="Title"/>
    <w:rsid w:val="004E5E84"/>
    <w:rPr>
      <w:rFonts w:ascii="Centaur" w:hAnsi="Centaur"/>
      <w:b/>
      <w:bCs/>
      <w:sz w:val="24"/>
      <w:szCs w:val="24"/>
      <w:u w:val="single"/>
      <w:lang w:eastAsia="en-US"/>
    </w:rPr>
  </w:style>
  <w:style w:type="paragraph" w:customStyle="1" w:styleId="ParaX1">
    <w:name w:val="Para X.1"/>
    <w:basedOn w:val="Normal"/>
    <w:rsid w:val="00C97522"/>
    <w:pPr>
      <w:spacing w:before="0" w:after="0"/>
      <w:ind w:left="731" w:hanging="731"/>
    </w:pPr>
    <w:rPr>
      <w:rFonts w:ascii="Arial" w:hAnsi="Arial"/>
    </w:rPr>
  </w:style>
  <w:style w:type="paragraph" w:customStyle="1" w:styleId="Char0">
    <w:name w:val="Char"/>
    <w:basedOn w:val="Normal"/>
    <w:rsid w:val="00520993"/>
    <w:pPr>
      <w:spacing w:before="0" w:after="160" w:line="240" w:lineRule="exact"/>
    </w:pPr>
    <w:rPr>
      <w:rFonts w:ascii="Tahoma" w:eastAsia="Times New Roman" w:hAnsi="Tahoma"/>
      <w:sz w:val="20"/>
      <w:lang w:val="en-US" w:eastAsia="en-US"/>
    </w:rPr>
  </w:style>
  <w:style w:type="paragraph" w:customStyle="1" w:styleId="p1">
    <w:name w:val="p1"/>
    <w:basedOn w:val="Normal"/>
    <w:rsid w:val="00F63F72"/>
    <w:pPr>
      <w:spacing w:before="0" w:after="0"/>
    </w:pPr>
    <w:rPr>
      <w:rFonts w:ascii=".SF UI Text" w:eastAsia="Calibri" w:hAnsi=".SF UI Text"/>
      <w:color w:val="454545"/>
      <w:sz w:val="26"/>
      <w:szCs w:val="26"/>
    </w:rPr>
  </w:style>
  <w:style w:type="character" w:customStyle="1" w:styleId="s1">
    <w:name w:val="s1"/>
    <w:rsid w:val="00F63F72"/>
    <w:rPr>
      <w:rFonts w:ascii=".SFUIText" w:hAnsi=".SFUIText" w:hint="default"/>
      <w:b w:val="0"/>
      <w:bCs w:val="0"/>
      <w:i w:val="0"/>
      <w:iCs w:val="0"/>
      <w:sz w:val="34"/>
      <w:szCs w:val="34"/>
    </w:rPr>
  </w:style>
  <w:style w:type="paragraph" w:styleId="PlainText">
    <w:name w:val="Plain Text"/>
    <w:basedOn w:val="Normal"/>
    <w:link w:val="PlainTextChar"/>
    <w:uiPriority w:val="99"/>
    <w:unhideWhenUsed/>
    <w:rsid w:val="00BC294C"/>
    <w:pPr>
      <w:spacing w:before="0" w:after="0"/>
    </w:pPr>
    <w:rPr>
      <w:rFonts w:ascii="Calibri" w:eastAsia="Calibri" w:hAnsi="Calibri"/>
      <w:sz w:val="22"/>
      <w:szCs w:val="21"/>
      <w:lang w:eastAsia="en-US"/>
    </w:rPr>
  </w:style>
  <w:style w:type="character" w:customStyle="1" w:styleId="PlainTextChar">
    <w:name w:val="Plain Text Char"/>
    <w:link w:val="PlainText"/>
    <w:uiPriority w:val="99"/>
    <w:rsid w:val="00BC294C"/>
    <w:rPr>
      <w:rFonts w:ascii="Calibri" w:eastAsia="Calibri" w:hAnsi="Calibri"/>
      <w:sz w:val="22"/>
      <w:szCs w:val="21"/>
      <w:lang w:eastAsia="en-US"/>
    </w:rPr>
  </w:style>
  <w:style w:type="character" w:customStyle="1" w:styleId="Heading1Char">
    <w:name w:val="Heading 1 Char"/>
    <w:basedOn w:val="DefaultParagraphFont"/>
    <w:link w:val="Heading1"/>
    <w:rsid w:val="00FF2F7C"/>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FF2F7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7834">
      <w:bodyDiv w:val="1"/>
      <w:marLeft w:val="0"/>
      <w:marRight w:val="0"/>
      <w:marTop w:val="0"/>
      <w:marBottom w:val="0"/>
      <w:divBdr>
        <w:top w:val="none" w:sz="0" w:space="0" w:color="auto"/>
        <w:left w:val="none" w:sz="0" w:space="0" w:color="auto"/>
        <w:bottom w:val="none" w:sz="0" w:space="0" w:color="auto"/>
        <w:right w:val="none" w:sz="0" w:space="0" w:color="auto"/>
      </w:divBdr>
    </w:div>
    <w:div w:id="78840428">
      <w:bodyDiv w:val="1"/>
      <w:marLeft w:val="0"/>
      <w:marRight w:val="0"/>
      <w:marTop w:val="0"/>
      <w:marBottom w:val="0"/>
      <w:divBdr>
        <w:top w:val="none" w:sz="0" w:space="0" w:color="auto"/>
        <w:left w:val="none" w:sz="0" w:space="0" w:color="auto"/>
        <w:bottom w:val="none" w:sz="0" w:space="0" w:color="auto"/>
        <w:right w:val="none" w:sz="0" w:space="0" w:color="auto"/>
      </w:divBdr>
    </w:div>
    <w:div w:id="115369002">
      <w:bodyDiv w:val="1"/>
      <w:marLeft w:val="0"/>
      <w:marRight w:val="0"/>
      <w:marTop w:val="0"/>
      <w:marBottom w:val="0"/>
      <w:divBdr>
        <w:top w:val="none" w:sz="0" w:space="0" w:color="auto"/>
        <w:left w:val="none" w:sz="0" w:space="0" w:color="auto"/>
        <w:bottom w:val="none" w:sz="0" w:space="0" w:color="auto"/>
        <w:right w:val="none" w:sz="0" w:space="0" w:color="auto"/>
      </w:divBdr>
    </w:div>
    <w:div w:id="282272338">
      <w:bodyDiv w:val="1"/>
      <w:marLeft w:val="0"/>
      <w:marRight w:val="0"/>
      <w:marTop w:val="0"/>
      <w:marBottom w:val="0"/>
      <w:divBdr>
        <w:top w:val="none" w:sz="0" w:space="0" w:color="auto"/>
        <w:left w:val="none" w:sz="0" w:space="0" w:color="auto"/>
        <w:bottom w:val="none" w:sz="0" w:space="0" w:color="auto"/>
        <w:right w:val="none" w:sz="0" w:space="0" w:color="auto"/>
      </w:divBdr>
    </w:div>
    <w:div w:id="35612335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80"/>
      <w:marRight w:val="80"/>
      <w:marTop w:val="80"/>
      <w:marBottom w:val="20"/>
      <w:divBdr>
        <w:top w:val="none" w:sz="0" w:space="0" w:color="auto"/>
        <w:left w:val="none" w:sz="0" w:space="0" w:color="auto"/>
        <w:bottom w:val="none" w:sz="0" w:space="0" w:color="auto"/>
        <w:right w:val="none" w:sz="0" w:space="0" w:color="auto"/>
      </w:divBdr>
      <w:divsChild>
        <w:div w:id="1641956144">
          <w:marLeft w:val="0"/>
          <w:marRight w:val="0"/>
          <w:marTop w:val="0"/>
          <w:marBottom w:val="0"/>
          <w:divBdr>
            <w:top w:val="none" w:sz="0" w:space="0" w:color="auto"/>
            <w:left w:val="none" w:sz="0" w:space="0" w:color="auto"/>
            <w:bottom w:val="none" w:sz="0" w:space="0" w:color="auto"/>
            <w:right w:val="none" w:sz="0" w:space="0" w:color="auto"/>
          </w:divBdr>
        </w:div>
        <w:div w:id="1852985586">
          <w:marLeft w:val="0"/>
          <w:marRight w:val="0"/>
          <w:marTop w:val="0"/>
          <w:marBottom w:val="0"/>
          <w:divBdr>
            <w:top w:val="none" w:sz="0" w:space="0" w:color="auto"/>
            <w:left w:val="none" w:sz="0" w:space="0" w:color="auto"/>
            <w:bottom w:val="none" w:sz="0" w:space="0" w:color="auto"/>
            <w:right w:val="none" w:sz="0" w:space="0" w:color="auto"/>
          </w:divBdr>
        </w:div>
      </w:divsChild>
    </w:div>
    <w:div w:id="408231853">
      <w:bodyDiv w:val="1"/>
      <w:marLeft w:val="80"/>
      <w:marRight w:val="80"/>
      <w:marTop w:val="80"/>
      <w:marBottom w:val="20"/>
      <w:divBdr>
        <w:top w:val="none" w:sz="0" w:space="0" w:color="auto"/>
        <w:left w:val="none" w:sz="0" w:space="0" w:color="auto"/>
        <w:bottom w:val="none" w:sz="0" w:space="0" w:color="auto"/>
        <w:right w:val="none" w:sz="0" w:space="0" w:color="auto"/>
      </w:divBdr>
      <w:divsChild>
        <w:div w:id="1960186255">
          <w:marLeft w:val="0"/>
          <w:marRight w:val="0"/>
          <w:marTop w:val="0"/>
          <w:marBottom w:val="0"/>
          <w:divBdr>
            <w:top w:val="none" w:sz="0" w:space="0" w:color="auto"/>
            <w:left w:val="none" w:sz="0" w:space="0" w:color="auto"/>
            <w:bottom w:val="none" w:sz="0" w:space="0" w:color="auto"/>
            <w:right w:val="none" w:sz="0" w:space="0" w:color="auto"/>
          </w:divBdr>
          <w:divsChild>
            <w:div w:id="1686438585">
              <w:marLeft w:val="0"/>
              <w:marRight w:val="0"/>
              <w:marTop w:val="0"/>
              <w:marBottom w:val="0"/>
              <w:divBdr>
                <w:top w:val="none" w:sz="0" w:space="0" w:color="auto"/>
                <w:left w:val="none" w:sz="0" w:space="0" w:color="auto"/>
                <w:bottom w:val="none" w:sz="0" w:space="0" w:color="auto"/>
                <w:right w:val="none" w:sz="0" w:space="0" w:color="auto"/>
              </w:divBdr>
              <w:divsChild>
                <w:div w:id="311912668">
                  <w:marLeft w:val="0"/>
                  <w:marRight w:val="0"/>
                  <w:marTop w:val="0"/>
                  <w:marBottom w:val="0"/>
                  <w:divBdr>
                    <w:top w:val="none" w:sz="0" w:space="0" w:color="auto"/>
                    <w:left w:val="none" w:sz="0" w:space="0" w:color="auto"/>
                    <w:bottom w:val="none" w:sz="0" w:space="0" w:color="auto"/>
                    <w:right w:val="none" w:sz="0" w:space="0" w:color="auto"/>
                  </w:divBdr>
                </w:div>
                <w:div w:id="772554188">
                  <w:marLeft w:val="0"/>
                  <w:marRight w:val="0"/>
                  <w:marTop w:val="0"/>
                  <w:marBottom w:val="0"/>
                  <w:divBdr>
                    <w:top w:val="none" w:sz="0" w:space="0" w:color="auto"/>
                    <w:left w:val="none" w:sz="0" w:space="0" w:color="auto"/>
                    <w:bottom w:val="none" w:sz="0" w:space="0" w:color="auto"/>
                    <w:right w:val="none" w:sz="0" w:space="0" w:color="auto"/>
                  </w:divBdr>
                </w:div>
                <w:div w:id="1120342731">
                  <w:marLeft w:val="0"/>
                  <w:marRight w:val="0"/>
                  <w:marTop w:val="0"/>
                  <w:marBottom w:val="0"/>
                  <w:divBdr>
                    <w:top w:val="none" w:sz="0" w:space="0" w:color="auto"/>
                    <w:left w:val="none" w:sz="0" w:space="0" w:color="auto"/>
                    <w:bottom w:val="none" w:sz="0" w:space="0" w:color="auto"/>
                    <w:right w:val="none" w:sz="0" w:space="0" w:color="auto"/>
                  </w:divBdr>
                </w:div>
                <w:div w:id="1514149051">
                  <w:marLeft w:val="0"/>
                  <w:marRight w:val="0"/>
                  <w:marTop w:val="0"/>
                  <w:marBottom w:val="0"/>
                  <w:divBdr>
                    <w:top w:val="none" w:sz="0" w:space="0" w:color="auto"/>
                    <w:left w:val="none" w:sz="0" w:space="0" w:color="auto"/>
                    <w:bottom w:val="none" w:sz="0" w:space="0" w:color="auto"/>
                    <w:right w:val="none" w:sz="0" w:space="0" w:color="auto"/>
                  </w:divBdr>
                </w:div>
                <w:div w:id="1622687583">
                  <w:marLeft w:val="0"/>
                  <w:marRight w:val="0"/>
                  <w:marTop w:val="0"/>
                  <w:marBottom w:val="0"/>
                  <w:divBdr>
                    <w:top w:val="none" w:sz="0" w:space="0" w:color="auto"/>
                    <w:left w:val="none" w:sz="0" w:space="0" w:color="auto"/>
                    <w:bottom w:val="none" w:sz="0" w:space="0" w:color="auto"/>
                    <w:right w:val="none" w:sz="0" w:space="0" w:color="auto"/>
                  </w:divBdr>
                </w:div>
                <w:div w:id="18855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96996">
      <w:bodyDiv w:val="1"/>
      <w:marLeft w:val="80"/>
      <w:marRight w:val="80"/>
      <w:marTop w:val="80"/>
      <w:marBottom w:val="20"/>
      <w:divBdr>
        <w:top w:val="none" w:sz="0" w:space="0" w:color="auto"/>
        <w:left w:val="none" w:sz="0" w:space="0" w:color="auto"/>
        <w:bottom w:val="none" w:sz="0" w:space="0" w:color="auto"/>
        <w:right w:val="none" w:sz="0" w:space="0" w:color="auto"/>
      </w:divBdr>
      <w:divsChild>
        <w:div w:id="145249010">
          <w:marLeft w:val="0"/>
          <w:marRight w:val="0"/>
          <w:marTop w:val="0"/>
          <w:marBottom w:val="0"/>
          <w:divBdr>
            <w:top w:val="none" w:sz="0" w:space="0" w:color="auto"/>
            <w:left w:val="none" w:sz="0" w:space="0" w:color="auto"/>
            <w:bottom w:val="none" w:sz="0" w:space="0" w:color="auto"/>
            <w:right w:val="none" w:sz="0" w:space="0" w:color="auto"/>
          </w:divBdr>
          <w:divsChild>
            <w:div w:id="1511065604">
              <w:marLeft w:val="0"/>
              <w:marRight w:val="0"/>
              <w:marTop w:val="0"/>
              <w:marBottom w:val="0"/>
              <w:divBdr>
                <w:top w:val="none" w:sz="0" w:space="0" w:color="auto"/>
                <w:left w:val="none" w:sz="0" w:space="0" w:color="auto"/>
                <w:bottom w:val="none" w:sz="0" w:space="0" w:color="auto"/>
                <w:right w:val="none" w:sz="0" w:space="0" w:color="auto"/>
              </w:divBdr>
              <w:divsChild>
                <w:div w:id="472528248">
                  <w:marLeft w:val="0"/>
                  <w:marRight w:val="0"/>
                  <w:marTop w:val="0"/>
                  <w:marBottom w:val="0"/>
                  <w:divBdr>
                    <w:top w:val="none" w:sz="0" w:space="0" w:color="auto"/>
                    <w:left w:val="none" w:sz="0" w:space="0" w:color="auto"/>
                    <w:bottom w:val="none" w:sz="0" w:space="0" w:color="auto"/>
                    <w:right w:val="none" w:sz="0" w:space="0" w:color="auto"/>
                  </w:divBdr>
                </w:div>
                <w:div w:id="1189443101">
                  <w:marLeft w:val="0"/>
                  <w:marRight w:val="0"/>
                  <w:marTop w:val="0"/>
                  <w:marBottom w:val="0"/>
                  <w:divBdr>
                    <w:top w:val="none" w:sz="0" w:space="0" w:color="auto"/>
                    <w:left w:val="none" w:sz="0" w:space="0" w:color="auto"/>
                    <w:bottom w:val="none" w:sz="0" w:space="0" w:color="auto"/>
                    <w:right w:val="none" w:sz="0" w:space="0" w:color="auto"/>
                  </w:divBdr>
                </w:div>
                <w:div w:id="1388408998">
                  <w:marLeft w:val="0"/>
                  <w:marRight w:val="0"/>
                  <w:marTop w:val="0"/>
                  <w:marBottom w:val="0"/>
                  <w:divBdr>
                    <w:top w:val="none" w:sz="0" w:space="0" w:color="auto"/>
                    <w:left w:val="none" w:sz="0" w:space="0" w:color="auto"/>
                    <w:bottom w:val="none" w:sz="0" w:space="0" w:color="auto"/>
                    <w:right w:val="none" w:sz="0" w:space="0" w:color="auto"/>
                  </w:divBdr>
                </w:div>
                <w:div w:id="1428113100">
                  <w:marLeft w:val="0"/>
                  <w:marRight w:val="0"/>
                  <w:marTop w:val="0"/>
                  <w:marBottom w:val="0"/>
                  <w:divBdr>
                    <w:top w:val="none" w:sz="0" w:space="0" w:color="auto"/>
                    <w:left w:val="none" w:sz="0" w:space="0" w:color="auto"/>
                    <w:bottom w:val="none" w:sz="0" w:space="0" w:color="auto"/>
                    <w:right w:val="none" w:sz="0" w:space="0" w:color="auto"/>
                  </w:divBdr>
                </w:div>
                <w:div w:id="1518738731">
                  <w:marLeft w:val="0"/>
                  <w:marRight w:val="0"/>
                  <w:marTop w:val="0"/>
                  <w:marBottom w:val="0"/>
                  <w:divBdr>
                    <w:top w:val="none" w:sz="0" w:space="0" w:color="auto"/>
                    <w:left w:val="none" w:sz="0" w:space="0" w:color="auto"/>
                    <w:bottom w:val="none" w:sz="0" w:space="0" w:color="auto"/>
                    <w:right w:val="none" w:sz="0" w:space="0" w:color="auto"/>
                  </w:divBdr>
                </w:div>
                <w:div w:id="203168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48373">
      <w:bodyDiv w:val="1"/>
      <w:marLeft w:val="0"/>
      <w:marRight w:val="0"/>
      <w:marTop w:val="0"/>
      <w:marBottom w:val="0"/>
      <w:divBdr>
        <w:top w:val="none" w:sz="0" w:space="0" w:color="auto"/>
        <w:left w:val="none" w:sz="0" w:space="0" w:color="auto"/>
        <w:bottom w:val="none" w:sz="0" w:space="0" w:color="auto"/>
        <w:right w:val="none" w:sz="0" w:space="0" w:color="auto"/>
      </w:divBdr>
    </w:div>
    <w:div w:id="1163622424">
      <w:bodyDiv w:val="1"/>
      <w:marLeft w:val="0"/>
      <w:marRight w:val="0"/>
      <w:marTop w:val="0"/>
      <w:marBottom w:val="0"/>
      <w:divBdr>
        <w:top w:val="none" w:sz="0" w:space="0" w:color="auto"/>
        <w:left w:val="none" w:sz="0" w:space="0" w:color="auto"/>
        <w:bottom w:val="none" w:sz="0" w:space="0" w:color="auto"/>
        <w:right w:val="none" w:sz="0" w:space="0" w:color="auto"/>
      </w:divBdr>
    </w:div>
    <w:div w:id="1176845173">
      <w:bodyDiv w:val="1"/>
      <w:marLeft w:val="0"/>
      <w:marRight w:val="0"/>
      <w:marTop w:val="0"/>
      <w:marBottom w:val="0"/>
      <w:divBdr>
        <w:top w:val="none" w:sz="0" w:space="0" w:color="auto"/>
        <w:left w:val="none" w:sz="0" w:space="0" w:color="auto"/>
        <w:bottom w:val="none" w:sz="0" w:space="0" w:color="auto"/>
        <w:right w:val="none" w:sz="0" w:space="0" w:color="auto"/>
      </w:divBdr>
    </w:div>
    <w:div w:id="1219441233">
      <w:bodyDiv w:val="1"/>
      <w:marLeft w:val="0"/>
      <w:marRight w:val="0"/>
      <w:marTop w:val="0"/>
      <w:marBottom w:val="0"/>
      <w:divBdr>
        <w:top w:val="none" w:sz="0" w:space="0" w:color="auto"/>
        <w:left w:val="none" w:sz="0" w:space="0" w:color="auto"/>
        <w:bottom w:val="none" w:sz="0" w:space="0" w:color="auto"/>
        <w:right w:val="none" w:sz="0" w:space="0" w:color="auto"/>
      </w:divBdr>
    </w:div>
    <w:div w:id="1256553438">
      <w:bodyDiv w:val="1"/>
      <w:marLeft w:val="0"/>
      <w:marRight w:val="0"/>
      <w:marTop w:val="0"/>
      <w:marBottom w:val="0"/>
      <w:divBdr>
        <w:top w:val="none" w:sz="0" w:space="0" w:color="auto"/>
        <w:left w:val="none" w:sz="0" w:space="0" w:color="auto"/>
        <w:bottom w:val="none" w:sz="0" w:space="0" w:color="auto"/>
        <w:right w:val="none" w:sz="0" w:space="0" w:color="auto"/>
      </w:divBdr>
    </w:div>
    <w:div w:id="1292320826">
      <w:bodyDiv w:val="1"/>
      <w:marLeft w:val="0"/>
      <w:marRight w:val="0"/>
      <w:marTop w:val="0"/>
      <w:marBottom w:val="0"/>
      <w:divBdr>
        <w:top w:val="none" w:sz="0" w:space="0" w:color="auto"/>
        <w:left w:val="none" w:sz="0" w:space="0" w:color="auto"/>
        <w:bottom w:val="none" w:sz="0" w:space="0" w:color="auto"/>
        <w:right w:val="none" w:sz="0" w:space="0" w:color="auto"/>
      </w:divBdr>
    </w:div>
    <w:div w:id="1513379916">
      <w:bodyDiv w:val="1"/>
      <w:marLeft w:val="0"/>
      <w:marRight w:val="0"/>
      <w:marTop w:val="0"/>
      <w:marBottom w:val="0"/>
      <w:divBdr>
        <w:top w:val="none" w:sz="0" w:space="0" w:color="auto"/>
        <w:left w:val="none" w:sz="0" w:space="0" w:color="auto"/>
        <w:bottom w:val="none" w:sz="0" w:space="0" w:color="auto"/>
        <w:right w:val="none" w:sz="0" w:space="0" w:color="auto"/>
      </w:divBdr>
      <w:divsChild>
        <w:div w:id="970523073">
          <w:marLeft w:val="0"/>
          <w:marRight w:val="0"/>
          <w:marTop w:val="0"/>
          <w:marBottom w:val="0"/>
          <w:divBdr>
            <w:top w:val="none" w:sz="0" w:space="0" w:color="auto"/>
            <w:left w:val="none" w:sz="0" w:space="0" w:color="auto"/>
            <w:bottom w:val="none" w:sz="0" w:space="0" w:color="auto"/>
            <w:right w:val="none" w:sz="0" w:space="0" w:color="auto"/>
          </w:divBdr>
        </w:div>
      </w:divsChild>
    </w:div>
    <w:div w:id="1559588302">
      <w:bodyDiv w:val="1"/>
      <w:marLeft w:val="80"/>
      <w:marRight w:val="80"/>
      <w:marTop w:val="80"/>
      <w:marBottom w:val="20"/>
      <w:divBdr>
        <w:top w:val="none" w:sz="0" w:space="0" w:color="auto"/>
        <w:left w:val="none" w:sz="0" w:space="0" w:color="auto"/>
        <w:bottom w:val="none" w:sz="0" w:space="0" w:color="auto"/>
        <w:right w:val="none" w:sz="0" w:space="0" w:color="auto"/>
      </w:divBdr>
      <w:divsChild>
        <w:div w:id="211770417">
          <w:marLeft w:val="0"/>
          <w:marRight w:val="0"/>
          <w:marTop w:val="0"/>
          <w:marBottom w:val="0"/>
          <w:divBdr>
            <w:top w:val="none" w:sz="0" w:space="0" w:color="auto"/>
            <w:left w:val="none" w:sz="0" w:space="0" w:color="auto"/>
            <w:bottom w:val="none" w:sz="0" w:space="0" w:color="auto"/>
            <w:right w:val="none" w:sz="0" w:space="0" w:color="auto"/>
          </w:divBdr>
        </w:div>
      </w:divsChild>
    </w:div>
    <w:div w:id="1665277678">
      <w:bodyDiv w:val="1"/>
      <w:marLeft w:val="80"/>
      <w:marRight w:val="80"/>
      <w:marTop w:val="80"/>
      <w:marBottom w:val="20"/>
      <w:divBdr>
        <w:top w:val="none" w:sz="0" w:space="0" w:color="auto"/>
        <w:left w:val="none" w:sz="0" w:space="0" w:color="auto"/>
        <w:bottom w:val="none" w:sz="0" w:space="0" w:color="auto"/>
        <w:right w:val="none" w:sz="0" w:space="0" w:color="auto"/>
      </w:divBdr>
      <w:divsChild>
        <w:div w:id="196625976">
          <w:marLeft w:val="0"/>
          <w:marRight w:val="0"/>
          <w:marTop w:val="0"/>
          <w:marBottom w:val="0"/>
          <w:divBdr>
            <w:top w:val="none" w:sz="0" w:space="0" w:color="auto"/>
            <w:left w:val="none" w:sz="0" w:space="0" w:color="auto"/>
            <w:bottom w:val="none" w:sz="0" w:space="0" w:color="auto"/>
            <w:right w:val="none" w:sz="0" w:space="0" w:color="auto"/>
          </w:divBdr>
        </w:div>
      </w:divsChild>
    </w:div>
    <w:div w:id="1698769336">
      <w:bodyDiv w:val="1"/>
      <w:marLeft w:val="0"/>
      <w:marRight w:val="0"/>
      <w:marTop w:val="0"/>
      <w:marBottom w:val="0"/>
      <w:divBdr>
        <w:top w:val="none" w:sz="0" w:space="0" w:color="auto"/>
        <w:left w:val="none" w:sz="0" w:space="0" w:color="auto"/>
        <w:bottom w:val="none" w:sz="0" w:space="0" w:color="auto"/>
        <w:right w:val="none" w:sz="0" w:space="0" w:color="auto"/>
      </w:divBdr>
    </w:div>
    <w:div w:id="1771126455">
      <w:bodyDiv w:val="1"/>
      <w:marLeft w:val="0"/>
      <w:marRight w:val="0"/>
      <w:marTop w:val="0"/>
      <w:marBottom w:val="0"/>
      <w:divBdr>
        <w:top w:val="none" w:sz="0" w:space="0" w:color="auto"/>
        <w:left w:val="none" w:sz="0" w:space="0" w:color="auto"/>
        <w:bottom w:val="none" w:sz="0" w:space="0" w:color="auto"/>
        <w:right w:val="none" w:sz="0" w:space="0" w:color="auto"/>
      </w:divBdr>
    </w:div>
    <w:div w:id="1789658811">
      <w:bodyDiv w:val="1"/>
      <w:marLeft w:val="0"/>
      <w:marRight w:val="0"/>
      <w:marTop w:val="0"/>
      <w:marBottom w:val="0"/>
      <w:divBdr>
        <w:top w:val="none" w:sz="0" w:space="0" w:color="auto"/>
        <w:left w:val="none" w:sz="0" w:space="0" w:color="auto"/>
        <w:bottom w:val="none" w:sz="0" w:space="0" w:color="auto"/>
        <w:right w:val="none" w:sz="0" w:space="0" w:color="auto"/>
      </w:divBdr>
    </w:div>
    <w:div w:id="1814372750">
      <w:bodyDiv w:val="1"/>
      <w:marLeft w:val="0"/>
      <w:marRight w:val="0"/>
      <w:marTop w:val="0"/>
      <w:marBottom w:val="0"/>
      <w:divBdr>
        <w:top w:val="none" w:sz="0" w:space="0" w:color="auto"/>
        <w:left w:val="none" w:sz="0" w:space="0" w:color="auto"/>
        <w:bottom w:val="none" w:sz="0" w:space="0" w:color="auto"/>
        <w:right w:val="none" w:sz="0" w:space="0" w:color="auto"/>
      </w:divBdr>
    </w:div>
    <w:div w:id="1870218329">
      <w:bodyDiv w:val="1"/>
      <w:marLeft w:val="0"/>
      <w:marRight w:val="0"/>
      <w:marTop w:val="0"/>
      <w:marBottom w:val="0"/>
      <w:divBdr>
        <w:top w:val="none" w:sz="0" w:space="0" w:color="auto"/>
        <w:left w:val="none" w:sz="0" w:space="0" w:color="auto"/>
        <w:bottom w:val="none" w:sz="0" w:space="0" w:color="auto"/>
        <w:right w:val="none" w:sz="0" w:space="0" w:color="auto"/>
      </w:divBdr>
    </w:div>
    <w:div w:id="1927229257">
      <w:bodyDiv w:val="1"/>
      <w:marLeft w:val="0"/>
      <w:marRight w:val="0"/>
      <w:marTop w:val="0"/>
      <w:marBottom w:val="0"/>
      <w:divBdr>
        <w:top w:val="none" w:sz="0" w:space="0" w:color="auto"/>
        <w:left w:val="none" w:sz="0" w:space="0" w:color="auto"/>
        <w:bottom w:val="none" w:sz="0" w:space="0" w:color="auto"/>
        <w:right w:val="none" w:sz="0" w:space="0" w:color="auto"/>
      </w:divBdr>
    </w:div>
    <w:div w:id="206493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21" Type="http://schemas.openxmlformats.org/officeDocument/2006/relationships/chart" Target="charts/chart12.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ustomXml" Target="../customXml/item4.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HQCLUSTER_HQDATA6_SERVER\HQDATA6\FH01\HOME\HSNG\CORPORATEDEVELOPMENT\T%20Management\T2%20Performance%20Mgmt\02%20Perf%20Reporting\Performance%20Committee%20Report%202018-19\19%2007%2010%20PI%20ChartsForCommitteeRepo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HQCLUSTER_HQDATA6_SERVER\HQDATA6\FH01\HOME\HSNG\CORPORATEDEVELOPMENT\T%20Management\T2%20Performance%20Mgmt\02%20Perf%20Reporting\Performance%20Committee%20Report%202018-19\19%2007%2010%20PI%20ChartsForCommitteeRepor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Stage 1 Complaints dealt with within 5 days (%)</a:t>
            </a:r>
          </a:p>
          <a:p>
            <a:pPr>
              <a:defRPr sz="1000"/>
            </a:pPr>
            <a:r>
              <a:rPr lang="en-GB" sz="1000"/>
              <a:t>Finance &amp; Corporate Services</a:t>
            </a:r>
          </a:p>
        </c:rich>
      </c:tx>
      <c:layout>
        <c:manualLayout>
          <c:xMode val="edge"/>
          <c:yMode val="edge"/>
          <c:x val="0.14597222222222223"/>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64221798299736"/>
          <c:y val="0.19631319346436096"/>
          <c:w val="0.85391305161445852"/>
          <c:h val="0.6147838078404444"/>
        </c:manualLayout>
      </c:layout>
      <c:lineChart>
        <c:grouping val="standard"/>
        <c:varyColors val="0"/>
        <c:ser>
          <c:idx val="0"/>
          <c:order val="0"/>
          <c:tx>
            <c:strRef>
              <c:f>'F&amp;CS'!$B$36</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'F&amp;CS'!$A$38:$A$40</c:f>
              <c:strCache>
                <c:ptCount val="3"/>
                <c:pt idx="0">
                  <c:v>2016/17</c:v>
                </c:pt>
                <c:pt idx="1">
                  <c:v>2017/18</c:v>
                </c:pt>
                <c:pt idx="2">
                  <c:v>2018/19</c:v>
                </c:pt>
              </c:strCache>
            </c:strRef>
          </c:cat>
          <c:val>
            <c:numRef>
              <c:f>'F&amp;CS'!$B$38:$B$40</c:f>
              <c:numCache>
                <c:formatCode>0.00</c:formatCode>
                <c:ptCount val="3"/>
                <c:pt idx="0">
                  <c:v>91.8</c:v>
                </c:pt>
                <c:pt idx="1">
                  <c:v>88.25</c:v>
                </c:pt>
                <c:pt idx="2">
                  <c:v>90.77</c:v>
                </c:pt>
              </c:numCache>
            </c:numRef>
          </c:val>
          <c:smooth val="0"/>
          <c:extLst>
            <c:ext xmlns:c16="http://schemas.microsoft.com/office/drawing/2014/chart" uri="{C3380CC4-5D6E-409C-BE32-E72D297353CC}">
              <c16:uniqueId val="{00000000-ABFF-4C17-8D96-0D4120DCBBE2}"/>
            </c:ext>
          </c:extLst>
        </c:ser>
        <c:ser>
          <c:idx val="1"/>
          <c:order val="1"/>
          <c:tx>
            <c:strRef>
              <c:f>'F&amp;CS'!$C$36</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'F&amp;CS'!$A$38:$A$40</c:f>
              <c:strCache>
                <c:ptCount val="3"/>
                <c:pt idx="0">
                  <c:v>2016/17</c:v>
                </c:pt>
                <c:pt idx="1">
                  <c:v>2017/18</c:v>
                </c:pt>
                <c:pt idx="2">
                  <c:v>2018/19</c:v>
                </c:pt>
              </c:strCache>
            </c:strRef>
          </c:cat>
          <c:val>
            <c:numRef>
              <c:f>'F&amp;CS'!$C$38:$C$40</c:f>
              <c:numCache>
                <c:formatCode>0.00</c:formatCode>
                <c:ptCount val="3"/>
                <c:pt idx="0">
                  <c:v>93.6</c:v>
                </c:pt>
                <c:pt idx="1">
                  <c:v>93.04</c:v>
                </c:pt>
                <c:pt idx="2">
                  <c:v>93.24</c:v>
                </c:pt>
              </c:numCache>
            </c:numRef>
          </c:val>
          <c:smooth val="0"/>
          <c:extLst>
            <c:ext xmlns:c16="http://schemas.microsoft.com/office/drawing/2014/chart" uri="{C3380CC4-5D6E-409C-BE32-E72D297353CC}">
              <c16:uniqueId val="{00000001-ABFF-4C17-8D96-0D4120DCBBE2}"/>
            </c:ext>
          </c:extLst>
        </c:ser>
        <c:dLbls>
          <c:dLblPos val="t"/>
          <c:showLegendKey val="0"/>
          <c:showVal val="1"/>
          <c:showCatName val="0"/>
          <c:showSerName val="0"/>
          <c:showPercent val="0"/>
          <c:showBubbleSize val="0"/>
        </c:dLbls>
        <c:marker val="1"/>
        <c:smooth val="0"/>
        <c:axId val="158428720"/>
        <c:axId val="158055744"/>
      </c:lineChart>
      <c:catAx>
        <c:axId val="1584287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744"/>
        <c:crosses val="autoZero"/>
        <c:auto val="1"/>
        <c:lblAlgn val="ctr"/>
        <c:lblOffset val="100"/>
        <c:noMultiLvlLbl val="0"/>
      </c:catAx>
      <c:valAx>
        <c:axId val="158055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28720"/>
        <c:crosses val="autoZero"/>
        <c:crossBetween val="between"/>
      </c:valAx>
      <c:spPr>
        <a:noFill/>
        <a:ln>
          <a:noFill/>
        </a:ln>
        <a:effectLst/>
      </c:spPr>
    </c:plotArea>
    <c:legend>
      <c:legendPos val="b"/>
      <c:layout>
        <c:manualLayout>
          <c:xMode val="edge"/>
          <c:yMode val="edge"/>
          <c:x val="0.31236494809273407"/>
          <c:y val="0.89535626339346319"/>
          <c:w val="0.45730525142368761"/>
          <c:h val="9.3555727938682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Rent collected as % of total due in the reporting year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558748338276"/>
          <c:y val="0.17929036777398938"/>
          <c:w val="0.83944888707093435"/>
          <c:h val="0.61988358952463529"/>
        </c:manualLayout>
      </c:layout>
      <c:lineChart>
        <c:grouping val="standard"/>
        <c:varyColors val="0"/>
        <c:ser>
          <c:idx val="0"/>
          <c:order val="0"/>
          <c:tx>
            <c:strRef>
              <c:f>'F&amp;CS'!$B$4</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'F&amp;CS'!$A$5:$A$8</c:f>
              <c:strCache>
                <c:ptCount val="4"/>
                <c:pt idx="0">
                  <c:v>2015/16</c:v>
                </c:pt>
                <c:pt idx="1">
                  <c:v>2016/17</c:v>
                </c:pt>
                <c:pt idx="2">
                  <c:v>2017/18</c:v>
                </c:pt>
                <c:pt idx="3">
                  <c:v>2018/19</c:v>
                </c:pt>
              </c:strCache>
            </c:strRef>
          </c:cat>
          <c:val>
            <c:numRef>
              <c:f>'F&amp;CS'!$B$5:$B$8</c:f>
              <c:numCache>
                <c:formatCode>0.00</c:formatCode>
                <c:ptCount val="4"/>
                <c:pt idx="0">
                  <c:v>98.43</c:v>
                </c:pt>
                <c:pt idx="1">
                  <c:v>96.74</c:v>
                </c:pt>
                <c:pt idx="2">
                  <c:v>98.11</c:v>
                </c:pt>
                <c:pt idx="3">
                  <c:v>97.94</c:v>
                </c:pt>
              </c:numCache>
            </c:numRef>
          </c:val>
          <c:smooth val="0"/>
          <c:extLst>
            <c:ext xmlns:c16="http://schemas.microsoft.com/office/drawing/2014/chart" uri="{C3380CC4-5D6E-409C-BE32-E72D297353CC}">
              <c16:uniqueId val="{00000000-734B-4882-88EC-98ADAEE8E674}"/>
            </c:ext>
          </c:extLst>
        </c:ser>
        <c:ser>
          <c:idx val="1"/>
          <c:order val="1"/>
          <c:tx>
            <c:strRef>
              <c:f>'F&amp;CS'!$C$4</c:f>
              <c:strCache>
                <c:ptCount val="1"/>
                <c:pt idx="0">
                  <c:v>Peer Group</c:v>
                </c:pt>
              </c:strCache>
            </c:strRef>
          </c:tx>
          <c:spPr>
            <a:ln w="28575" cap="rnd">
              <a:solidFill>
                <a:schemeClr val="accent2"/>
              </a:solidFill>
              <a:prstDash val="dash"/>
              <a:round/>
            </a:ln>
            <a:effectLst/>
          </c:spPr>
          <c:marker>
            <c:symbol val="circle"/>
            <c:size val="5"/>
            <c:spPr>
              <a:solidFill>
                <a:schemeClr val="accent2"/>
              </a:solidFill>
              <a:ln w="9525">
                <a:solidFill>
                  <a:schemeClr val="accent2"/>
                </a:solidFill>
              </a:ln>
              <a:effectLst/>
            </c:spPr>
          </c:marker>
          <c:dLbls>
            <c:dLbl>
              <c:idx val="0"/>
              <c:layout>
                <c:manualLayout>
                  <c:x val="-6.398282032927706E-2"/>
                  <c:y val="5.8413457955724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4B-4882-88EC-98ADAEE8E674}"/>
                </c:ext>
              </c:extLst>
            </c:dLbl>
            <c:dLbl>
              <c:idx val="2"/>
              <c:layout>
                <c:manualLayout>
                  <c:x val="-5.7056413402870099E-2"/>
                  <c:y val="4.7279152810885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4B-4882-88EC-98ADAEE8E6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'F&amp;CS'!$A$5:$A$8</c:f>
              <c:strCache>
                <c:ptCount val="4"/>
                <c:pt idx="0">
                  <c:v>2015/16</c:v>
                </c:pt>
                <c:pt idx="1">
                  <c:v>2016/17</c:v>
                </c:pt>
                <c:pt idx="2">
                  <c:v>2017/18</c:v>
                </c:pt>
                <c:pt idx="3">
                  <c:v>2018/19</c:v>
                </c:pt>
              </c:strCache>
            </c:strRef>
          </c:cat>
          <c:val>
            <c:numRef>
              <c:f>'F&amp;CS'!$C$5:$C$8</c:f>
              <c:numCache>
                <c:formatCode>0.00</c:formatCode>
                <c:ptCount val="4"/>
                <c:pt idx="0">
                  <c:v>99.5</c:v>
                </c:pt>
                <c:pt idx="1">
                  <c:v>99.2</c:v>
                </c:pt>
                <c:pt idx="2">
                  <c:v>99.1</c:v>
                </c:pt>
                <c:pt idx="3">
                  <c:v>99.5</c:v>
                </c:pt>
              </c:numCache>
            </c:numRef>
          </c:val>
          <c:smooth val="0"/>
          <c:extLst>
            <c:ext xmlns:c16="http://schemas.microsoft.com/office/drawing/2014/chart" uri="{C3380CC4-5D6E-409C-BE32-E72D297353CC}">
              <c16:uniqueId val="{00000003-734B-4882-88EC-98ADAEE8E674}"/>
            </c:ext>
          </c:extLst>
        </c:ser>
        <c:ser>
          <c:idx val="2"/>
          <c:order val="2"/>
          <c:tx>
            <c:strRef>
              <c:f>'F&amp;CS'!$D$4</c:f>
              <c:strCache>
                <c:ptCount val="1"/>
                <c:pt idx="0">
                  <c:v>Scottish Avg</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dLbl>
              <c:idx val="0"/>
              <c:layout>
                <c:manualLayout>
                  <c:x val="-7.7835634182090871E-2"/>
                  <c:y val="-3.0577695093628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4B-4882-88EC-98ADAEE8E674}"/>
                </c:ext>
              </c:extLst>
            </c:dLbl>
            <c:dLbl>
              <c:idx val="1"/>
              <c:layout>
                <c:manualLayout>
                  <c:x val="-5.7056413402870099E-2"/>
                  <c:y val="-4.1712000238467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4B-4882-88EC-98ADAEE8E674}"/>
                </c:ext>
              </c:extLst>
            </c:dLbl>
            <c:dLbl>
              <c:idx val="2"/>
              <c:layout>
                <c:manualLayout>
                  <c:x val="-5.7056413402870099E-2"/>
                  <c:y val="-3.6144847666047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4B-4882-88EC-98ADAEE8E6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'F&amp;CS'!$A$5:$A$8</c:f>
              <c:strCache>
                <c:ptCount val="4"/>
                <c:pt idx="0">
                  <c:v>2015/16</c:v>
                </c:pt>
                <c:pt idx="1">
                  <c:v>2016/17</c:v>
                </c:pt>
                <c:pt idx="2">
                  <c:v>2017/18</c:v>
                </c:pt>
                <c:pt idx="3">
                  <c:v>2018/19</c:v>
                </c:pt>
              </c:strCache>
            </c:strRef>
          </c:cat>
          <c:val>
            <c:numRef>
              <c:f>'F&amp;CS'!$D$5:$D$8</c:f>
              <c:numCache>
                <c:formatCode>0.00</c:formatCode>
                <c:ptCount val="4"/>
                <c:pt idx="0">
                  <c:v>99.6</c:v>
                </c:pt>
                <c:pt idx="1">
                  <c:v>99.6</c:v>
                </c:pt>
                <c:pt idx="2">
                  <c:v>99.4</c:v>
                </c:pt>
              </c:numCache>
            </c:numRef>
          </c:val>
          <c:smooth val="0"/>
          <c:extLst>
            <c:ext xmlns:c16="http://schemas.microsoft.com/office/drawing/2014/chart" uri="{C3380CC4-5D6E-409C-BE32-E72D297353CC}">
              <c16:uniqueId val="{00000007-734B-4882-88EC-98ADAEE8E674}"/>
            </c:ext>
          </c:extLst>
        </c:ser>
        <c:ser>
          <c:idx val="3"/>
          <c:order val="3"/>
          <c:tx>
            <c:strRef>
              <c:f>'F&amp;CS'!$E$4</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'F&amp;CS'!$A$5:$A$8</c:f>
              <c:strCache>
                <c:ptCount val="4"/>
                <c:pt idx="0">
                  <c:v>2015/16</c:v>
                </c:pt>
                <c:pt idx="1">
                  <c:v>2016/17</c:v>
                </c:pt>
                <c:pt idx="2">
                  <c:v>2017/18</c:v>
                </c:pt>
                <c:pt idx="3">
                  <c:v>2018/19</c:v>
                </c:pt>
              </c:strCache>
            </c:strRef>
          </c:cat>
          <c:val>
            <c:numRef>
              <c:f>'F&amp;CS'!$E$5:$E$8</c:f>
              <c:numCache>
                <c:formatCode>0.00</c:formatCode>
                <c:ptCount val="4"/>
                <c:pt idx="0">
                  <c:v>100.3</c:v>
                </c:pt>
                <c:pt idx="1">
                  <c:v>100.6</c:v>
                </c:pt>
                <c:pt idx="2">
                  <c:v>100.2</c:v>
                </c:pt>
              </c:numCache>
            </c:numRef>
          </c:val>
          <c:smooth val="0"/>
          <c:extLst>
            <c:ext xmlns:c16="http://schemas.microsoft.com/office/drawing/2014/chart" uri="{C3380CC4-5D6E-409C-BE32-E72D297353CC}">
              <c16:uniqueId val="{00000008-734B-4882-88EC-98ADAEE8E674}"/>
            </c:ext>
          </c:extLst>
        </c:ser>
        <c:dLbls>
          <c:dLblPos val="t"/>
          <c:showLegendKey val="0"/>
          <c:showVal val="1"/>
          <c:showCatName val="0"/>
          <c:showSerName val="0"/>
          <c:showPercent val="0"/>
          <c:showBubbleSize val="0"/>
        </c:dLbls>
        <c:marker val="1"/>
        <c:smooth val="0"/>
        <c:axId val="214583736"/>
        <c:axId val="214584128"/>
      </c:lineChart>
      <c:catAx>
        <c:axId val="2145837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4128"/>
        <c:crosses val="autoZero"/>
        <c:auto val="1"/>
        <c:lblAlgn val="ctr"/>
        <c:lblOffset val="100"/>
        <c:noMultiLvlLbl val="0"/>
      </c:catAx>
      <c:valAx>
        <c:axId val="214584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3736"/>
        <c:crosses val="autoZero"/>
        <c:crossBetween val="between"/>
      </c:valAx>
      <c:spPr>
        <a:noFill/>
        <a:ln>
          <a:noFill/>
        </a:ln>
        <a:effectLst/>
      </c:spPr>
    </c:plotArea>
    <c:legend>
      <c:legendPos val="b"/>
      <c:layout>
        <c:manualLayout>
          <c:xMode val="edge"/>
          <c:yMode val="edge"/>
          <c:x val="4.9999931826703481E-2"/>
          <c:y val="0.88935218508546687"/>
          <c:w val="0.89999986365340701"/>
          <c:h val="0.110647814914533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In year collection of Non Domestic Rates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'F&amp;CS'!$B$159:$B$161</c:f>
              <c:strCache>
                <c:ptCount val="3"/>
                <c:pt idx="0">
                  <c:v>In year collection of Non Domestic Rates (%)</c:v>
                </c:pt>
                <c:pt idx="2">
                  <c:v>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1.3055328487055817E-2"/>
                  <c:y val="5.2846305383304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CD-497D-802A-4816E5EEEF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'F&amp;CS'!$A$162:$A$165</c:f>
              <c:strCache>
                <c:ptCount val="4"/>
                <c:pt idx="0">
                  <c:v>2015/16</c:v>
                </c:pt>
                <c:pt idx="1">
                  <c:v>2016/17</c:v>
                </c:pt>
                <c:pt idx="2">
                  <c:v>2017/18</c:v>
                </c:pt>
                <c:pt idx="3">
                  <c:v>2018/19</c:v>
                </c:pt>
              </c:strCache>
            </c:strRef>
          </c:cat>
          <c:val>
            <c:numRef>
              <c:f>'F&amp;CS'!$B$162:$B$165</c:f>
              <c:numCache>
                <c:formatCode>0.00</c:formatCode>
                <c:ptCount val="4"/>
                <c:pt idx="0">
                  <c:v>97.9</c:v>
                </c:pt>
                <c:pt idx="1">
                  <c:v>97.8</c:v>
                </c:pt>
                <c:pt idx="2">
                  <c:v>97.9</c:v>
                </c:pt>
                <c:pt idx="3">
                  <c:v>98.4</c:v>
                </c:pt>
              </c:numCache>
            </c:numRef>
          </c:val>
          <c:smooth val="0"/>
          <c:extLst>
            <c:ext xmlns:c16="http://schemas.microsoft.com/office/drawing/2014/chart" uri="{C3380CC4-5D6E-409C-BE32-E72D297353CC}">
              <c16:uniqueId val="{00000001-67CD-497D-802A-4816E5EEEFBD}"/>
            </c:ext>
          </c:extLst>
        </c:ser>
        <c:dLbls>
          <c:dLblPos val="t"/>
          <c:showLegendKey val="0"/>
          <c:showVal val="1"/>
          <c:showCatName val="0"/>
          <c:showSerName val="0"/>
          <c:showPercent val="0"/>
          <c:showBubbleSize val="0"/>
        </c:dLbls>
        <c:marker val="1"/>
        <c:smooth val="0"/>
        <c:axId val="216536160"/>
        <c:axId val="216536552"/>
      </c:lineChart>
      <c:catAx>
        <c:axId val="216536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36552"/>
        <c:crosses val="autoZero"/>
        <c:auto val="1"/>
        <c:lblAlgn val="ctr"/>
        <c:lblOffset val="100"/>
        <c:noMultiLvlLbl val="0"/>
      </c:catAx>
      <c:valAx>
        <c:axId val="216536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3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F&amp;CS % Calls Answered</a:t>
            </a:r>
          </a:p>
        </c:rich>
      </c:tx>
      <c:layout>
        <c:manualLayout>
          <c:xMode val="edge"/>
          <c:yMode val="edge"/>
          <c:x val="0.32496522948539636"/>
          <c:y val="3.897550111358574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'F&amp;CS'!$B$207:$B$209</c:f>
              <c:strCache>
                <c:ptCount val="3"/>
                <c:pt idx="0">
                  <c:v>F&amp;CS % Calls Answered</c:v>
                </c:pt>
                <c:pt idx="2">
                  <c:v>Value</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'F&amp;CS'!$A$210:$A$212</c:f>
              <c:strCache>
                <c:ptCount val="3"/>
                <c:pt idx="0">
                  <c:v>2016/17</c:v>
                </c:pt>
                <c:pt idx="1">
                  <c:v>2017/18</c:v>
                </c:pt>
                <c:pt idx="2">
                  <c:v>2018/19</c:v>
                </c:pt>
              </c:strCache>
            </c:strRef>
          </c:cat>
          <c:val>
            <c:numRef>
              <c:f>'F&amp;CS'!$B$210:$B$212</c:f>
              <c:numCache>
                <c:formatCode>0.00</c:formatCode>
                <c:ptCount val="3"/>
                <c:pt idx="0">
                  <c:v>91.35</c:v>
                </c:pt>
                <c:pt idx="1">
                  <c:v>92.4</c:v>
                </c:pt>
                <c:pt idx="2">
                  <c:v>92.75</c:v>
                </c:pt>
              </c:numCache>
            </c:numRef>
          </c:val>
          <c:smooth val="0"/>
          <c:extLst>
            <c:ext xmlns:c16="http://schemas.microsoft.com/office/drawing/2014/chart" uri="{C3380CC4-5D6E-409C-BE32-E72D297353CC}">
              <c16:uniqueId val="{00000000-57A7-440F-8ED4-DD5D6D6F219A}"/>
            </c:ext>
          </c:extLst>
        </c:ser>
        <c:dLbls>
          <c:dLblPos val="t"/>
          <c:showLegendKey val="0"/>
          <c:showVal val="1"/>
          <c:showCatName val="0"/>
          <c:showSerName val="0"/>
          <c:showPercent val="0"/>
          <c:showBubbleSize val="0"/>
        </c:dLbls>
        <c:marker val="1"/>
        <c:smooth val="0"/>
        <c:axId val="372801768"/>
        <c:axId val="369469216"/>
      </c:lineChart>
      <c:catAx>
        <c:axId val="3728017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469216"/>
        <c:crosses val="autoZero"/>
        <c:auto val="1"/>
        <c:lblAlgn val="ctr"/>
        <c:lblOffset val="100"/>
        <c:noMultiLvlLbl val="0"/>
      </c:catAx>
      <c:valAx>
        <c:axId val="369469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801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Average Time to process new Housing/Council</a:t>
            </a:r>
            <a:r>
              <a:rPr lang="en-US" sz="1000" baseline="0"/>
              <a:t> </a:t>
            </a:r>
            <a:r>
              <a:rPr lang="en-US" sz="1000"/>
              <a:t>Tax </a:t>
            </a:r>
          </a:p>
          <a:p>
            <a:pPr>
              <a:defRPr sz="1000"/>
            </a:pPr>
            <a:r>
              <a:rPr lang="en-US" sz="1000"/>
              <a:t>Benefit claims (in days)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'F&amp;CS'!$B$175:$B$177</c:f>
              <c:strCache>
                <c:ptCount val="3"/>
                <c:pt idx="0">
                  <c:v>Average Time to process new HB/CTB claims (in days)</c:v>
                </c:pt>
                <c:pt idx="2">
                  <c:v>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'F&amp;CS'!$A$178:$A$181</c:f>
              <c:strCache>
                <c:ptCount val="4"/>
                <c:pt idx="0">
                  <c:v>2015/16</c:v>
                </c:pt>
                <c:pt idx="1">
                  <c:v>2016/17</c:v>
                </c:pt>
                <c:pt idx="2">
                  <c:v>2017/18</c:v>
                </c:pt>
                <c:pt idx="3">
                  <c:v>2018/19</c:v>
                </c:pt>
              </c:strCache>
            </c:strRef>
          </c:cat>
          <c:val>
            <c:numRef>
              <c:f>'F&amp;CS'!$B$178:$B$181</c:f>
              <c:numCache>
                <c:formatCode>0.00</c:formatCode>
                <c:ptCount val="4"/>
                <c:pt idx="0">
                  <c:v>16.7</c:v>
                </c:pt>
                <c:pt idx="1">
                  <c:v>17.5</c:v>
                </c:pt>
                <c:pt idx="2">
                  <c:v>19.5</c:v>
                </c:pt>
                <c:pt idx="3">
                  <c:v>18.899999999999999</c:v>
                </c:pt>
              </c:numCache>
            </c:numRef>
          </c:val>
          <c:smooth val="0"/>
          <c:extLst>
            <c:ext xmlns:c16="http://schemas.microsoft.com/office/drawing/2014/chart" uri="{C3380CC4-5D6E-409C-BE32-E72D297353CC}">
              <c16:uniqueId val="{00000000-D091-48AA-A0B8-D9A7A62933B9}"/>
            </c:ext>
          </c:extLst>
        </c:ser>
        <c:dLbls>
          <c:dLblPos val="t"/>
          <c:showLegendKey val="0"/>
          <c:showVal val="1"/>
          <c:showCatName val="0"/>
          <c:showSerName val="0"/>
          <c:showPercent val="0"/>
          <c:showBubbleSize val="0"/>
        </c:dLbls>
        <c:marker val="1"/>
        <c:smooth val="0"/>
        <c:axId val="216539296"/>
        <c:axId val="216539688"/>
      </c:lineChart>
      <c:catAx>
        <c:axId val="2165392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39688"/>
        <c:crosses val="autoZero"/>
        <c:auto val="1"/>
        <c:lblAlgn val="ctr"/>
        <c:lblOffset val="100"/>
        <c:noMultiLvlLbl val="0"/>
      </c:catAx>
      <c:valAx>
        <c:axId val="216539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39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of income due from council tax received </a:t>
            </a:r>
          </a:p>
          <a:p>
            <a:pPr>
              <a:defRPr sz="1000"/>
            </a:pPr>
            <a:r>
              <a:rPr lang="en-GB" sz="1000"/>
              <a:t>by the end of the year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08085056057783"/>
          <c:y val="0.24723724574112829"/>
          <c:w val="0.85467491304021692"/>
          <c:h val="0.55750386412991537"/>
        </c:manualLayout>
      </c:layout>
      <c:lineChart>
        <c:grouping val="standard"/>
        <c:varyColors val="0"/>
        <c:ser>
          <c:idx val="0"/>
          <c:order val="0"/>
          <c:tx>
            <c:strRef>
              <c:f>'F&amp;CS'!$B$287</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2694975303817031E-2"/>
                  <c:y val="-6.3537280807213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F8-4C4F-A20E-0C68EC510292}"/>
                </c:ext>
              </c:extLst>
            </c:dLbl>
            <c:dLbl>
              <c:idx val="1"/>
              <c:layout>
                <c:manualLayout>
                  <c:x val="-6.1558914826946427E-2"/>
                  <c:y val="3.9259368945698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F8-4C4F-A20E-0C68EC510292}"/>
                </c:ext>
              </c:extLst>
            </c:dLbl>
            <c:dLbl>
              <c:idx val="2"/>
              <c:layout>
                <c:manualLayout>
                  <c:x val="-8.718763634769984E-3"/>
                  <c:y val="3.9259368945698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F8-4C4F-A20E-0C68EC5102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'F&amp;CS'!$A$288:$A$291</c:f>
              <c:strCache>
                <c:ptCount val="4"/>
                <c:pt idx="0">
                  <c:v>2015/16</c:v>
                </c:pt>
                <c:pt idx="1">
                  <c:v>2016/17</c:v>
                </c:pt>
                <c:pt idx="2">
                  <c:v>2017/18</c:v>
                </c:pt>
                <c:pt idx="3">
                  <c:v>2018/19</c:v>
                </c:pt>
              </c:strCache>
            </c:strRef>
          </c:cat>
          <c:val>
            <c:numRef>
              <c:f>'F&amp;CS'!$B$288:$B$291</c:f>
              <c:numCache>
                <c:formatCode>0.00</c:formatCode>
                <c:ptCount val="4"/>
                <c:pt idx="0">
                  <c:v>95.69</c:v>
                </c:pt>
                <c:pt idx="1">
                  <c:v>95.77</c:v>
                </c:pt>
                <c:pt idx="2">
                  <c:v>95.79</c:v>
                </c:pt>
                <c:pt idx="3">
                  <c:v>95.7</c:v>
                </c:pt>
              </c:numCache>
            </c:numRef>
          </c:val>
          <c:smooth val="0"/>
          <c:extLst>
            <c:ext xmlns:c16="http://schemas.microsoft.com/office/drawing/2014/chart" uri="{C3380CC4-5D6E-409C-BE32-E72D297353CC}">
              <c16:uniqueId val="{00000003-F5F8-4C4F-A20E-0C68EC510292}"/>
            </c:ext>
          </c:extLst>
        </c:ser>
        <c:ser>
          <c:idx val="1"/>
          <c:order val="1"/>
          <c:tx>
            <c:strRef>
              <c:f>'F&amp;CS'!$C$287</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dLbl>
              <c:idx val="0"/>
              <c:layout>
                <c:manualLayout>
                  <c:x val="-0.1153854155080435"/>
                  <c:y val="3.9349833806527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F8-4C4F-A20E-0C68EC510292}"/>
                </c:ext>
              </c:extLst>
            </c:dLbl>
            <c:dLbl>
              <c:idx val="1"/>
              <c:layout>
                <c:manualLayout>
                  <c:x val="-6.606794106201215E-2"/>
                  <c:y val="-6.3446815946383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F8-4C4F-A20E-0C68EC510292}"/>
                </c:ext>
              </c:extLst>
            </c:dLbl>
            <c:dLbl>
              <c:idx val="2"/>
              <c:layout>
                <c:manualLayout>
                  <c:x val="-4.6006158304654952E-2"/>
                  <c:y val="-5.7399954196212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F8-4C4F-A20E-0C68EC5102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'F&amp;CS'!$A$288:$A$291</c:f>
              <c:strCache>
                <c:ptCount val="4"/>
                <c:pt idx="0">
                  <c:v>2015/16</c:v>
                </c:pt>
                <c:pt idx="1">
                  <c:v>2016/17</c:v>
                </c:pt>
                <c:pt idx="2">
                  <c:v>2017/18</c:v>
                </c:pt>
                <c:pt idx="3">
                  <c:v>2018/19</c:v>
                </c:pt>
              </c:strCache>
            </c:strRef>
          </c:cat>
          <c:val>
            <c:numRef>
              <c:f>'F&amp;CS'!$C$288:$C$291</c:f>
              <c:numCache>
                <c:formatCode>0.00</c:formatCode>
                <c:ptCount val="4"/>
                <c:pt idx="0">
                  <c:v>96.71</c:v>
                </c:pt>
                <c:pt idx="1">
                  <c:v>96.84</c:v>
                </c:pt>
                <c:pt idx="2">
                  <c:v>96.99</c:v>
                </c:pt>
              </c:numCache>
            </c:numRef>
          </c:val>
          <c:smooth val="0"/>
          <c:extLst>
            <c:ext xmlns:c16="http://schemas.microsoft.com/office/drawing/2014/chart" uri="{C3380CC4-5D6E-409C-BE32-E72D297353CC}">
              <c16:uniqueId val="{00000007-F5F8-4C4F-A20E-0C68EC510292}"/>
            </c:ext>
          </c:extLst>
        </c:ser>
        <c:ser>
          <c:idx val="2"/>
          <c:order val="2"/>
          <c:tx>
            <c:strRef>
              <c:f>'F&amp;CS'!$D$287</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'F&amp;CS'!$A$288:$A$291</c:f>
              <c:strCache>
                <c:ptCount val="4"/>
                <c:pt idx="0">
                  <c:v>2015/16</c:v>
                </c:pt>
                <c:pt idx="1">
                  <c:v>2016/17</c:v>
                </c:pt>
                <c:pt idx="2">
                  <c:v>2017/18</c:v>
                </c:pt>
                <c:pt idx="3">
                  <c:v>2018/19</c:v>
                </c:pt>
              </c:strCache>
            </c:strRef>
          </c:cat>
          <c:val>
            <c:numRef>
              <c:f>'F&amp;CS'!$D$288:$D$291</c:f>
              <c:numCache>
                <c:formatCode>0.00</c:formatCode>
                <c:ptCount val="4"/>
                <c:pt idx="0">
                  <c:v>95.66</c:v>
                </c:pt>
                <c:pt idx="1">
                  <c:v>95.83</c:v>
                </c:pt>
                <c:pt idx="2">
                  <c:v>96</c:v>
                </c:pt>
              </c:numCache>
            </c:numRef>
          </c:val>
          <c:smooth val="0"/>
          <c:extLst>
            <c:ext xmlns:c16="http://schemas.microsoft.com/office/drawing/2014/chart" uri="{C3380CC4-5D6E-409C-BE32-E72D297353CC}">
              <c16:uniqueId val="{00000008-F5F8-4C4F-A20E-0C68EC510292}"/>
            </c:ext>
          </c:extLst>
        </c:ser>
        <c:dLbls>
          <c:dLblPos val="t"/>
          <c:showLegendKey val="0"/>
          <c:showVal val="1"/>
          <c:showCatName val="0"/>
          <c:showSerName val="0"/>
          <c:showPercent val="0"/>
          <c:showBubbleSize val="0"/>
        </c:dLbls>
        <c:marker val="1"/>
        <c:smooth val="0"/>
        <c:axId val="216547280"/>
        <c:axId val="216547672"/>
      </c:lineChart>
      <c:catAx>
        <c:axId val="2165472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47672"/>
        <c:crosses val="autoZero"/>
        <c:auto val="1"/>
        <c:lblAlgn val="ctr"/>
        <c:lblOffset val="100"/>
        <c:noMultiLvlLbl val="0"/>
      </c:catAx>
      <c:valAx>
        <c:axId val="216547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47280"/>
        <c:crosses val="autoZero"/>
        <c:crossBetween val="between"/>
      </c:valAx>
      <c:spPr>
        <a:noFill/>
        <a:ln>
          <a:noFill/>
        </a:ln>
        <a:effectLst/>
      </c:spPr>
    </c:plotArea>
    <c:legend>
      <c:legendPos val="b"/>
      <c:layout>
        <c:manualLayout>
          <c:xMode val="edge"/>
          <c:yMode val="edge"/>
          <c:x val="5.0000027375974518E-2"/>
          <c:y val="0.89491933765788589"/>
          <c:w val="0.89999994524805094"/>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3 year collection of Council Tax</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'F&amp;CS'!$B$191:$B$193</c:f>
              <c:strCache>
                <c:ptCount val="3"/>
                <c:pt idx="0">
                  <c:v>3 year collection of Council Tax</c:v>
                </c:pt>
                <c:pt idx="2">
                  <c:v>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2806226091472243E-2"/>
                  <c:y val="6.9258583275528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C1-4343-99ED-26BA244075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'F&amp;CS'!$A$194:$A$197</c:f>
              <c:strCache>
                <c:ptCount val="4"/>
                <c:pt idx="0">
                  <c:v>2015/16</c:v>
                </c:pt>
                <c:pt idx="1">
                  <c:v>2016/17</c:v>
                </c:pt>
                <c:pt idx="2">
                  <c:v>2017/18</c:v>
                </c:pt>
                <c:pt idx="3">
                  <c:v>2018/19</c:v>
                </c:pt>
              </c:strCache>
            </c:strRef>
          </c:cat>
          <c:val>
            <c:numRef>
              <c:f>'F&amp;CS'!$B$194:$B$197</c:f>
              <c:numCache>
                <c:formatCode>0.00</c:formatCode>
                <c:ptCount val="4"/>
                <c:pt idx="0">
                  <c:v>97.34</c:v>
                </c:pt>
                <c:pt idx="1">
                  <c:v>97.41</c:v>
                </c:pt>
                <c:pt idx="2">
                  <c:v>97.23</c:v>
                </c:pt>
                <c:pt idx="3">
                  <c:v>97.26</c:v>
                </c:pt>
              </c:numCache>
            </c:numRef>
          </c:val>
          <c:smooth val="0"/>
          <c:extLst>
            <c:ext xmlns:c16="http://schemas.microsoft.com/office/drawing/2014/chart" uri="{C3380CC4-5D6E-409C-BE32-E72D297353CC}">
              <c16:uniqueId val="{00000001-47C1-4343-99ED-26BA2440757C}"/>
            </c:ext>
          </c:extLst>
        </c:ser>
        <c:dLbls>
          <c:dLblPos val="t"/>
          <c:showLegendKey val="0"/>
          <c:showVal val="1"/>
          <c:showCatName val="0"/>
          <c:showSerName val="0"/>
          <c:showPercent val="0"/>
          <c:showBubbleSize val="0"/>
        </c:dLbls>
        <c:marker val="1"/>
        <c:smooth val="0"/>
        <c:axId val="216548848"/>
        <c:axId val="216549240"/>
      </c:lineChart>
      <c:catAx>
        <c:axId val="216548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49240"/>
        <c:crosses val="autoZero"/>
        <c:auto val="1"/>
        <c:lblAlgn val="ctr"/>
        <c:lblOffset val="100"/>
        <c:noMultiLvlLbl val="0"/>
      </c:catAx>
      <c:valAx>
        <c:axId val="216549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48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 of invoices sampled that were paid within 30 days</a:t>
            </a:r>
          </a:p>
        </c:rich>
      </c:tx>
      <c:layout>
        <c:manualLayout>
          <c:xMode val="edge"/>
          <c:yMode val="edge"/>
          <c:x val="0.14155076495132127"/>
          <c:y val="3.326864430274466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2462092324697055"/>
          <c:w val="0.8388209386783646"/>
          <c:h val="0.58151978183688147"/>
        </c:manualLayout>
      </c:layout>
      <c:lineChart>
        <c:grouping val="standard"/>
        <c:varyColors val="0"/>
        <c:ser>
          <c:idx val="0"/>
          <c:order val="0"/>
          <c:tx>
            <c:strRef>
              <c:f>'F&amp;CS'!$B$303</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'F&amp;CS'!$A$304:$A$307</c:f>
              <c:strCache>
                <c:ptCount val="4"/>
                <c:pt idx="0">
                  <c:v>2015/16</c:v>
                </c:pt>
                <c:pt idx="1">
                  <c:v>2016/17</c:v>
                </c:pt>
                <c:pt idx="2">
                  <c:v>2017/18</c:v>
                </c:pt>
                <c:pt idx="3">
                  <c:v>2018/19</c:v>
                </c:pt>
              </c:strCache>
            </c:strRef>
          </c:cat>
          <c:val>
            <c:numRef>
              <c:f>'F&amp;CS'!$B$304:$B$307</c:f>
              <c:numCache>
                <c:formatCode>0.00</c:formatCode>
                <c:ptCount val="4"/>
                <c:pt idx="0">
                  <c:v>94.3</c:v>
                </c:pt>
                <c:pt idx="1">
                  <c:v>97.2</c:v>
                </c:pt>
                <c:pt idx="2">
                  <c:v>97</c:v>
                </c:pt>
                <c:pt idx="3">
                  <c:v>96.2</c:v>
                </c:pt>
              </c:numCache>
            </c:numRef>
          </c:val>
          <c:smooth val="0"/>
          <c:extLst>
            <c:ext xmlns:c16="http://schemas.microsoft.com/office/drawing/2014/chart" uri="{C3380CC4-5D6E-409C-BE32-E72D297353CC}">
              <c16:uniqueId val="{00000000-7716-4A77-98EA-0CC64C3DA297}"/>
            </c:ext>
          </c:extLst>
        </c:ser>
        <c:ser>
          <c:idx val="1"/>
          <c:order val="1"/>
          <c:tx>
            <c:strRef>
              <c:f>'F&amp;CS'!$C$303</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prstDash val="dashDot"/>
              </a:ln>
              <a:effectLst/>
            </c:spPr>
          </c:marker>
          <c:dLbls>
            <c:dLbl>
              <c:idx val="0"/>
              <c:layout>
                <c:manualLayout>
                  <c:x val="-5.7279572759591307E-2"/>
                  <c:y val="5.2626570273747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16-4A77-98EA-0CC64C3DA297}"/>
                </c:ext>
              </c:extLst>
            </c:dLbl>
            <c:dLbl>
              <c:idx val="1"/>
              <c:layout>
                <c:manualLayout>
                  <c:x val="-5.7279572759591377E-2"/>
                  <c:y val="5.2626570273747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16-4A77-98EA-0CC64C3DA297}"/>
                </c:ext>
              </c:extLst>
            </c:dLbl>
            <c:dLbl>
              <c:idx val="2"/>
              <c:layout>
                <c:manualLayout>
                  <c:x val="-5.7279572759591307E-2"/>
                  <c:y val="4.15385616058928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16-4A77-98EA-0CC64C3DA2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'F&amp;CS'!$A$304:$A$307</c:f>
              <c:strCache>
                <c:ptCount val="4"/>
                <c:pt idx="0">
                  <c:v>2015/16</c:v>
                </c:pt>
                <c:pt idx="1">
                  <c:v>2016/17</c:v>
                </c:pt>
                <c:pt idx="2">
                  <c:v>2017/18</c:v>
                </c:pt>
                <c:pt idx="3">
                  <c:v>2018/19</c:v>
                </c:pt>
              </c:strCache>
            </c:strRef>
          </c:cat>
          <c:val>
            <c:numRef>
              <c:f>'F&amp;CS'!$C$304:$C$307</c:f>
              <c:numCache>
                <c:formatCode>0.00</c:formatCode>
                <c:ptCount val="4"/>
                <c:pt idx="0">
                  <c:v>95.8</c:v>
                </c:pt>
                <c:pt idx="1">
                  <c:v>95.4</c:v>
                </c:pt>
                <c:pt idx="2">
                  <c:v>95.7</c:v>
                </c:pt>
              </c:numCache>
            </c:numRef>
          </c:val>
          <c:smooth val="0"/>
          <c:extLst>
            <c:ext xmlns:c16="http://schemas.microsoft.com/office/drawing/2014/chart" uri="{C3380CC4-5D6E-409C-BE32-E72D297353CC}">
              <c16:uniqueId val="{00000004-7716-4A77-98EA-0CC64C3DA297}"/>
            </c:ext>
          </c:extLst>
        </c:ser>
        <c:ser>
          <c:idx val="2"/>
          <c:order val="2"/>
          <c:tx>
            <c:strRef>
              <c:f>'F&amp;CS'!$D$303</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prstDash val="sysDot"/>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'F&amp;CS'!$A$304:$A$307</c:f>
              <c:strCache>
                <c:ptCount val="4"/>
                <c:pt idx="0">
                  <c:v>2015/16</c:v>
                </c:pt>
                <c:pt idx="1">
                  <c:v>2016/17</c:v>
                </c:pt>
                <c:pt idx="2">
                  <c:v>2017/18</c:v>
                </c:pt>
                <c:pt idx="3">
                  <c:v>2018/19</c:v>
                </c:pt>
              </c:strCache>
            </c:strRef>
          </c:cat>
          <c:val>
            <c:numRef>
              <c:f>'F&amp;CS'!$D$304:$D$307</c:f>
              <c:numCache>
                <c:formatCode>0.00</c:formatCode>
                <c:ptCount val="4"/>
                <c:pt idx="0">
                  <c:v>92.8</c:v>
                </c:pt>
                <c:pt idx="1">
                  <c:v>93.1</c:v>
                </c:pt>
                <c:pt idx="2">
                  <c:v>93.2</c:v>
                </c:pt>
              </c:numCache>
            </c:numRef>
          </c:val>
          <c:smooth val="0"/>
          <c:extLst>
            <c:ext xmlns:c16="http://schemas.microsoft.com/office/drawing/2014/chart" uri="{C3380CC4-5D6E-409C-BE32-E72D297353CC}">
              <c16:uniqueId val="{00000005-7716-4A77-98EA-0CC64C3DA297}"/>
            </c:ext>
          </c:extLst>
        </c:ser>
        <c:dLbls>
          <c:dLblPos val="t"/>
          <c:showLegendKey val="0"/>
          <c:showVal val="1"/>
          <c:showCatName val="0"/>
          <c:showSerName val="0"/>
          <c:showPercent val="0"/>
          <c:showBubbleSize val="0"/>
        </c:dLbls>
        <c:marker val="1"/>
        <c:smooth val="0"/>
        <c:axId val="216550024"/>
        <c:axId val="217935600"/>
      </c:lineChart>
      <c:catAx>
        <c:axId val="2165500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35600"/>
        <c:crosses val="autoZero"/>
        <c:auto val="1"/>
        <c:lblAlgn val="ctr"/>
        <c:lblOffset val="100"/>
        <c:noMultiLvlLbl val="0"/>
      </c:catAx>
      <c:valAx>
        <c:axId val="217935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550024"/>
        <c:crosses val="autoZero"/>
        <c:crossBetween val="between"/>
      </c:valAx>
      <c:spPr>
        <a:noFill/>
        <a:ln>
          <a:noFill/>
        </a:ln>
        <a:effectLst/>
      </c:spPr>
    </c:plotArea>
    <c:legend>
      <c:legendPos val="b"/>
      <c:layout>
        <c:manualLayout>
          <c:xMode val="edge"/>
          <c:yMode val="edge"/>
          <c:x val="5.0000027375974518E-2"/>
          <c:y val="0.90644427206131761"/>
          <c:w val="0.89999994524805094"/>
          <c:h val="9.3555727938682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Gross rent arrears (all tenants) as at 31 March </a:t>
            </a:r>
          </a:p>
          <a:p>
            <a:pPr>
              <a:defRPr sz="1000"/>
            </a:pPr>
            <a:r>
              <a:rPr lang="en-GB" sz="1000"/>
              <a:t>each year as a % of rent due for the reporting year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52530796146288"/>
          <c:y val="0.19631319346436096"/>
          <c:w val="0.85542886929013084"/>
          <c:h val="0.57043177316902705"/>
        </c:manualLayout>
      </c:layout>
      <c:lineChart>
        <c:grouping val="standard"/>
        <c:varyColors val="0"/>
        <c:ser>
          <c:idx val="0"/>
          <c:order val="0"/>
          <c:tx>
            <c:strRef>
              <c:f>'F&amp;CS'!$B$20</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'F&amp;CS'!$A$21:$A$24</c:f>
              <c:strCache>
                <c:ptCount val="4"/>
                <c:pt idx="0">
                  <c:v>2015/16</c:v>
                </c:pt>
                <c:pt idx="1">
                  <c:v>2016/17</c:v>
                </c:pt>
                <c:pt idx="2">
                  <c:v>2017/18</c:v>
                </c:pt>
                <c:pt idx="3">
                  <c:v>2018/19</c:v>
                </c:pt>
              </c:strCache>
            </c:strRef>
          </c:cat>
          <c:val>
            <c:numRef>
              <c:f>'F&amp;CS'!$B$21:$B$24</c:f>
              <c:numCache>
                <c:formatCode>0.00</c:formatCode>
                <c:ptCount val="4"/>
                <c:pt idx="1">
                  <c:v>7.55</c:v>
                </c:pt>
                <c:pt idx="2">
                  <c:v>8.2100000000000009</c:v>
                </c:pt>
                <c:pt idx="3">
                  <c:v>9.0500000000000007</c:v>
                </c:pt>
              </c:numCache>
            </c:numRef>
          </c:val>
          <c:smooth val="0"/>
          <c:extLst>
            <c:ext xmlns:c16="http://schemas.microsoft.com/office/drawing/2014/chart" uri="{C3380CC4-5D6E-409C-BE32-E72D297353CC}">
              <c16:uniqueId val="{00000000-F6A1-4CA3-AD26-93B5DF45B7AF}"/>
            </c:ext>
          </c:extLst>
        </c:ser>
        <c:ser>
          <c:idx val="1"/>
          <c:order val="1"/>
          <c:tx>
            <c:strRef>
              <c:f>'F&amp;CS'!$C$20</c:f>
              <c:strCache>
                <c:ptCount val="1"/>
                <c:pt idx="0">
                  <c:v>Peer Group</c:v>
                </c:pt>
              </c:strCache>
            </c:strRef>
          </c:tx>
          <c:spPr>
            <a:ln w="28575" cap="rnd">
              <a:solidFill>
                <a:schemeClr val="accent2"/>
              </a:solidFill>
              <a:prstDash val="dash"/>
              <a:round/>
            </a:ln>
            <a:effectLst/>
          </c:spPr>
          <c:marker>
            <c:symbol val="circle"/>
            <c:size val="5"/>
            <c:spPr>
              <a:solidFill>
                <a:schemeClr val="accent2"/>
              </a:solidFill>
              <a:ln w="9525">
                <a:solidFill>
                  <a:schemeClr val="accent2"/>
                </a:solidFill>
              </a:ln>
              <a:effectLst/>
            </c:spPr>
          </c:marker>
          <c:dLbls>
            <c:dLbl>
              <c:idx val="1"/>
              <c:layout>
                <c:manualLayout>
                  <c:x val="-4.9096541070969488E-2"/>
                  <c:y val="-3.5994557271965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A1-4CA3-AD26-93B5DF45B7AF}"/>
                </c:ext>
              </c:extLst>
            </c:dLbl>
            <c:dLbl>
              <c:idx val="2"/>
              <c:layout>
                <c:manualLayout>
                  <c:x val="-4.9096541070969488E-2"/>
                  <c:y val="-4.1538561605892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A1-4CA3-AD26-93B5DF45B7AF}"/>
                </c:ext>
              </c:extLst>
            </c:dLbl>
            <c:dLbl>
              <c:idx val="3"/>
              <c:layout>
                <c:manualLayout>
                  <c:x val="-4.9096541070969613E-2"/>
                  <c:y val="-4.1538561605892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A1-4CA3-AD26-93B5DF45B7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'F&amp;CS'!$A$21:$A$24</c:f>
              <c:strCache>
                <c:ptCount val="4"/>
                <c:pt idx="0">
                  <c:v>2015/16</c:v>
                </c:pt>
                <c:pt idx="1">
                  <c:v>2016/17</c:v>
                </c:pt>
                <c:pt idx="2">
                  <c:v>2017/18</c:v>
                </c:pt>
                <c:pt idx="3">
                  <c:v>2018/19</c:v>
                </c:pt>
              </c:strCache>
            </c:strRef>
          </c:cat>
          <c:val>
            <c:numRef>
              <c:f>'F&amp;CS'!$C$21:$C$24</c:f>
              <c:numCache>
                <c:formatCode>0.00</c:formatCode>
                <c:ptCount val="4"/>
                <c:pt idx="0">
                  <c:v>5.6</c:v>
                </c:pt>
                <c:pt idx="1">
                  <c:v>6</c:v>
                </c:pt>
                <c:pt idx="2">
                  <c:v>6.3</c:v>
                </c:pt>
                <c:pt idx="3">
                  <c:v>6.9</c:v>
                </c:pt>
              </c:numCache>
            </c:numRef>
          </c:val>
          <c:smooth val="0"/>
          <c:extLst>
            <c:ext xmlns:c16="http://schemas.microsoft.com/office/drawing/2014/chart" uri="{C3380CC4-5D6E-409C-BE32-E72D297353CC}">
              <c16:uniqueId val="{00000004-F6A1-4CA3-AD26-93B5DF45B7AF}"/>
            </c:ext>
          </c:extLst>
        </c:ser>
        <c:ser>
          <c:idx val="2"/>
          <c:order val="2"/>
          <c:tx>
            <c:strRef>
              <c:f>'F&amp;CS'!$D$20</c:f>
              <c:strCache>
                <c:ptCount val="1"/>
                <c:pt idx="0">
                  <c:v>Scottish Avg</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'F&amp;CS'!$A$21:$A$24</c:f>
              <c:strCache>
                <c:ptCount val="4"/>
                <c:pt idx="0">
                  <c:v>2015/16</c:v>
                </c:pt>
                <c:pt idx="1">
                  <c:v>2016/17</c:v>
                </c:pt>
                <c:pt idx="2">
                  <c:v>2017/18</c:v>
                </c:pt>
                <c:pt idx="3">
                  <c:v>2018/19</c:v>
                </c:pt>
              </c:strCache>
            </c:strRef>
          </c:cat>
          <c:val>
            <c:numRef>
              <c:f>'F&amp;CS'!$D$21:$D$24</c:f>
              <c:numCache>
                <c:formatCode>0.00</c:formatCode>
                <c:ptCount val="4"/>
                <c:pt idx="0">
                  <c:v>5.3</c:v>
                </c:pt>
                <c:pt idx="1">
                  <c:v>5.3</c:v>
                </c:pt>
                <c:pt idx="2">
                  <c:v>5.2</c:v>
                </c:pt>
              </c:numCache>
            </c:numRef>
          </c:val>
          <c:smooth val="0"/>
          <c:extLst>
            <c:ext xmlns:c16="http://schemas.microsoft.com/office/drawing/2014/chart" uri="{C3380CC4-5D6E-409C-BE32-E72D297353CC}">
              <c16:uniqueId val="{00000005-F6A1-4CA3-AD26-93B5DF45B7AF}"/>
            </c:ext>
          </c:extLst>
        </c:ser>
        <c:ser>
          <c:idx val="3"/>
          <c:order val="3"/>
          <c:tx>
            <c:strRef>
              <c:f>'F&amp;CS'!$E$20</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'F&amp;CS'!$A$21:$A$24</c:f>
              <c:strCache>
                <c:ptCount val="4"/>
                <c:pt idx="0">
                  <c:v>2015/16</c:v>
                </c:pt>
                <c:pt idx="1">
                  <c:v>2016/17</c:v>
                </c:pt>
                <c:pt idx="2">
                  <c:v>2017/18</c:v>
                </c:pt>
                <c:pt idx="3">
                  <c:v>2018/19</c:v>
                </c:pt>
              </c:strCache>
            </c:strRef>
          </c:cat>
          <c:val>
            <c:numRef>
              <c:f>'F&amp;CS'!$E$21:$E$24</c:f>
              <c:numCache>
                <c:formatCode>0.00</c:formatCode>
                <c:ptCount val="4"/>
                <c:pt idx="0">
                  <c:v>3</c:v>
                </c:pt>
                <c:pt idx="1">
                  <c:v>2.7</c:v>
                </c:pt>
                <c:pt idx="2">
                  <c:v>2.7</c:v>
                </c:pt>
              </c:numCache>
            </c:numRef>
          </c:val>
          <c:smooth val="0"/>
          <c:extLst>
            <c:ext xmlns:c16="http://schemas.microsoft.com/office/drawing/2014/chart" uri="{C3380CC4-5D6E-409C-BE32-E72D297353CC}">
              <c16:uniqueId val="{00000006-F6A1-4CA3-AD26-93B5DF45B7AF}"/>
            </c:ext>
          </c:extLst>
        </c:ser>
        <c:dLbls>
          <c:dLblPos val="t"/>
          <c:showLegendKey val="0"/>
          <c:showVal val="1"/>
          <c:showCatName val="0"/>
          <c:showSerName val="0"/>
          <c:showPercent val="0"/>
          <c:showBubbleSize val="0"/>
        </c:dLbls>
        <c:marker val="1"/>
        <c:smooth val="0"/>
        <c:axId val="217936384"/>
        <c:axId val="217936776"/>
      </c:lineChart>
      <c:catAx>
        <c:axId val="2179363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36776"/>
        <c:crosses val="autoZero"/>
        <c:auto val="1"/>
        <c:lblAlgn val="ctr"/>
        <c:lblOffset val="100"/>
        <c:noMultiLvlLbl val="0"/>
      </c:catAx>
      <c:valAx>
        <c:axId val="217936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36384"/>
        <c:crosses val="autoZero"/>
        <c:crossBetween val="between"/>
      </c:valAx>
      <c:spPr>
        <a:noFill/>
        <a:ln>
          <a:noFill/>
        </a:ln>
        <a:effectLst/>
      </c:spPr>
    </c:plotArea>
    <c:legend>
      <c:legendPos val="b"/>
      <c:layout>
        <c:manualLayout>
          <c:xMode val="edge"/>
          <c:yMode val="edge"/>
          <c:x val="4.9999891064215464E-2"/>
          <c:y val="0.88426825472560888"/>
          <c:w val="0.8999999455321076"/>
          <c:h val="0.110187740940463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Level of Balances as a % of budget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'F&amp;CS'!$B$127:$B$129</c:f>
              <c:strCache>
                <c:ptCount val="3"/>
                <c:pt idx="0">
                  <c:v>Level of Balances as a % of budget</c:v>
                </c:pt>
                <c:pt idx="2">
                  <c:v>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'F&amp;CS'!$A$130:$A$133</c:f>
              <c:strCache>
                <c:ptCount val="4"/>
                <c:pt idx="0">
                  <c:v>2015/16</c:v>
                </c:pt>
                <c:pt idx="1">
                  <c:v>2016/17</c:v>
                </c:pt>
                <c:pt idx="2">
                  <c:v>2017/18</c:v>
                </c:pt>
                <c:pt idx="3">
                  <c:v>2018/19</c:v>
                </c:pt>
              </c:strCache>
            </c:strRef>
          </c:cat>
          <c:val>
            <c:numRef>
              <c:f>'F&amp;CS'!$B$130:$B$133</c:f>
              <c:numCache>
                <c:formatCode>0.00</c:formatCode>
                <c:ptCount val="4"/>
                <c:pt idx="0">
                  <c:v>3.05</c:v>
                </c:pt>
                <c:pt idx="1">
                  <c:v>5.43</c:v>
                </c:pt>
                <c:pt idx="2">
                  <c:v>2.9</c:v>
                </c:pt>
                <c:pt idx="3">
                  <c:v>1.53</c:v>
                </c:pt>
              </c:numCache>
            </c:numRef>
          </c:val>
          <c:smooth val="0"/>
          <c:extLst>
            <c:ext xmlns:c16="http://schemas.microsoft.com/office/drawing/2014/chart" uri="{C3380CC4-5D6E-409C-BE32-E72D297353CC}">
              <c16:uniqueId val="{00000000-EDA4-4AF6-BDDD-1C77817753A8}"/>
            </c:ext>
          </c:extLst>
        </c:ser>
        <c:dLbls>
          <c:dLblPos val="t"/>
          <c:showLegendKey val="0"/>
          <c:showVal val="1"/>
          <c:showCatName val="0"/>
          <c:showSerName val="0"/>
          <c:showPercent val="0"/>
          <c:showBubbleSize val="0"/>
        </c:dLbls>
        <c:marker val="1"/>
        <c:smooth val="0"/>
        <c:axId val="217937560"/>
        <c:axId val="217937952"/>
      </c:lineChart>
      <c:catAx>
        <c:axId val="2179375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37952"/>
        <c:crosses val="autoZero"/>
        <c:auto val="1"/>
        <c:lblAlgn val="ctr"/>
        <c:lblOffset val="100"/>
        <c:noMultiLvlLbl val="0"/>
      </c:catAx>
      <c:valAx>
        <c:axId val="217937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37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Support services as a % of total gross expenditure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21735051188228"/>
          <c:y val="0.19473942072968956"/>
          <c:w val="0.85083526352517358"/>
          <c:h val="0.61131724931591902"/>
        </c:manualLayout>
      </c:layout>
      <c:lineChart>
        <c:grouping val="standard"/>
        <c:varyColors val="0"/>
        <c:ser>
          <c:idx val="0"/>
          <c:order val="0"/>
          <c:tx>
            <c:strRef>
              <c:f>'F&amp;CS'!$B$224</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dLbl>
              <c:idx val="0"/>
              <c:layout>
                <c:manualLayout>
                  <c:x val="-4.4986220472440948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49-4591-BBC2-5F19C2737888}"/>
                </c:ext>
              </c:extLst>
            </c:dLbl>
            <c:dLbl>
              <c:idx val="1"/>
              <c:layout>
                <c:manualLayout>
                  <c:x val="-5.3385208342557597E-2"/>
                  <c:y val="4.7165507736941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49-4591-BBC2-5F19C2737888}"/>
                </c:ext>
              </c:extLst>
            </c:dLbl>
            <c:dLbl>
              <c:idx val="2"/>
              <c:layout>
                <c:manualLayout>
                  <c:x val="-1.443066491688539E-2"/>
                  <c:y val="-1.1539442986293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49-4591-BBC2-5F19C27378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'F&amp;CS'!$A$225:$A$228</c:f>
              <c:strCache>
                <c:ptCount val="4"/>
                <c:pt idx="0">
                  <c:v>2015/16</c:v>
                </c:pt>
                <c:pt idx="1">
                  <c:v>2016/17</c:v>
                </c:pt>
                <c:pt idx="2">
                  <c:v>2017/18</c:v>
                </c:pt>
                <c:pt idx="3">
                  <c:v>2018/19</c:v>
                </c:pt>
              </c:strCache>
            </c:strRef>
          </c:cat>
          <c:val>
            <c:numRef>
              <c:f>'F&amp;CS'!$B$225:$B$228</c:f>
              <c:numCache>
                <c:formatCode>0.00</c:formatCode>
                <c:ptCount val="4"/>
                <c:pt idx="0">
                  <c:v>6.7</c:v>
                </c:pt>
                <c:pt idx="1">
                  <c:v>4.97</c:v>
                </c:pt>
                <c:pt idx="2">
                  <c:v>4.79</c:v>
                </c:pt>
              </c:numCache>
            </c:numRef>
          </c:val>
          <c:smooth val="0"/>
          <c:extLst>
            <c:ext xmlns:c16="http://schemas.microsoft.com/office/drawing/2014/chart" uri="{C3380CC4-5D6E-409C-BE32-E72D297353CC}">
              <c16:uniqueId val="{00000003-3B49-4591-BBC2-5F19C2737888}"/>
            </c:ext>
          </c:extLst>
        </c:ser>
        <c:ser>
          <c:idx val="1"/>
          <c:order val="1"/>
          <c:tx>
            <c:strRef>
              <c:f>'F&amp;CS'!$C$224</c:f>
              <c:strCache>
                <c:ptCount val="1"/>
                <c:pt idx="0">
                  <c:v>Top Quartile</c:v>
                </c:pt>
              </c:strCache>
            </c:strRef>
          </c:tx>
          <c:spPr>
            <a:ln w="28575" cap="rnd">
              <a:solidFill>
                <a:srgbClr val="FFC000"/>
              </a:solidFill>
              <a:prstDash val="dashDot"/>
              <a:round/>
            </a:ln>
            <a:effectLst/>
          </c:spPr>
          <c:marker>
            <c:symbol val="circle"/>
            <c:size val="5"/>
            <c:spPr>
              <a:solidFill>
                <a:srgbClr val="FFC000"/>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'F&amp;CS'!$A$225:$A$228</c:f>
              <c:strCache>
                <c:ptCount val="4"/>
                <c:pt idx="0">
                  <c:v>2015/16</c:v>
                </c:pt>
                <c:pt idx="1">
                  <c:v>2016/17</c:v>
                </c:pt>
                <c:pt idx="2">
                  <c:v>2017/18</c:v>
                </c:pt>
                <c:pt idx="3">
                  <c:v>2018/19</c:v>
                </c:pt>
              </c:strCache>
            </c:strRef>
          </c:cat>
          <c:val>
            <c:numRef>
              <c:f>'F&amp;CS'!$C$225:$C$228</c:f>
              <c:numCache>
                <c:formatCode>0.00</c:formatCode>
                <c:ptCount val="4"/>
                <c:pt idx="0">
                  <c:v>4.25</c:v>
                </c:pt>
                <c:pt idx="1">
                  <c:v>4.03</c:v>
                </c:pt>
                <c:pt idx="2">
                  <c:v>3.62</c:v>
                </c:pt>
              </c:numCache>
            </c:numRef>
          </c:val>
          <c:smooth val="0"/>
          <c:extLst>
            <c:ext xmlns:c16="http://schemas.microsoft.com/office/drawing/2014/chart" uri="{C3380CC4-5D6E-409C-BE32-E72D297353CC}">
              <c16:uniqueId val="{00000004-3B49-4591-BBC2-5F19C2737888}"/>
            </c:ext>
          </c:extLst>
        </c:ser>
        <c:ser>
          <c:idx val="2"/>
          <c:order val="2"/>
          <c:tx>
            <c:strRef>
              <c:f>'F&amp;CS'!$D$224</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dLbl>
              <c:idx val="1"/>
              <c:layout>
                <c:manualLayout>
                  <c:x val="-5.683497070282531E-2"/>
                  <c:y val="-5.8253516404796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49-4591-BBC2-5F19C27378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'F&amp;CS'!$A$225:$A$228</c:f>
              <c:strCache>
                <c:ptCount val="4"/>
                <c:pt idx="0">
                  <c:v>2015/16</c:v>
                </c:pt>
                <c:pt idx="1">
                  <c:v>2016/17</c:v>
                </c:pt>
                <c:pt idx="2">
                  <c:v>2017/18</c:v>
                </c:pt>
                <c:pt idx="3">
                  <c:v>2018/19</c:v>
                </c:pt>
              </c:strCache>
            </c:strRef>
          </c:cat>
          <c:val>
            <c:numRef>
              <c:f>'F&amp;CS'!$D$225:$D$228</c:f>
              <c:numCache>
                <c:formatCode>0.00</c:formatCode>
                <c:ptCount val="4"/>
                <c:pt idx="0">
                  <c:v>5.36</c:v>
                </c:pt>
                <c:pt idx="1">
                  <c:v>5</c:v>
                </c:pt>
                <c:pt idx="2">
                  <c:v>4.45</c:v>
                </c:pt>
              </c:numCache>
            </c:numRef>
          </c:val>
          <c:smooth val="0"/>
          <c:extLst>
            <c:ext xmlns:c16="http://schemas.microsoft.com/office/drawing/2014/chart" uri="{C3380CC4-5D6E-409C-BE32-E72D297353CC}">
              <c16:uniqueId val="{00000006-3B49-4591-BBC2-5F19C2737888}"/>
            </c:ext>
          </c:extLst>
        </c:ser>
        <c:dLbls>
          <c:dLblPos val="t"/>
          <c:showLegendKey val="0"/>
          <c:showVal val="1"/>
          <c:showCatName val="0"/>
          <c:showSerName val="0"/>
          <c:showPercent val="0"/>
          <c:showBubbleSize val="0"/>
        </c:dLbls>
        <c:marker val="1"/>
        <c:smooth val="0"/>
        <c:axId val="217938736"/>
        <c:axId val="217939128"/>
      </c:lineChart>
      <c:catAx>
        <c:axId val="2179387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39128"/>
        <c:crosses val="autoZero"/>
        <c:auto val="1"/>
        <c:lblAlgn val="ctr"/>
        <c:lblOffset val="100"/>
        <c:noMultiLvlLbl val="0"/>
      </c:catAx>
      <c:valAx>
        <c:axId val="217939128"/>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938736"/>
        <c:crosses val="autoZero"/>
        <c:crossBetween val="between"/>
      </c:valAx>
      <c:spPr>
        <a:noFill/>
        <a:ln>
          <a:noFill/>
        </a:ln>
        <a:effectLst/>
      </c:spPr>
    </c:plotArea>
    <c:legend>
      <c:legendPos val="b"/>
      <c:layout>
        <c:manualLayout>
          <c:xMode val="edge"/>
          <c:yMode val="edge"/>
          <c:x val="5.0000095072191032E-2"/>
          <c:y val="0.88586477026924715"/>
          <c:w val="0.89999980985561789"/>
          <c:h val="0.10204150623041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Stage 2 Complaints dealt with within 20 days (%) Finance and Corporate Services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24723724574112829"/>
          <c:w val="0.8388209386783646"/>
          <c:h val="0.56863816927475341"/>
        </c:manualLayout>
      </c:layout>
      <c:lineChart>
        <c:grouping val="standard"/>
        <c:varyColors val="0"/>
        <c:ser>
          <c:idx val="0"/>
          <c:order val="0"/>
          <c:tx>
            <c:strRef>
              <c:f>'F&amp;CS'!$B$52</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'F&amp;CS'!$A$54:$A$56</c:f>
              <c:strCache>
                <c:ptCount val="3"/>
                <c:pt idx="0">
                  <c:v>2016/17</c:v>
                </c:pt>
                <c:pt idx="1">
                  <c:v>2017/18</c:v>
                </c:pt>
                <c:pt idx="2">
                  <c:v>2018/19</c:v>
                </c:pt>
              </c:strCache>
            </c:strRef>
          </c:cat>
          <c:val>
            <c:numRef>
              <c:f>'F&amp;CS'!$B$54:$B$56</c:f>
              <c:numCache>
                <c:formatCode>0.00</c:formatCode>
                <c:ptCount val="3"/>
                <c:pt idx="0">
                  <c:v>75.680000000000007</c:v>
                </c:pt>
                <c:pt idx="1">
                  <c:v>86.59</c:v>
                </c:pt>
                <c:pt idx="2">
                  <c:v>84.24</c:v>
                </c:pt>
              </c:numCache>
            </c:numRef>
          </c:val>
          <c:smooth val="0"/>
          <c:extLst>
            <c:ext xmlns:c16="http://schemas.microsoft.com/office/drawing/2014/chart" uri="{C3380CC4-5D6E-409C-BE32-E72D297353CC}">
              <c16:uniqueId val="{00000000-B7DA-4C9C-B68C-AB1AB6ED7BF8}"/>
            </c:ext>
          </c:extLst>
        </c:ser>
        <c:ser>
          <c:idx val="1"/>
          <c:order val="1"/>
          <c:tx>
            <c:strRef>
              <c:f>'F&amp;CS'!$C$52</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'F&amp;CS'!$A$54:$A$56</c:f>
              <c:strCache>
                <c:ptCount val="3"/>
                <c:pt idx="0">
                  <c:v>2016/17</c:v>
                </c:pt>
                <c:pt idx="1">
                  <c:v>2017/18</c:v>
                </c:pt>
                <c:pt idx="2">
                  <c:v>2018/19</c:v>
                </c:pt>
              </c:strCache>
            </c:strRef>
          </c:cat>
          <c:val>
            <c:numRef>
              <c:f>'F&amp;CS'!$C$54:$C$56</c:f>
              <c:numCache>
                <c:formatCode>0.00</c:formatCode>
                <c:ptCount val="3"/>
                <c:pt idx="0">
                  <c:v>94.87</c:v>
                </c:pt>
                <c:pt idx="1">
                  <c:v>98.31</c:v>
                </c:pt>
                <c:pt idx="2">
                  <c:v>97.62</c:v>
                </c:pt>
              </c:numCache>
            </c:numRef>
          </c:val>
          <c:smooth val="0"/>
          <c:extLst>
            <c:ext xmlns:c16="http://schemas.microsoft.com/office/drawing/2014/chart" uri="{C3380CC4-5D6E-409C-BE32-E72D297353CC}">
              <c16:uniqueId val="{00000001-B7DA-4C9C-B68C-AB1AB6ED7BF8}"/>
            </c:ext>
          </c:extLst>
        </c:ser>
        <c:dLbls>
          <c:dLblPos val="b"/>
          <c:showLegendKey val="0"/>
          <c:showVal val="1"/>
          <c:showCatName val="0"/>
          <c:showSerName val="0"/>
          <c:showPercent val="0"/>
          <c:showBubbleSize val="0"/>
        </c:dLbls>
        <c:marker val="1"/>
        <c:smooth val="0"/>
        <c:axId val="157791104"/>
        <c:axId val="157597808"/>
      </c:lineChart>
      <c:catAx>
        <c:axId val="15779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97808"/>
        <c:crosses val="autoZero"/>
        <c:auto val="1"/>
        <c:lblAlgn val="ctr"/>
        <c:lblOffset val="100"/>
        <c:noMultiLvlLbl val="0"/>
      </c:catAx>
      <c:valAx>
        <c:axId val="157597808"/>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791104"/>
        <c:crosses val="autoZero"/>
        <c:crossBetween val="between"/>
      </c:valAx>
      <c:spPr>
        <a:noFill/>
        <a:ln>
          <a:noFill/>
        </a:ln>
        <a:effectLst/>
      </c:spPr>
    </c:plotArea>
    <c:legend>
      <c:legendPos val="b"/>
      <c:layout>
        <c:manualLayout>
          <c:xMode val="edge"/>
          <c:yMode val="edge"/>
          <c:x val="0.30555146436825287"/>
          <c:y val="0.90605364280272382"/>
          <c:w val="0.45730525142368761"/>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Cost of collecting Council Tax per dwelling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25622311341353"/>
          <c:y val="0.17929036777398938"/>
          <c:w val="0.83839955556934032"/>
          <c:h val="0.62545074209705431"/>
        </c:manualLayout>
      </c:layout>
      <c:lineChart>
        <c:grouping val="standard"/>
        <c:varyColors val="0"/>
        <c:ser>
          <c:idx val="0"/>
          <c:order val="0"/>
          <c:tx>
            <c:strRef>
              <c:f>'F&amp;CS'!$B$272</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'F&amp;CS'!$A$273:$A$276</c:f>
              <c:strCache>
                <c:ptCount val="4"/>
                <c:pt idx="0">
                  <c:v>2015/16</c:v>
                </c:pt>
                <c:pt idx="1">
                  <c:v>2016/17</c:v>
                </c:pt>
                <c:pt idx="2">
                  <c:v>2017/18</c:v>
                </c:pt>
                <c:pt idx="3">
                  <c:v>2018/19</c:v>
                </c:pt>
              </c:strCache>
            </c:strRef>
          </c:cat>
          <c:val>
            <c:numRef>
              <c:f>'F&amp;CS'!$B$273:$B$276</c:f>
              <c:numCache>
                <c:formatCode>0.00</c:formatCode>
                <c:ptCount val="4"/>
                <c:pt idx="0">
                  <c:v>3.65</c:v>
                </c:pt>
                <c:pt idx="1">
                  <c:v>2.64</c:v>
                </c:pt>
                <c:pt idx="2">
                  <c:v>2.78</c:v>
                </c:pt>
              </c:numCache>
            </c:numRef>
          </c:val>
          <c:smooth val="0"/>
          <c:extLst>
            <c:ext xmlns:c16="http://schemas.microsoft.com/office/drawing/2014/chart" uri="{C3380CC4-5D6E-409C-BE32-E72D297353CC}">
              <c16:uniqueId val="{00000000-83F3-43E2-841B-12D968A0B511}"/>
            </c:ext>
          </c:extLst>
        </c:ser>
        <c:ser>
          <c:idx val="1"/>
          <c:order val="1"/>
          <c:tx>
            <c:strRef>
              <c:f>'F&amp;CS'!$C$272</c:f>
              <c:strCache>
                <c:ptCount val="1"/>
                <c:pt idx="0">
                  <c:v>Top Quartile</c:v>
                </c:pt>
              </c:strCache>
            </c:strRef>
          </c:tx>
          <c:spPr>
            <a:ln w="28575" cap="rnd">
              <a:solidFill>
                <a:schemeClr val="accent4"/>
              </a:solidFill>
              <a:prstDash val="dashDot"/>
              <a:round/>
            </a:ln>
            <a:effectLst/>
          </c:spPr>
          <c:marker>
            <c:symbol val="circle"/>
            <c:size val="5"/>
            <c:spPr>
              <a:solidFill>
                <a:schemeClr val="accent4"/>
              </a:solidFill>
              <a:ln w="9525">
                <a:solidFill>
                  <a:schemeClr val="accent4"/>
                </a:solidFill>
              </a:ln>
              <a:effectLst/>
            </c:spPr>
          </c:marker>
          <c:dLbls>
            <c:dLbl>
              <c:idx val="2"/>
              <c:layout>
                <c:manualLayout>
                  <c:x val="-8.6275870341087912E-3"/>
                  <c:y val="8.30908480395294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F3-43E2-841B-12D968A0B5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'F&amp;CS'!$A$273:$A$276</c:f>
              <c:strCache>
                <c:ptCount val="4"/>
                <c:pt idx="0">
                  <c:v>2015/16</c:v>
                </c:pt>
                <c:pt idx="1">
                  <c:v>2016/17</c:v>
                </c:pt>
                <c:pt idx="2">
                  <c:v>2017/18</c:v>
                </c:pt>
                <c:pt idx="3">
                  <c:v>2018/19</c:v>
                </c:pt>
              </c:strCache>
            </c:strRef>
          </c:cat>
          <c:val>
            <c:numRef>
              <c:f>'F&amp;CS'!$C$273:$C$276</c:f>
              <c:numCache>
                <c:formatCode>0.00</c:formatCode>
                <c:ptCount val="4"/>
                <c:pt idx="0">
                  <c:v>7.6</c:v>
                </c:pt>
                <c:pt idx="1">
                  <c:v>7.16</c:v>
                </c:pt>
                <c:pt idx="2">
                  <c:v>6.57</c:v>
                </c:pt>
              </c:numCache>
            </c:numRef>
          </c:val>
          <c:smooth val="0"/>
          <c:extLst>
            <c:ext xmlns:c16="http://schemas.microsoft.com/office/drawing/2014/chart" uri="{C3380CC4-5D6E-409C-BE32-E72D297353CC}">
              <c16:uniqueId val="{00000002-83F3-43E2-841B-12D968A0B511}"/>
            </c:ext>
          </c:extLst>
        </c:ser>
        <c:ser>
          <c:idx val="2"/>
          <c:order val="2"/>
          <c:tx>
            <c:strRef>
              <c:f>'F&amp;CS'!$D$272</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'F&amp;CS'!$A$273:$A$276</c:f>
              <c:strCache>
                <c:ptCount val="4"/>
                <c:pt idx="0">
                  <c:v>2015/16</c:v>
                </c:pt>
                <c:pt idx="1">
                  <c:v>2016/17</c:v>
                </c:pt>
                <c:pt idx="2">
                  <c:v>2017/18</c:v>
                </c:pt>
                <c:pt idx="3">
                  <c:v>2018/19</c:v>
                </c:pt>
              </c:strCache>
            </c:strRef>
          </c:cat>
          <c:val>
            <c:numRef>
              <c:f>'F&amp;CS'!$D$273:$D$276</c:f>
              <c:numCache>
                <c:formatCode>0.00</c:formatCode>
                <c:ptCount val="4"/>
                <c:pt idx="0">
                  <c:v>10.34</c:v>
                </c:pt>
                <c:pt idx="1">
                  <c:v>8.9700000000000006</c:v>
                </c:pt>
                <c:pt idx="2">
                  <c:v>7.35</c:v>
                </c:pt>
              </c:numCache>
            </c:numRef>
          </c:val>
          <c:smooth val="0"/>
          <c:extLst>
            <c:ext xmlns:c16="http://schemas.microsoft.com/office/drawing/2014/chart" uri="{C3380CC4-5D6E-409C-BE32-E72D297353CC}">
              <c16:uniqueId val="{00000003-83F3-43E2-841B-12D968A0B511}"/>
            </c:ext>
          </c:extLst>
        </c:ser>
        <c:dLbls>
          <c:dLblPos val="t"/>
          <c:showLegendKey val="0"/>
          <c:showVal val="1"/>
          <c:showCatName val="0"/>
          <c:showSerName val="0"/>
          <c:showPercent val="0"/>
          <c:showBubbleSize val="0"/>
        </c:dLbls>
        <c:marker val="1"/>
        <c:smooth val="0"/>
        <c:axId val="219435352"/>
        <c:axId val="219435744"/>
      </c:lineChart>
      <c:catAx>
        <c:axId val="2194353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35744"/>
        <c:crosses val="autoZero"/>
        <c:auto val="1"/>
        <c:lblAlgn val="ctr"/>
        <c:lblOffset val="100"/>
        <c:noMultiLvlLbl val="0"/>
      </c:catAx>
      <c:valAx>
        <c:axId val="219435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35352"/>
        <c:crosses val="autoZero"/>
        <c:crossBetween val="between"/>
      </c:valAx>
      <c:spPr>
        <a:noFill/>
        <a:ln>
          <a:noFill/>
        </a:ln>
        <a:effectLst/>
      </c:spPr>
    </c:plotArea>
    <c:legend>
      <c:legendPos val="b"/>
      <c:layout>
        <c:manualLayout>
          <c:xMode val="edge"/>
          <c:yMode val="edge"/>
          <c:x val="5.0000096066409885E-2"/>
          <c:y val="0.9004864902303048"/>
          <c:w val="0.89999980786718015"/>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Level</a:t>
            </a:r>
            <a:r>
              <a:rPr lang="en-GB" sz="1000" baseline="0"/>
              <a:t> of Slippage (Council) as % of Capital Budget</a:t>
            </a:r>
            <a:endParaRPr lang="en-GB"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2462092324697055"/>
          <c:w val="0.8388209386783646"/>
          <c:h val="0.58151978183688147"/>
        </c:manualLayout>
      </c:layout>
      <c:lineChart>
        <c:grouping val="standard"/>
        <c:varyColors val="0"/>
        <c:ser>
          <c:idx val="0"/>
          <c:order val="0"/>
          <c:tx>
            <c:strRef>
              <c:f>'F&amp;CS'!$B$318</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'F&amp;CS'!$A$319:$A$322</c:f>
              <c:strCache>
                <c:ptCount val="4"/>
                <c:pt idx="0">
                  <c:v>2015/16</c:v>
                </c:pt>
                <c:pt idx="1">
                  <c:v>2016/17</c:v>
                </c:pt>
                <c:pt idx="2">
                  <c:v>2017/18</c:v>
                </c:pt>
                <c:pt idx="3">
                  <c:v>2018/19</c:v>
                </c:pt>
              </c:strCache>
            </c:strRef>
          </c:cat>
          <c:val>
            <c:numRef>
              <c:f>'F&amp;CS'!$B$319:$B$322</c:f>
              <c:numCache>
                <c:formatCode>0.00</c:formatCode>
                <c:ptCount val="4"/>
                <c:pt idx="0">
                  <c:v>22.39</c:v>
                </c:pt>
                <c:pt idx="1">
                  <c:v>31</c:v>
                </c:pt>
                <c:pt idx="2">
                  <c:v>24.4</c:v>
                </c:pt>
                <c:pt idx="3">
                  <c:v>21.92</c:v>
                </c:pt>
              </c:numCache>
            </c:numRef>
          </c:val>
          <c:smooth val="0"/>
          <c:extLst>
            <c:ext xmlns:c16="http://schemas.microsoft.com/office/drawing/2014/chart" uri="{C3380CC4-5D6E-409C-BE32-E72D297353CC}">
              <c16:uniqueId val="{00000000-30E9-40C4-80FD-45DE267734D6}"/>
            </c:ext>
          </c:extLst>
        </c:ser>
        <c:dLbls>
          <c:dLblPos val="t"/>
          <c:showLegendKey val="0"/>
          <c:showVal val="1"/>
          <c:showCatName val="0"/>
          <c:showSerName val="0"/>
          <c:showPercent val="0"/>
          <c:showBubbleSize val="0"/>
        </c:dLbls>
        <c:marker val="1"/>
        <c:smooth val="0"/>
        <c:axId val="219436528"/>
        <c:axId val="219436920"/>
      </c:lineChart>
      <c:catAx>
        <c:axId val="2194365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36920"/>
        <c:crosses val="autoZero"/>
        <c:auto val="1"/>
        <c:lblAlgn val="ctr"/>
        <c:lblOffset val="100"/>
        <c:noMultiLvlLbl val="0"/>
      </c:catAx>
      <c:valAx>
        <c:axId val="219436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36528"/>
        <c:crosses val="autoZero"/>
        <c:crossBetween val="between"/>
      </c:valAx>
      <c:spPr>
        <a:noFill/>
        <a:ln>
          <a:noFill/>
        </a:ln>
        <a:effectLst/>
      </c:spPr>
    </c:plotArea>
    <c:legend>
      <c:legendPos val="b"/>
      <c:layout>
        <c:manualLayout>
          <c:xMode val="edge"/>
          <c:yMode val="edge"/>
          <c:x val="5.0000027375974518E-2"/>
          <c:y val="0.90644427206131761"/>
          <c:w val="0.89999994524805094"/>
          <c:h val="9.3555727938682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Final Outturn v Budget(%) overspend/(underspend)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93482492243017"/>
          <c:y val="0.2462092324697055"/>
          <c:w val="0.8388209386783646"/>
          <c:h val="0.58151978183688147"/>
        </c:manualLayout>
      </c:layout>
      <c:lineChart>
        <c:grouping val="standard"/>
        <c:varyColors val="0"/>
        <c:ser>
          <c:idx val="0"/>
          <c:order val="0"/>
          <c:tx>
            <c:strRef>
              <c:f>'F&amp;CS'!$B$334</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'F&amp;CS'!$A$335:$A$338</c:f>
              <c:strCache>
                <c:ptCount val="4"/>
                <c:pt idx="0">
                  <c:v>2015/16</c:v>
                </c:pt>
                <c:pt idx="1">
                  <c:v>2016/17</c:v>
                </c:pt>
                <c:pt idx="2">
                  <c:v>2017/18</c:v>
                </c:pt>
                <c:pt idx="3">
                  <c:v>2018/19</c:v>
                </c:pt>
              </c:strCache>
            </c:strRef>
          </c:cat>
          <c:val>
            <c:numRef>
              <c:f>'F&amp;CS'!$B$335:$B$338</c:f>
              <c:numCache>
                <c:formatCode>0.00</c:formatCode>
                <c:ptCount val="4"/>
                <c:pt idx="0">
                  <c:v>-1.96</c:v>
                </c:pt>
                <c:pt idx="1">
                  <c:v>-1.69</c:v>
                </c:pt>
                <c:pt idx="2">
                  <c:v>-0.93</c:v>
                </c:pt>
                <c:pt idx="3">
                  <c:v>0.22</c:v>
                </c:pt>
              </c:numCache>
            </c:numRef>
          </c:val>
          <c:smooth val="0"/>
          <c:extLst>
            <c:ext xmlns:c16="http://schemas.microsoft.com/office/drawing/2014/chart" uri="{C3380CC4-5D6E-409C-BE32-E72D297353CC}">
              <c16:uniqueId val="{00000000-DB18-4790-8562-6E8D80E90512}"/>
            </c:ext>
          </c:extLst>
        </c:ser>
        <c:dLbls>
          <c:dLblPos val="t"/>
          <c:showLegendKey val="0"/>
          <c:showVal val="1"/>
          <c:showCatName val="0"/>
          <c:showSerName val="0"/>
          <c:showPercent val="0"/>
          <c:showBubbleSize val="0"/>
        </c:dLbls>
        <c:marker val="1"/>
        <c:smooth val="0"/>
        <c:axId val="219437704"/>
        <c:axId val="219438096"/>
      </c:lineChart>
      <c:catAx>
        <c:axId val="2194377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38096"/>
        <c:crosses val="autoZero"/>
        <c:auto val="1"/>
        <c:lblAlgn val="ctr"/>
        <c:lblOffset val="100"/>
        <c:noMultiLvlLbl val="0"/>
      </c:catAx>
      <c:valAx>
        <c:axId val="219438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37704"/>
        <c:crosses val="autoZero"/>
        <c:crossBetween val="between"/>
      </c:valAx>
      <c:spPr>
        <a:noFill/>
        <a:ln>
          <a:noFill/>
        </a:ln>
        <a:effectLst/>
      </c:spPr>
    </c:plotArea>
    <c:legend>
      <c:legendPos val="b"/>
      <c:layout>
        <c:manualLayout>
          <c:xMode val="edge"/>
          <c:yMode val="edge"/>
          <c:x val="5.0000027375974518E-2"/>
          <c:y val="0.90644427206131761"/>
          <c:w val="0.89999994524805094"/>
          <c:h val="9.3555727938682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Compliments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'F&amp;CS'!$B$66:$B$68</c:f>
              <c:strCache>
                <c:ptCount val="3"/>
                <c:pt idx="0">
                  <c:v>Compliments</c:v>
                </c:pt>
                <c:pt idx="2">
                  <c:v>Value</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'F&amp;CS'!$A$70:$A$72</c:f>
              <c:strCache>
                <c:ptCount val="3"/>
                <c:pt idx="0">
                  <c:v>2016/17</c:v>
                </c:pt>
                <c:pt idx="1">
                  <c:v>2017/18</c:v>
                </c:pt>
                <c:pt idx="2">
                  <c:v>2018/19</c:v>
                </c:pt>
              </c:strCache>
            </c:strRef>
          </c:cat>
          <c:val>
            <c:numRef>
              <c:f>'F&amp;CS'!$B$70:$B$72</c:f>
              <c:numCache>
                <c:formatCode>0</c:formatCode>
                <c:ptCount val="3"/>
                <c:pt idx="0">
                  <c:v>25</c:v>
                </c:pt>
                <c:pt idx="1">
                  <c:v>25</c:v>
                </c:pt>
                <c:pt idx="2">
                  <c:v>19</c:v>
                </c:pt>
              </c:numCache>
            </c:numRef>
          </c:val>
          <c:smooth val="0"/>
          <c:extLst>
            <c:ext xmlns:c16="http://schemas.microsoft.com/office/drawing/2014/chart" uri="{C3380CC4-5D6E-409C-BE32-E72D297353CC}">
              <c16:uniqueId val="{00000000-EAB2-4F69-9A2F-642A1DFDB1B0}"/>
            </c:ext>
          </c:extLst>
        </c:ser>
        <c:dLbls>
          <c:dLblPos val="t"/>
          <c:showLegendKey val="0"/>
          <c:showVal val="1"/>
          <c:showCatName val="0"/>
          <c:showSerName val="0"/>
          <c:showPercent val="0"/>
          <c:showBubbleSize val="0"/>
        </c:dLbls>
        <c:marker val="1"/>
        <c:smooth val="0"/>
        <c:axId val="158021736"/>
        <c:axId val="159008776"/>
      </c:lineChart>
      <c:catAx>
        <c:axId val="1580217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08776"/>
        <c:crosses val="autoZero"/>
        <c:auto val="1"/>
        <c:lblAlgn val="ctr"/>
        <c:lblOffset val="100"/>
        <c:noMultiLvlLbl val="0"/>
      </c:catAx>
      <c:valAx>
        <c:axId val="159008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21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Average Working Days Lost per Full Time Equivalent </a:t>
            </a:r>
          </a:p>
          <a:p>
            <a:pPr>
              <a:defRPr sz="1000"/>
            </a:pPr>
            <a:r>
              <a:rPr lang="en-GB" sz="1000"/>
              <a:t>Finance and Corporate Services</a:t>
            </a:r>
          </a:p>
        </c:rich>
      </c:tx>
      <c:layout>
        <c:manualLayout>
          <c:xMode val="edge"/>
          <c:yMode val="edge"/>
          <c:x val="0.13279314733595493"/>
          <c:y val="1.113430514483802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36080045826422"/>
          <c:y val="0.24723724574112829"/>
          <c:w val="0.85429497822448963"/>
          <c:h val="0.56307101670233439"/>
        </c:manualLayout>
      </c:layout>
      <c:lineChart>
        <c:grouping val="standard"/>
        <c:varyColors val="0"/>
        <c:ser>
          <c:idx val="0"/>
          <c:order val="0"/>
          <c:tx>
            <c:strRef>
              <c:f>'F&amp;CS'!$B$82</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947843075793931E-2"/>
                  <c:y val="5.849674606507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70-45ED-BD9D-C969C4DCEE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'F&amp;CS'!$A$84:$A$86</c:f>
              <c:strCache>
                <c:ptCount val="3"/>
                <c:pt idx="0">
                  <c:v>2016/17</c:v>
                </c:pt>
                <c:pt idx="1">
                  <c:v>2017/18</c:v>
                </c:pt>
                <c:pt idx="2">
                  <c:v>2018/19</c:v>
                </c:pt>
              </c:strCache>
            </c:strRef>
          </c:cat>
          <c:val>
            <c:numRef>
              <c:f>'F&amp;CS'!$B$84:$B$86</c:f>
              <c:numCache>
                <c:formatCode>0.00</c:formatCode>
                <c:ptCount val="3"/>
                <c:pt idx="0">
                  <c:v>10.130000000000001</c:v>
                </c:pt>
                <c:pt idx="1">
                  <c:v>11.78</c:v>
                </c:pt>
                <c:pt idx="2">
                  <c:v>11.59</c:v>
                </c:pt>
              </c:numCache>
            </c:numRef>
          </c:val>
          <c:smooth val="0"/>
          <c:extLst>
            <c:ext xmlns:c16="http://schemas.microsoft.com/office/drawing/2014/chart" uri="{C3380CC4-5D6E-409C-BE32-E72D297353CC}">
              <c16:uniqueId val="{00000001-6770-45ED-BD9D-C969C4DCEEC9}"/>
            </c:ext>
          </c:extLst>
        </c:ser>
        <c:ser>
          <c:idx val="1"/>
          <c:order val="1"/>
          <c:tx>
            <c:strRef>
              <c:f>'F&amp;CS'!$C$82</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dLbl>
              <c:idx val="0"/>
              <c:layout>
                <c:manualLayout>
                  <c:x val="-7.2348711186768749E-2"/>
                  <c:y val="-4.736244092023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70-45ED-BD9D-C969C4DCEE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'F&amp;CS'!$A$84:$A$86</c:f>
              <c:strCache>
                <c:ptCount val="3"/>
                <c:pt idx="0">
                  <c:v>2016/17</c:v>
                </c:pt>
                <c:pt idx="1">
                  <c:v>2017/18</c:v>
                </c:pt>
                <c:pt idx="2">
                  <c:v>2018/19</c:v>
                </c:pt>
              </c:strCache>
            </c:strRef>
          </c:cat>
          <c:val>
            <c:numRef>
              <c:f>'F&amp;CS'!$C$84:$C$86</c:f>
              <c:numCache>
                <c:formatCode>0.00</c:formatCode>
                <c:ptCount val="3"/>
                <c:pt idx="0">
                  <c:v>10.34</c:v>
                </c:pt>
                <c:pt idx="1">
                  <c:v>11.7</c:v>
                </c:pt>
                <c:pt idx="2">
                  <c:v>11.17</c:v>
                </c:pt>
              </c:numCache>
            </c:numRef>
          </c:val>
          <c:smooth val="0"/>
          <c:extLst>
            <c:ext xmlns:c16="http://schemas.microsoft.com/office/drawing/2014/chart" uri="{C3380CC4-5D6E-409C-BE32-E72D297353CC}">
              <c16:uniqueId val="{00000003-6770-45ED-BD9D-C969C4DCEEC9}"/>
            </c:ext>
          </c:extLst>
        </c:ser>
        <c:dLbls>
          <c:dLblPos val="t"/>
          <c:showLegendKey val="0"/>
          <c:showVal val="1"/>
          <c:showCatName val="0"/>
          <c:showSerName val="0"/>
          <c:showPercent val="0"/>
          <c:showBubbleSize val="0"/>
        </c:dLbls>
        <c:marker val="1"/>
        <c:smooth val="0"/>
        <c:axId val="159009160"/>
        <c:axId val="159511728"/>
      </c:lineChart>
      <c:catAx>
        <c:axId val="159009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11728"/>
        <c:crosses val="autoZero"/>
        <c:auto val="1"/>
        <c:lblAlgn val="ctr"/>
        <c:lblOffset val="100"/>
        <c:noMultiLvlLbl val="0"/>
      </c:catAx>
      <c:valAx>
        <c:axId val="159511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09160"/>
        <c:crosses val="autoZero"/>
        <c:crossBetween val="between"/>
      </c:valAx>
      <c:spPr>
        <a:noFill/>
        <a:ln>
          <a:noFill/>
        </a:ln>
        <a:effectLst/>
      </c:spPr>
    </c:plotArea>
    <c:legend>
      <c:legendPos val="b"/>
      <c:layout>
        <c:manualLayout>
          <c:xMode val="edge"/>
          <c:yMode val="edge"/>
          <c:x val="0.27074945249008253"/>
          <c:y val="0.9004864902303048"/>
          <c:w val="0.45850082054437824"/>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Long Term Working Days Lost per Full Time Equivalent </a:t>
            </a:r>
          </a:p>
          <a:p>
            <a:pPr>
              <a:defRPr sz="1000"/>
            </a:pPr>
            <a:r>
              <a:rPr lang="en-GB" sz="1000"/>
              <a:t>Finance and Corporate Services</a:t>
            </a:r>
          </a:p>
        </c:rich>
      </c:tx>
      <c:layout>
        <c:manualLayout>
          <c:xMode val="edge"/>
          <c:yMode val="edge"/>
          <c:x val="0.13238203343892843"/>
          <c:y val="3.340291543451406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29703084625675"/>
          <c:y val="0.19156572001693814"/>
          <c:w val="0.83965714640533695"/>
          <c:h val="0.6187425424265246"/>
        </c:manualLayout>
      </c:layout>
      <c:lineChart>
        <c:grouping val="standard"/>
        <c:varyColors val="0"/>
        <c:ser>
          <c:idx val="0"/>
          <c:order val="0"/>
          <c:tx>
            <c:strRef>
              <c:f>'F&amp;CS'!$B$98</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'F&amp;CS'!$A$100:$A$102</c:f>
              <c:strCache>
                <c:ptCount val="3"/>
                <c:pt idx="0">
                  <c:v>2016/17</c:v>
                </c:pt>
                <c:pt idx="1">
                  <c:v>2017/18</c:v>
                </c:pt>
                <c:pt idx="2">
                  <c:v>2018/19</c:v>
                </c:pt>
              </c:strCache>
            </c:strRef>
          </c:cat>
          <c:val>
            <c:numRef>
              <c:f>'F&amp;CS'!$B$100:$B$102</c:f>
              <c:numCache>
                <c:formatCode>0.00</c:formatCode>
                <c:ptCount val="3"/>
                <c:pt idx="0">
                  <c:v>6.88</c:v>
                </c:pt>
                <c:pt idx="1">
                  <c:v>7.79</c:v>
                </c:pt>
                <c:pt idx="2">
                  <c:v>7.76</c:v>
                </c:pt>
              </c:numCache>
            </c:numRef>
          </c:val>
          <c:smooth val="0"/>
          <c:extLst>
            <c:ext xmlns:c16="http://schemas.microsoft.com/office/drawing/2014/chart" uri="{C3380CC4-5D6E-409C-BE32-E72D297353CC}">
              <c16:uniqueId val="{00000000-3249-49D0-8114-7B0A77F2C4BB}"/>
            </c:ext>
          </c:extLst>
        </c:ser>
        <c:ser>
          <c:idx val="1"/>
          <c:order val="1"/>
          <c:tx>
            <c:strRef>
              <c:f>'F&amp;CS'!$C$98</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'F&amp;CS'!$A$100:$A$102</c:f>
              <c:strCache>
                <c:ptCount val="3"/>
                <c:pt idx="0">
                  <c:v>2016/17</c:v>
                </c:pt>
                <c:pt idx="1">
                  <c:v>2017/18</c:v>
                </c:pt>
                <c:pt idx="2">
                  <c:v>2018/19</c:v>
                </c:pt>
              </c:strCache>
            </c:strRef>
          </c:cat>
          <c:val>
            <c:numRef>
              <c:f>'F&amp;CS'!$C$100:$C$102</c:f>
              <c:numCache>
                <c:formatCode>0.00</c:formatCode>
                <c:ptCount val="3"/>
                <c:pt idx="0">
                  <c:v>6.37</c:v>
                </c:pt>
                <c:pt idx="1">
                  <c:v>7.22</c:v>
                </c:pt>
                <c:pt idx="2">
                  <c:v>7.1</c:v>
                </c:pt>
              </c:numCache>
            </c:numRef>
          </c:val>
          <c:smooth val="0"/>
          <c:extLst>
            <c:ext xmlns:c16="http://schemas.microsoft.com/office/drawing/2014/chart" uri="{C3380CC4-5D6E-409C-BE32-E72D297353CC}">
              <c16:uniqueId val="{00000001-3249-49D0-8114-7B0A77F2C4BB}"/>
            </c:ext>
          </c:extLst>
        </c:ser>
        <c:dLbls>
          <c:dLblPos val="t"/>
          <c:showLegendKey val="0"/>
          <c:showVal val="1"/>
          <c:showCatName val="0"/>
          <c:showSerName val="0"/>
          <c:showPercent val="0"/>
          <c:showBubbleSize val="0"/>
        </c:dLbls>
        <c:marker val="1"/>
        <c:smooth val="0"/>
        <c:axId val="156974528"/>
        <c:axId val="156976096"/>
      </c:lineChart>
      <c:catAx>
        <c:axId val="1569745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76096"/>
        <c:crosses val="autoZero"/>
        <c:auto val="1"/>
        <c:lblAlgn val="ctr"/>
        <c:lblOffset val="100"/>
        <c:noMultiLvlLbl val="0"/>
      </c:catAx>
      <c:valAx>
        <c:axId val="156976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74528"/>
        <c:crosses val="autoZero"/>
        <c:crossBetween val="between"/>
      </c:valAx>
      <c:spPr>
        <a:noFill/>
        <a:ln>
          <a:noFill/>
        </a:ln>
        <a:effectLst/>
      </c:spPr>
    </c:plotArea>
    <c:legend>
      <c:legendPos val="b"/>
      <c:layout>
        <c:manualLayout>
          <c:xMode val="edge"/>
          <c:yMode val="edge"/>
          <c:x val="0.30712075095972424"/>
          <c:y val="0.90605364280272382"/>
          <c:w val="0.45493272125947204"/>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 Absence Rate</a:t>
            </a:r>
          </a:p>
          <a:p>
            <a:pPr>
              <a:defRPr sz="1000"/>
            </a:pPr>
            <a:r>
              <a:rPr lang="en-GB" sz="1000" b="0" i="0" u="none" strike="noStrike" baseline="0">
                <a:effectLst/>
              </a:rPr>
              <a:t>Finance and Corporate Services</a:t>
            </a:r>
            <a:endParaRPr lang="en-GB" sz="1000"/>
          </a:p>
        </c:rich>
      </c:tx>
      <c:layout>
        <c:manualLayout>
          <c:xMode val="edge"/>
          <c:yMode val="edge"/>
          <c:x val="0.26731933965173416"/>
          <c:y val="1.66320130017815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345983840792747E-2"/>
          <c:y val="0.2074012021322153"/>
          <c:w val="0.87035984731673555"/>
          <c:h val="0.6092398035065173"/>
        </c:manualLayout>
      </c:layout>
      <c:lineChart>
        <c:grouping val="standard"/>
        <c:varyColors val="0"/>
        <c:ser>
          <c:idx val="0"/>
          <c:order val="0"/>
          <c:tx>
            <c:strRef>
              <c:f>'F&amp;CS'!$B$114</c:f>
              <c:strCache>
                <c:ptCount val="1"/>
                <c:pt idx="0">
                  <c:v>Fife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'F&amp;CS'!$A$115:$A$117</c:f>
              <c:strCache>
                <c:ptCount val="3"/>
                <c:pt idx="0">
                  <c:v>2016/17</c:v>
                </c:pt>
                <c:pt idx="1">
                  <c:v>2017/18</c:v>
                </c:pt>
                <c:pt idx="2">
                  <c:v>2018/19</c:v>
                </c:pt>
              </c:strCache>
            </c:strRef>
          </c:cat>
          <c:val>
            <c:numRef>
              <c:f>'F&amp;CS'!$B$115:$B$117</c:f>
              <c:numCache>
                <c:formatCode>0.00</c:formatCode>
                <c:ptCount val="3"/>
                <c:pt idx="0">
                  <c:v>4.67</c:v>
                </c:pt>
                <c:pt idx="1">
                  <c:v>5.43</c:v>
                </c:pt>
                <c:pt idx="2">
                  <c:v>5.3</c:v>
                </c:pt>
              </c:numCache>
            </c:numRef>
          </c:val>
          <c:smooth val="0"/>
          <c:extLst>
            <c:ext xmlns:c16="http://schemas.microsoft.com/office/drawing/2014/chart" uri="{C3380CC4-5D6E-409C-BE32-E72D297353CC}">
              <c16:uniqueId val="{00000000-22E0-4EB5-97B8-DD6ADB3DF25F}"/>
            </c:ext>
          </c:extLst>
        </c:ser>
        <c:ser>
          <c:idx val="1"/>
          <c:order val="1"/>
          <c:tx>
            <c:strRef>
              <c:f>'F&amp;CS'!$C$114</c:f>
              <c:strCache>
                <c:ptCount val="1"/>
                <c:pt idx="0">
                  <c:v>F&amp;CS</c:v>
                </c:pt>
              </c:strCache>
            </c:strRef>
          </c:tx>
          <c:spPr>
            <a:ln w="28575" cap="rnd">
              <a:solidFill>
                <a:srgbClr val="00B050"/>
              </a:solidFill>
              <a:prstDash val="lgDash"/>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'F&amp;CS'!$A$115:$A$117</c:f>
              <c:strCache>
                <c:ptCount val="3"/>
                <c:pt idx="0">
                  <c:v>2016/17</c:v>
                </c:pt>
                <c:pt idx="1">
                  <c:v>2017/18</c:v>
                </c:pt>
                <c:pt idx="2">
                  <c:v>2018/19</c:v>
                </c:pt>
              </c:strCache>
            </c:strRef>
          </c:cat>
          <c:val>
            <c:numRef>
              <c:f>'F&amp;CS'!$C$115:$C$117</c:f>
              <c:numCache>
                <c:formatCode>0.00</c:formatCode>
                <c:ptCount val="3"/>
                <c:pt idx="0">
                  <c:v>4.5999999999999996</c:v>
                </c:pt>
                <c:pt idx="1">
                  <c:v>5.14</c:v>
                </c:pt>
                <c:pt idx="2">
                  <c:v>4.87</c:v>
                </c:pt>
              </c:numCache>
            </c:numRef>
          </c:val>
          <c:smooth val="0"/>
          <c:extLst>
            <c:ext xmlns:c16="http://schemas.microsoft.com/office/drawing/2014/chart" uri="{C3380CC4-5D6E-409C-BE32-E72D297353CC}">
              <c16:uniqueId val="{00000001-22E0-4EB5-97B8-DD6ADB3DF25F}"/>
            </c:ext>
          </c:extLst>
        </c:ser>
        <c:dLbls>
          <c:dLblPos val="t"/>
          <c:showLegendKey val="0"/>
          <c:showVal val="1"/>
          <c:showCatName val="0"/>
          <c:showSerName val="0"/>
          <c:showPercent val="0"/>
          <c:showBubbleSize val="0"/>
        </c:dLbls>
        <c:marker val="1"/>
        <c:smooth val="0"/>
        <c:axId val="156977272"/>
        <c:axId val="156977664"/>
      </c:lineChart>
      <c:catAx>
        <c:axId val="1569772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77664"/>
        <c:crosses val="autoZero"/>
        <c:auto val="1"/>
        <c:lblAlgn val="ctr"/>
        <c:lblOffset val="100"/>
        <c:noMultiLvlLbl val="0"/>
      </c:catAx>
      <c:valAx>
        <c:axId val="156977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77272"/>
        <c:crosses val="autoZero"/>
        <c:crossBetween val="between"/>
      </c:valAx>
      <c:spPr>
        <a:noFill/>
        <a:ln>
          <a:noFill/>
        </a:ln>
        <a:effectLst/>
      </c:spPr>
    </c:plotArea>
    <c:legend>
      <c:legendPos val="b"/>
      <c:layout>
        <c:manualLayout>
          <c:xMode val="edge"/>
          <c:yMode val="edge"/>
          <c:x val="0.27104870376842577"/>
          <c:y val="0.90644427206131761"/>
          <c:w val="0.45790231834597706"/>
          <c:h val="9.35557279386824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Percentage of the Fife Council workforce aged 24 and under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'F&amp;CS'!$B$143:$B$145</c:f>
              <c:strCache>
                <c:ptCount val="3"/>
                <c:pt idx="0">
                  <c:v>% of the Fife Council workforce aged 24 and under</c:v>
                </c:pt>
                <c:pt idx="2">
                  <c:v>Value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'F&amp;CS'!$A$146:$A$149</c:f>
              <c:strCache>
                <c:ptCount val="4"/>
                <c:pt idx="0">
                  <c:v>2015/16</c:v>
                </c:pt>
                <c:pt idx="1">
                  <c:v>2016/17</c:v>
                </c:pt>
                <c:pt idx="2">
                  <c:v>2017/18</c:v>
                </c:pt>
                <c:pt idx="3">
                  <c:v>2018/19</c:v>
                </c:pt>
              </c:strCache>
            </c:strRef>
          </c:cat>
          <c:val>
            <c:numRef>
              <c:f>'F&amp;CS'!$B$146:$B$149</c:f>
              <c:numCache>
                <c:formatCode>0.00</c:formatCode>
                <c:ptCount val="4"/>
                <c:pt idx="0">
                  <c:v>4.2</c:v>
                </c:pt>
                <c:pt idx="1">
                  <c:v>4.3</c:v>
                </c:pt>
                <c:pt idx="2">
                  <c:v>4.7</c:v>
                </c:pt>
                <c:pt idx="3">
                  <c:v>4.9000000000000004</c:v>
                </c:pt>
              </c:numCache>
            </c:numRef>
          </c:val>
          <c:smooth val="0"/>
          <c:extLst>
            <c:ext xmlns:c16="http://schemas.microsoft.com/office/drawing/2014/chart" uri="{C3380CC4-5D6E-409C-BE32-E72D297353CC}">
              <c16:uniqueId val="{00000000-55E1-4B9C-A749-7FE8D63A2197}"/>
            </c:ext>
          </c:extLst>
        </c:ser>
        <c:dLbls>
          <c:dLblPos val="t"/>
          <c:showLegendKey val="0"/>
          <c:showVal val="1"/>
          <c:showCatName val="0"/>
          <c:showSerName val="0"/>
          <c:showPercent val="0"/>
          <c:showBubbleSize val="0"/>
        </c:dLbls>
        <c:marker val="1"/>
        <c:smooth val="0"/>
        <c:axId val="156206280"/>
        <c:axId val="156205888"/>
      </c:lineChart>
      <c:catAx>
        <c:axId val="1562062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205888"/>
        <c:crosses val="autoZero"/>
        <c:auto val="1"/>
        <c:lblAlgn val="ctr"/>
        <c:lblOffset val="100"/>
        <c:noMultiLvlLbl val="0"/>
      </c:catAx>
      <c:valAx>
        <c:axId val="156205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206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1F4E79"/>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The percentage of the highest paid 5% </a:t>
            </a:r>
          </a:p>
          <a:p>
            <a:pPr>
              <a:defRPr sz="1000"/>
            </a:pPr>
            <a:r>
              <a:rPr lang="en-GB" sz="1000"/>
              <a:t>employees who are women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08085056057783"/>
          <c:y val="0.19631319346436096"/>
          <c:w val="0.85467491304021692"/>
          <c:h val="0.62032781217437161"/>
        </c:manualLayout>
      </c:layout>
      <c:lineChart>
        <c:grouping val="standard"/>
        <c:varyColors val="0"/>
        <c:ser>
          <c:idx val="0"/>
          <c:order val="0"/>
          <c:tx>
            <c:strRef>
              <c:f>'F&amp;CS'!$B$240</c:f>
              <c:strCache>
                <c:ptCount val="1"/>
                <c:pt idx="0">
                  <c:v>Fife</c:v>
                </c:pt>
              </c:strCache>
            </c:strRef>
          </c:tx>
          <c:spPr>
            <a:ln w="28575" cap="rnd">
              <a:solidFill>
                <a:schemeClr val="accent1"/>
              </a:solidFill>
              <a:prstDash val="solid"/>
              <a:round/>
            </a:ln>
            <a:effectLst/>
          </c:spPr>
          <c:marker>
            <c:symbol val="circle"/>
            <c:size val="5"/>
            <c:spPr>
              <a:solidFill>
                <a:schemeClr val="accent1"/>
              </a:solidFill>
              <a:ln w="9525">
                <a:solidFill>
                  <a:schemeClr val="accent1"/>
                </a:solidFill>
              </a:ln>
              <a:effectLst/>
            </c:spPr>
          </c:marker>
          <c:dLbls>
            <c:dLbl>
              <c:idx val="2"/>
              <c:layout>
                <c:manualLayout>
                  <c:x val="-9.5785797234915794E-3"/>
                  <c:y val="-5.8253516404796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62-4DF1-A226-8CB7E6E843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'F&amp;CS'!$A$241:$A$244</c:f>
              <c:strCache>
                <c:ptCount val="4"/>
                <c:pt idx="0">
                  <c:v>2015/16</c:v>
                </c:pt>
                <c:pt idx="1">
                  <c:v>2016/17</c:v>
                </c:pt>
                <c:pt idx="2">
                  <c:v>2017/18</c:v>
                </c:pt>
                <c:pt idx="3">
                  <c:v>2018/19</c:v>
                </c:pt>
              </c:strCache>
            </c:strRef>
          </c:cat>
          <c:val>
            <c:numRef>
              <c:f>'F&amp;CS'!$B$241:$B$244</c:f>
              <c:numCache>
                <c:formatCode>0.00</c:formatCode>
                <c:ptCount val="4"/>
                <c:pt idx="0">
                  <c:v>50.54</c:v>
                </c:pt>
                <c:pt idx="1">
                  <c:v>51.34</c:v>
                </c:pt>
                <c:pt idx="2">
                  <c:v>54.93</c:v>
                </c:pt>
                <c:pt idx="3">
                  <c:v>57</c:v>
                </c:pt>
              </c:numCache>
            </c:numRef>
          </c:val>
          <c:smooth val="0"/>
          <c:extLst>
            <c:ext xmlns:c16="http://schemas.microsoft.com/office/drawing/2014/chart" uri="{C3380CC4-5D6E-409C-BE32-E72D297353CC}">
              <c16:uniqueId val="{00000001-9062-4DF1-A226-8CB7E6E84320}"/>
            </c:ext>
          </c:extLst>
        </c:ser>
        <c:ser>
          <c:idx val="1"/>
          <c:order val="1"/>
          <c:tx>
            <c:strRef>
              <c:f>'F&amp;CS'!$C$240</c:f>
              <c:strCache>
                <c:ptCount val="1"/>
                <c:pt idx="0">
                  <c:v>Top Quartile</c:v>
                </c:pt>
              </c:strCache>
            </c:strRef>
          </c:tx>
          <c:spPr>
            <a:ln w="28575" cap="rnd">
              <a:solidFill>
                <a:srgbClr val="FFC000"/>
              </a:solidFill>
              <a:prstDash val="dashDot"/>
              <a:round/>
            </a:ln>
            <a:effectLst/>
          </c:spPr>
          <c:marker>
            <c:symbol val="circle"/>
            <c:size val="5"/>
            <c:spPr>
              <a:solidFill>
                <a:srgbClr val="FFC000"/>
              </a:solidFill>
              <a:ln w="9525">
                <a:solidFill>
                  <a:srgbClr val="FFC000"/>
                </a:solidFill>
              </a:ln>
              <a:effectLst/>
            </c:spPr>
          </c:marker>
          <c:dLbls>
            <c:dLbl>
              <c:idx val="0"/>
              <c:layout>
                <c:manualLayout>
                  <c:x val="-0.11735779139397914"/>
                  <c:y val="-1.3818539936257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62-4DF1-A226-8CB7E6E84320}"/>
                </c:ext>
              </c:extLst>
            </c:dLbl>
            <c:dLbl>
              <c:idx val="1"/>
              <c:layout>
                <c:manualLayout>
                  <c:x val="-6.5206559940517481E-2"/>
                  <c:y val="-3.5994557271965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62-4DF1-A226-8CB7E6E84320}"/>
                </c:ext>
              </c:extLst>
            </c:dLbl>
            <c:dLbl>
              <c:idx val="2"/>
              <c:layout>
                <c:manualLayout>
                  <c:x val="-7.2160057467645575E-2"/>
                  <c:y val="-8.589059627731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62-4DF1-A226-8CB7E6E843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'F&amp;CS'!$A$241:$A$244</c:f>
              <c:strCache>
                <c:ptCount val="4"/>
                <c:pt idx="0">
                  <c:v>2015/16</c:v>
                </c:pt>
                <c:pt idx="1">
                  <c:v>2016/17</c:v>
                </c:pt>
                <c:pt idx="2">
                  <c:v>2017/18</c:v>
                </c:pt>
                <c:pt idx="3">
                  <c:v>2018/19</c:v>
                </c:pt>
              </c:strCache>
            </c:strRef>
          </c:cat>
          <c:val>
            <c:numRef>
              <c:f>'F&amp;CS'!$C$241:$C$244</c:f>
              <c:numCache>
                <c:formatCode>0.00</c:formatCode>
                <c:ptCount val="4"/>
                <c:pt idx="0">
                  <c:v>53.64</c:v>
                </c:pt>
                <c:pt idx="1">
                  <c:v>55.49</c:v>
                </c:pt>
                <c:pt idx="2">
                  <c:v>56.03</c:v>
                </c:pt>
              </c:numCache>
            </c:numRef>
          </c:val>
          <c:smooth val="0"/>
          <c:extLst>
            <c:ext xmlns:c16="http://schemas.microsoft.com/office/drawing/2014/chart" uri="{C3380CC4-5D6E-409C-BE32-E72D297353CC}">
              <c16:uniqueId val="{00000005-9062-4DF1-A226-8CB7E6E84320}"/>
            </c:ext>
          </c:extLst>
        </c:ser>
        <c:ser>
          <c:idx val="2"/>
          <c:order val="2"/>
          <c:tx>
            <c:strRef>
              <c:f>'F&amp;CS'!$D$240</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dLbl>
              <c:idx val="0"/>
              <c:layout>
                <c:manualLayout>
                  <c:x val="-0.11735779139397914"/>
                  <c:y val="-8.274535602329827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62-4DF1-A226-8CB7E6E84320}"/>
                </c:ext>
              </c:extLst>
            </c:dLbl>
            <c:dLbl>
              <c:idx val="1"/>
              <c:layout>
                <c:manualLayout>
                  <c:x val="-6.5206559940517481E-2"/>
                  <c:y val="-4.1538561605892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62-4DF1-A226-8CB7E6E84320}"/>
                </c:ext>
              </c:extLst>
            </c:dLbl>
            <c:dLbl>
              <c:idx val="2"/>
              <c:layout>
                <c:manualLayout>
                  <c:x val="-6.8683308704081597E-2"/>
                  <c:y val="5.2709512070868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62-4DF1-A226-8CB7E6E843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'F&amp;CS'!$A$241:$A$244</c:f>
              <c:strCache>
                <c:ptCount val="4"/>
                <c:pt idx="0">
                  <c:v>2015/16</c:v>
                </c:pt>
                <c:pt idx="1">
                  <c:v>2016/17</c:v>
                </c:pt>
                <c:pt idx="2">
                  <c:v>2017/18</c:v>
                </c:pt>
                <c:pt idx="3">
                  <c:v>2018/19</c:v>
                </c:pt>
              </c:strCache>
            </c:strRef>
          </c:cat>
          <c:val>
            <c:numRef>
              <c:f>'F&amp;CS'!$D$241:$D$244</c:f>
              <c:numCache>
                <c:formatCode>0.00</c:formatCode>
                <c:ptCount val="4"/>
                <c:pt idx="0">
                  <c:v>51.89</c:v>
                </c:pt>
                <c:pt idx="1">
                  <c:v>52.9</c:v>
                </c:pt>
                <c:pt idx="2">
                  <c:v>54.6</c:v>
                </c:pt>
              </c:numCache>
            </c:numRef>
          </c:val>
          <c:smooth val="0"/>
          <c:extLst>
            <c:ext xmlns:c16="http://schemas.microsoft.com/office/drawing/2014/chart" uri="{C3380CC4-5D6E-409C-BE32-E72D297353CC}">
              <c16:uniqueId val="{00000009-9062-4DF1-A226-8CB7E6E84320}"/>
            </c:ext>
          </c:extLst>
        </c:ser>
        <c:dLbls>
          <c:dLblPos val="t"/>
          <c:showLegendKey val="0"/>
          <c:showVal val="1"/>
          <c:showCatName val="0"/>
          <c:showSerName val="0"/>
          <c:showPercent val="0"/>
          <c:showBubbleSize val="0"/>
        </c:dLbls>
        <c:marker val="1"/>
        <c:smooth val="0"/>
        <c:axId val="156976880"/>
        <c:axId val="214581384"/>
      </c:lineChart>
      <c:catAx>
        <c:axId val="1569768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1384"/>
        <c:crosses val="autoZero"/>
        <c:auto val="1"/>
        <c:lblAlgn val="ctr"/>
        <c:lblOffset val="100"/>
        <c:noMultiLvlLbl val="0"/>
      </c:catAx>
      <c:valAx>
        <c:axId val="214581384"/>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976880"/>
        <c:crosses val="autoZero"/>
        <c:crossBetween val="between"/>
        <c:majorUnit val="5"/>
        <c:minorUnit val="0.5"/>
      </c:valAx>
      <c:spPr>
        <a:noFill/>
        <a:ln>
          <a:noFill/>
        </a:ln>
        <a:effectLst/>
      </c:spPr>
    </c:plotArea>
    <c:legend>
      <c:legendPos val="b"/>
      <c:layout>
        <c:manualLayout>
          <c:xMode val="edge"/>
          <c:yMode val="edge"/>
          <c:x val="5.0000027375974518E-2"/>
          <c:y val="0.89535626339346319"/>
          <c:w val="0.89999994524805094"/>
          <c:h val="9.35557279386824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The gender pay gap</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94143700787402"/>
          <c:y val="0.17929036777398938"/>
          <c:w val="0.85486411854768152"/>
          <c:h val="0.62545074209705431"/>
        </c:manualLayout>
      </c:layout>
      <c:lineChart>
        <c:grouping val="standard"/>
        <c:varyColors val="0"/>
        <c:ser>
          <c:idx val="0"/>
          <c:order val="0"/>
          <c:tx>
            <c:strRef>
              <c:f>'F&amp;CS'!$B$256</c:f>
              <c:strCache>
                <c:ptCount val="1"/>
                <c:pt idx="0">
                  <c:v>Fife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9288331146106736E-2"/>
                  <c:y val="5.2846305383304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E8-4E46-90CA-EF5B4E95D489}"/>
                </c:ext>
              </c:extLst>
            </c:dLbl>
            <c:dLbl>
              <c:idx val="1"/>
              <c:layout>
                <c:manualLayout>
                  <c:x val="-4.9288331146106798E-2"/>
                  <c:y val="-3.0660983202980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E8-4E46-90CA-EF5B4E95D4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'F&amp;CS'!$A$257:$A$260</c:f>
              <c:strCache>
                <c:ptCount val="4"/>
                <c:pt idx="0">
                  <c:v>2015/16</c:v>
                </c:pt>
                <c:pt idx="1">
                  <c:v>2016/17</c:v>
                </c:pt>
                <c:pt idx="2">
                  <c:v>2017/18</c:v>
                </c:pt>
                <c:pt idx="3">
                  <c:v>2018/19</c:v>
                </c:pt>
              </c:strCache>
            </c:strRef>
          </c:cat>
          <c:val>
            <c:numRef>
              <c:f>'F&amp;CS'!$B$257:$B$260</c:f>
              <c:numCache>
                <c:formatCode>0.00</c:formatCode>
                <c:ptCount val="4"/>
                <c:pt idx="0">
                  <c:v>1.36</c:v>
                </c:pt>
                <c:pt idx="1">
                  <c:v>2.87</c:v>
                </c:pt>
                <c:pt idx="2">
                  <c:v>1.63</c:v>
                </c:pt>
                <c:pt idx="3">
                  <c:v>1.9</c:v>
                </c:pt>
              </c:numCache>
            </c:numRef>
          </c:val>
          <c:smooth val="0"/>
          <c:extLst>
            <c:ext xmlns:c16="http://schemas.microsoft.com/office/drawing/2014/chart" uri="{C3380CC4-5D6E-409C-BE32-E72D297353CC}">
              <c16:uniqueId val="{00000002-13E8-4E46-90CA-EF5B4E95D489}"/>
            </c:ext>
          </c:extLst>
        </c:ser>
        <c:ser>
          <c:idx val="1"/>
          <c:order val="1"/>
          <c:tx>
            <c:strRef>
              <c:f>'F&amp;CS'!$C$256</c:f>
              <c:strCache>
                <c:ptCount val="1"/>
                <c:pt idx="0">
                  <c:v>Top Quartile</c:v>
                </c:pt>
              </c:strCache>
            </c:strRef>
          </c:tx>
          <c:spPr>
            <a:ln w="28575" cap="rnd">
              <a:solidFill>
                <a:srgbClr val="FFC000"/>
              </a:solidFill>
              <a:prstDash val="dashDot"/>
              <a:round/>
            </a:ln>
            <a:effectLst/>
          </c:spPr>
          <c:marker>
            <c:symbol val="circle"/>
            <c:size val="5"/>
            <c:spPr>
              <a:solidFill>
                <a:srgbClr val="FFC000"/>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'F&amp;CS'!$A$257:$A$260</c:f>
              <c:strCache>
                <c:ptCount val="4"/>
                <c:pt idx="0">
                  <c:v>2015/16</c:v>
                </c:pt>
                <c:pt idx="1">
                  <c:v>2016/17</c:v>
                </c:pt>
                <c:pt idx="2">
                  <c:v>2017/18</c:v>
                </c:pt>
                <c:pt idx="3">
                  <c:v>2018/19</c:v>
                </c:pt>
              </c:strCache>
            </c:strRef>
          </c:cat>
          <c:val>
            <c:numRef>
              <c:f>'F&amp;CS'!$C$257:$C$260</c:f>
              <c:numCache>
                <c:formatCode>0.00</c:formatCode>
                <c:ptCount val="4"/>
                <c:pt idx="0">
                  <c:v>1.36</c:v>
                </c:pt>
                <c:pt idx="1">
                  <c:v>1.6</c:v>
                </c:pt>
                <c:pt idx="2">
                  <c:v>1.58</c:v>
                </c:pt>
              </c:numCache>
            </c:numRef>
          </c:val>
          <c:smooth val="0"/>
          <c:extLst>
            <c:ext xmlns:c16="http://schemas.microsoft.com/office/drawing/2014/chart" uri="{C3380CC4-5D6E-409C-BE32-E72D297353CC}">
              <c16:uniqueId val="{00000003-13E8-4E46-90CA-EF5B4E95D489}"/>
            </c:ext>
          </c:extLst>
        </c:ser>
        <c:ser>
          <c:idx val="2"/>
          <c:order val="2"/>
          <c:tx>
            <c:strRef>
              <c:f>'F&amp;CS'!$D$256</c:f>
              <c:strCache>
                <c:ptCount val="1"/>
                <c:pt idx="0">
                  <c:v>Scotland</c:v>
                </c:pt>
              </c:strCache>
            </c:strRef>
          </c:tx>
          <c:spPr>
            <a:ln w="28575" cap="rnd">
              <a:solidFill>
                <a:schemeClr val="accent3"/>
              </a:solidFill>
              <a:prstDash val="sysDot"/>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'F&amp;CS'!$A$257:$A$260</c:f>
              <c:strCache>
                <c:ptCount val="4"/>
                <c:pt idx="0">
                  <c:v>2015/16</c:v>
                </c:pt>
                <c:pt idx="1">
                  <c:v>2016/17</c:v>
                </c:pt>
                <c:pt idx="2">
                  <c:v>2017/18</c:v>
                </c:pt>
                <c:pt idx="3">
                  <c:v>2018/19</c:v>
                </c:pt>
              </c:strCache>
            </c:strRef>
          </c:cat>
          <c:val>
            <c:numRef>
              <c:f>'F&amp;CS'!$D$257:$D$260</c:f>
              <c:numCache>
                <c:formatCode>0.00</c:formatCode>
                <c:ptCount val="4"/>
                <c:pt idx="0">
                  <c:v>4.5</c:v>
                </c:pt>
                <c:pt idx="1">
                  <c:v>4.21</c:v>
                </c:pt>
                <c:pt idx="2">
                  <c:v>3.93</c:v>
                </c:pt>
              </c:numCache>
            </c:numRef>
          </c:val>
          <c:smooth val="0"/>
          <c:extLst>
            <c:ext xmlns:c16="http://schemas.microsoft.com/office/drawing/2014/chart" uri="{C3380CC4-5D6E-409C-BE32-E72D297353CC}">
              <c16:uniqueId val="{00000004-13E8-4E46-90CA-EF5B4E95D489}"/>
            </c:ext>
          </c:extLst>
        </c:ser>
        <c:dLbls>
          <c:dLblPos val="t"/>
          <c:showLegendKey val="0"/>
          <c:showVal val="1"/>
          <c:showCatName val="0"/>
          <c:showSerName val="0"/>
          <c:showPercent val="0"/>
          <c:showBubbleSize val="0"/>
        </c:dLbls>
        <c:marker val="1"/>
        <c:smooth val="0"/>
        <c:axId val="214582168"/>
        <c:axId val="214582560"/>
      </c:lineChart>
      <c:catAx>
        <c:axId val="2145821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2560"/>
        <c:crosses val="autoZero"/>
        <c:auto val="1"/>
        <c:lblAlgn val="ctr"/>
        <c:lblOffset val="100"/>
        <c:noMultiLvlLbl val="0"/>
      </c:catAx>
      <c:valAx>
        <c:axId val="214582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82168"/>
        <c:crosses val="autoZero"/>
        <c:crossBetween val="between"/>
      </c:valAx>
      <c:spPr>
        <a:noFill/>
        <a:ln>
          <a:noFill/>
        </a:ln>
        <a:effectLst/>
      </c:spPr>
    </c:plotArea>
    <c:legend>
      <c:legendPos val="b"/>
      <c:layout>
        <c:manualLayout>
          <c:xMode val="edge"/>
          <c:yMode val="edge"/>
          <c:x val="0.05"/>
          <c:y val="0.88935218508546687"/>
          <c:w val="0.89999999999999991"/>
          <c:h val="9.3946357197276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F83E10020D843946BC4606BA634DF8F7" ma:contentTypeVersion="12" ma:contentTypeDescription="" ma:contentTypeScope="" ma:versionID="d70da416a977ab5a8ee043f5d5e741dd">
  <xsd:schema xmlns:xsd="http://www.w3.org/2001/XMLSchema" xmlns:xs="http://www.w3.org/2001/XMLSchema" xmlns:p="http://schemas.microsoft.com/office/2006/metadata/properties" xmlns:ns2="264c5323-e590-4694-88b8-b70f18bb79bc" xmlns:ns3="75422c5c-010d-470d-a7c5-1822c7ba693e" targetNamespace="http://schemas.microsoft.com/office/2006/metadata/properties" ma:root="true" ma:fieldsID="bde459d1215dfc1e57f24dd10ec3530b" ns2:_="" ns3:_="">
    <xsd:import namespace="264c5323-e590-4694-88b8-b70f18bb79bc"/>
    <xsd:import namespace="75422c5c-010d-470d-a7c5-1822c7ba693e"/>
    <xsd:element name="properties">
      <xsd:complexType>
        <xsd:sequence>
          <xsd:element name="documentManagement">
            <xsd:complexType>
              <xsd:all>
                <xsd:element ref="ns2:Protective_x0020_Marking"/>
                <xsd:element ref="ns2:FinYearReq"/>
                <xsd:element ref="ns2:j7c3ea7b1fc84fa29f85968fcdc8726d" minOccurs="0"/>
                <xsd:element ref="ns2:TaxCatchAll" minOccurs="0"/>
                <xsd:element ref="ns2:TaxCatchAllLabel" minOccurs="0"/>
                <xsd:element ref="ns3:ItemPPRReq"/>
                <xsd:element ref="ns3:PolicyThemeReq"/>
                <xsd:element ref="ns3:ScoreCardTheme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FinYearReq" ma:index="9" ma:displayName="Fin Year*" ma:default="2021-03-31T00:00:00Z" ma:format="DateOnly" ma:internalName="FinYearReq" ma:readOnly="false">
      <xsd:simpleType>
        <xsd:restriction base="dms:DateTime"/>
      </xsd:simpleType>
    </xsd:element>
    <xsd:element name="j7c3ea7b1fc84fa29f85968fcdc8726d" ma:index="10" ma:taxonomy="true" ma:internalName="j7c3ea7b1fc84fa29f85968fcdc8726d" ma:taxonomyFieldName="FinancialYearReq" ma:displayName="Financial Year*" ma:readOnly="false" ma:default="" ma:fieldId="{37c3ea7b-1fc8-4fa2-9f85-968fcdc8726d}" ma:sspId="a91404d7-7751-41e8-a4ee-909c4e7c55f3" ma:termSetId="9b58a08c-f373-4f9a-9f4a-c004f4496583"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ee204aa7-0da6-4e89-918d-778555bc74db}" ma:internalName="TaxCatchAll" ma:showField="CatchAllData" ma:web="75422c5c-010d-470d-a7c5-1822c7ba69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ee204aa7-0da6-4e89-918d-778555bc74db}" ma:internalName="TaxCatchAllLabel" ma:readOnly="true" ma:showField="CatchAllDataLabel" ma:web="75422c5c-010d-470d-a7c5-1822c7ba69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422c5c-010d-470d-a7c5-1822c7ba693e" elementFormDefault="qualified">
    <xsd:import namespace="http://schemas.microsoft.com/office/2006/documentManagement/types"/>
    <xsd:import namespace="http://schemas.microsoft.com/office/infopath/2007/PartnerControls"/>
    <xsd:element name="ItemPPRReq" ma:index="14" ma:displayName="Item (PPR)*" ma:internalName="ItemPPRReq">
      <xsd:simpleType>
        <xsd:restriction base="dms:Choice">
          <xsd:enumeration value="Info Graphics"/>
          <xsd:enumeration value="Photograph"/>
          <xsd:enumeration value="PPR Report"/>
          <xsd:enumeration value="Committee Report"/>
          <xsd:enumeration value="Presentation"/>
          <xsd:enumeration value="E-Flyer"/>
          <xsd:enumeration value="Case Study"/>
          <xsd:enumeration value="Internal Guidance"/>
          <xsd:enumeration value="Survey"/>
          <xsd:enumeration value="Template"/>
          <xsd:enumeration value="SPI Direction"/>
          <xsd:enumeration value="Statutory Guidance"/>
          <xsd:enumeration value="Performance Page"/>
        </xsd:restriction>
      </xsd:simpleType>
    </xsd:element>
    <xsd:element name="PolicyThemeReq" ma:index="15" ma:displayName="Policy Theme*" ma:internalName="PolicyThemeReq" ma:readOnly="false">
      <xsd:simpleType>
        <xsd:restriction base="dms:Choice">
          <xsd:enumeration value="Community Safety"/>
          <xsd:enumeration value="Economy"/>
          <xsd:enumeration value="Education"/>
          <xsd:enumeration value="Environment"/>
          <xsd:enumeration value="Finance"/>
          <xsd:enumeration value="Sport and Leisure"/>
          <xsd:enumeration value="Organisation"/>
          <xsd:enumeration value="Housing"/>
          <xsd:enumeration value="Not Applicable"/>
        </xsd:restriction>
      </xsd:simpleType>
    </xsd:element>
    <xsd:element name="ScoreCardThemeReq" ma:index="16" ma:displayName="Score Card Theme*" ma:internalName="ScoreCardThemeReq" ma:readOnly="false">
      <xsd:simpleType>
        <xsd:restriction base="dms:Choice">
          <xsd:enumeration value="Customer"/>
          <xsd:enumeration value="Cost"/>
          <xsd:enumeration value="Not Applicable"/>
          <xsd:enumeration value="People"/>
          <xsd:enumeration value="Responsiven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91404d7-7751-41e8-a4ee-909c4e7c55f3" ContentTypeId="0x010100A2637EAA83360140BB49E0F830C79BBC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inYearReq xmlns="264c5323-e590-4694-88b8-b70f18bb79bc">2021-03-31T00:00:00+00:00</FinYearReq>
    <ItemPPRReq xmlns="75422c5c-010d-470d-a7c5-1822c7ba693e">Performance Page</ItemPPRReq>
    <TaxCatchAll xmlns="264c5323-e590-4694-88b8-b70f18bb79bc">
      <Value>58</Value>
    </TaxCatchAll>
    <PolicyThemeReq xmlns="75422c5c-010d-470d-a7c5-1822c7ba693e">Not Applicable</PolicyThemeReq>
    <ScoreCardThemeReq xmlns="75422c5c-010d-470d-a7c5-1822c7ba693e">Not Applicable</ScoreCardThemeReq>
    <j7c3ea7b1fc84fa29f85968fcdc8726d xmlns="264c5323-e590-4694-88b8-b70f18bb79bc">
      <Terms xmlns="http://schemas.microsoft.com/office/infopath/2007/PartnerControls">
        <TermInfo xmlns="http://schemas.microsoft.com/office/infopath/2007/PartnerControls">
          <TermName xmlns="http://schemas.microsoft.com/office/infopath/2007/PartnerControls">2018 - 2019</TermName>
          <TermId xmlns="http://schemas.microsoft.com/office/infopath/2007/PartnerControls">615afd54-f9aa-41fa-86a7-1f9dd92a1838</TermId>
        </TermInfo>
      </Terms>
    </j7c3ea7b1fc84fa29f85968fcdc8726d>
    <Protective_x0020_Marking xmlns="264c5323-e590-4694-88b8-b70f18bb79bc">OFFICIAL</Protective_x0020_Marking>
  </documentManagement>
</p:properties>
</file>

<file path=customXml/itemProps1.xml><?xml version="1.0" encoding="utf-8"?>
<ds:datastoreItem xmlns:ds="http://schemas.openxmlformats.org/officeDocument/2006/customXml" ds:itemID="{099B4E83-3974-4B39-989F-A11673386792}">
  <ds:schemaRefs>
    <ds:schemaRef ds:uri="http://schemas.openxmlformats.org/officeDocument/2006/bibliography"/>
  </ds:schemaRefs>
</ds:datastoreItem>
</file>

<file path=customXml/itemProps2.xml><?xml version="1.0" encoding="utf-8"?>
<ds:datastoreItem xmlns:ds="http://schemas.openxmlformats.org/officeDocument/2006/customXml" ds:itemID="{3C3033FA-8509-46ED-939F-09D2718800B4}"/>
</file>

<file path=customXml/itemProps3.xml><?xml version="1.0" encoding="utf-8"?>
<ds:datastoreItem xmlns:ds="http://schemas.openxmlformats.org/officeDocument/2006/customXml" ds:itemID="{16F4BD95-94D2-42A7-A067-E8B540995CA0}"/>
</file>

<file path=customXml/itemProps4.xml><?xml version="1.0" encoding="utf-8"?>
<ds:datastoreItem xmlns:ds="http://schemas.openxmlformats.org/officeDocument/2006/customXml" ds:itemID="{5ADB96B6-29B8-4A2A-83F0-EDF60D964DB7}"/>
</file>

<file path=customXml/itemProps5.xml><?xml version="1.0" encoding="utf-8"?>
<ds:datastoreItem xmlns:ds="http://schemas.openxmlformats.org/officeDocument/2006/customXml" ds:itemID="{C63FFDA4-137E-4C57-983D-2323A7439E91}"/>
</file>

<file path=docProps/app.xml><?xml version="1.0" encoding="utf-8"?>
<Properties xmlns="http://schemas.openxmlformats.org/officeDocument/2006/extended-properties" xmlns:vt="http://schemas.openxmlformats.org/officeDocument/2006/docPropsVTypes">
  <Template>Normal</Template>
  <TotalTime>10</TotalTime>
  <Pages>13</Pages>
  <Words>1888</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Policy, Finance and Asset Management Committee</vt:lpstr>
    </vt:vector>
  </TitlesOfParts>
  <Company>Fife Council</Company>
  <LinksUpToDate>false</LinksUpToDate>
  <CharactersWithSpaces>12339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Finance and Asset Management Committee</dc:title>
  <dc:subject/>
  <dc:creator>Jim Lumsden</dc:creator>
  <cp:keywords/>
  <cp:lastModifiedBy>Jacqui Prokes</cp:lastModifiedBy>
  <cp:revision>3</cp:revision>
  <cp:lastPrinted>2016-03-24T15:59:00Z</cp:lastPrinted>
  <dcterms:created xsi:type="dcterms:W3CDTF">2020-11-03T11:56:00Z</dcterms:created>
  <dcterms:modified xsi:type="dcterms:W3CDTF">2020-11-03T12:04:00Z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0x010100A2637EAA83360140BB49E0F830C79BBC0100F83E10020D843946BC4606BA634DF8F7</vt:lpwstr>
  </property>
  <property fmtid="{D5CDD505-2E9C-101B-9397-08002B2CF9AE}" pid="3" name="_dlc_policyId">
    <vt:lpwstr>/sites/mgtcor/per-mgt-dc/PublicPerformanceReporting</vt:lpwstr>
  </property>
  <property fmtid="{D5CDD505-2E9C-101B-9397-08002B2CF9AE}" pid="5" name="_dlc_ExpireDate">
    <vt:filetime>2021-11-03T12:22:22Z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FinancialYearReq">
    <vt:lpwstr>58;#2018 - 2019|615afd54-f9aa-41fa-86a7-1f9dd92a1838</vt:lpwstr>
  </property>
</Properties>
</file>