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C76937" w14:textId="288B9283" w:rsidR="001927FC" w:rsidRPr="00500A72" w:rsidRDefault="007B1BBD" w:rsidP="001927FC">
      <w:pPr>
        <w:pStyle w:val="CommitteeTitle"/>
        <w:rPr>
          <w:rFonts w:ascii="Arial" w:hAnsi="Arial" w:cs="Arial"/>
        </w:rPr>
      </w:pPr>
      <w:r w:rsidRPr="00FE0267">
        <w:rPr>
          <w:rFonts w:ascii="Arial" w:hAnsi="Arial" w:cs="Arial"/>
          <w:highlight w:val="yellow"/>
        </w:rPr>
        <w:drawing>
          <wp:anchor distT="0" distB="0" distL="114300" distR="114300" simplePos="0" relativeHeight="251657728" behindDoc="1" locked="0" layoutInCell="1" allowOverlap="1" wp14:anchorId="59B42141" wp14:editId="49B10507">
            <wp:simplePos x="0" y="0"/>
            <wp:positionH relativeFrom="column">
              <wp:posOffset>-554355</wp:posOffset>
            </wp:positionH>
            <wp:positionV relativeFrom="paragraph">
              <wp:posOffset>-56515</wp:posOffset>
            </wp:positionV>
            <wp:extent cx="6972300" cy="920750"/>
            <wp:effectExtent l="0" t="0" r="0" b="0"/>
            <wp:wrapNone/>
            <wp:docPr id="3" name="Picture 3" descr="fcB&amp;WFlash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B&amp;WFlashHea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230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61F1">
        <w:rPr>
          <w:rFonts w:ascii="Arial" w:hAnsi="Arial" w:cs="Arial"/>
        </w:rPr>
        <w:t>Communities &amp; Housing Services Committee</w:t>
      </w:r>
    </w:p>
    <w:p w14:paraId="041C35EE" w14:textId="77777777" w:rsidR="00B86886" w:rsidRDefault="00B86886" w:rsidP="009B4ECC">
      <w:pPr>
        <w:spacing w:before="0"/>
        <w:rPr>
          <w:rFonts w:ascii="Arial" w:hAnsi="Arial" w:cs="Arial"/>
        </w:rPr>
      </w:pPr>
    </w:p>
    <w:p w14:paraId="494DA1DC" w14:textId="025018FE" w:rsidR="00E12351" w:rsidRDefault="008561F1" w:rsidP="009B4ECC">
      <w:pPr>
        <w:spacing w:before="0"/>
        <w:rPr>
          <w:rFonts w:ascii="Arial" w:hAnsi="Arial" w:cs="Arial"/>
        </w:rPr>
      </w:pPr>
      <w:r>
        <w:rPr>
          <w:rFonts w:ascii="Arial" w:hAnsi="Arial" w:cs="Arial"/>
        </w:rPr>
        <w:t>3</w:t>
      </w:r>
      <w:r w:rsidRPr="008561F1">
        <w:rPr>
          <w:rFonts w:ascii="Arial" w:hAnsi="Arial" w:cs="Arial"/>
          <w:vertAlign w:val="superscript"/>
        </w:rPr>
        <w:t>rd</w:t>
      </w:r>
      <w:r>
        <w:rPr>
          <w:rFonts w:ascii="Arial" w:hAnsi="Arial" w:cs="Arial"/>
        </w:rPr>
        <w:t xml:space="preserve"> September 2020</w:t>
      </w:r>
    </w:p>
    <w:p w14:paraId="424749D1" w14:textId="77777777" w:rsidR="009B4ECC" w:rsidRPr="006C2E4E" w:rsidRDefault="009B4ECC" w:rsidP="009B4ECC">
      <w:pPr>
        <w:spacing w:before="0"/>
        <w:rPr>
          <w:rFonts w:ascii="Arial" w:hAnsi="Arial" w:cs="Arial"/>
        </w:rPr>
      </w:pPr>
      <w:r>
        <w:rPr>
          <w:rFonts w:ascii="Arial" w:hAnsi="Arial" w:cs="Arial"/>
        </w:rPr>
        <w:t xml:space="preserve">Agenda Item </w:t>
      </w:r>
      <w:r w:rsidR="00B70BAF">
        <w:rPr>
          <w:rFonts w:ascii="Arial" w:hAnsi="Arial" w:cs="Arial"/>
        </w:rPr>
        <w:t xml:space="preserve">No. </w:t>
      </w:r>
    </w:p>
    <w:tbl>
      <w:tblPr>
        <w:tblW w:w="0" w:type="auto"/>
        <w:tblLook w:val="00A0" w:firstRow="1" w:lastRow="0" w:firstColumn="1" w:lastColumn="0" w:noHBand="0" w:noVBand="0"/>
      </w:tblPr>
      <w:tblGrid>
        <w:gridCol w:w="9638"/>
      </w:tblGrid>
      <w:tr w:rsidR="00A90C08" w:rsidRPr="00500A72" w14:paraId="294D0E32" w14:textId="77777777">
        <w:tc>
          <w:tcPr>
            <w:tcW w:w="9854" w:type="dxa"/>
            <w:tcBorders>
              <w:bottom w:val="single" w:sz="4" w:space="0" w:color="00424F"/>
            </w:tcBorders>
          </w:tcPr>
          <w:p w14:paraId="43E7A90C" w14:textId="39D20FCD" w:rsidR="00A90C08" w:rsidRPr="009234E7" w:rsidRDefault="008561F1" w:rsidP="009578CD">
            <w:pPr>
              <w:pStyle w:val="ReportTitle"/>
              <w:rPr>
                <w:rFonts w:ascii="Arial" w:hAnsi="Arial" w:cs="Arial"/>
                <w:color w:val="FF0000"/>
              </w:rPr>
            </w:pPr>
            <w:r>
              <w:rPr>
                <w:rFonts w:ascii="Arial" w:hAnsi="Arial" w:cs="Arial"/>
              </w:rPr>
              <w:t>Customer and Online</w:t>
            </w:r>
            <w:r w:rsidR="006B7E99">
              <w:rPr>
                <w:rFonts w:ascii="Arial" w:hAnsi="Arial" w:cs="Arial"/>
              </w:rPr>
              <w:t xml:space="preserve"> Services Performance Report </w:t>
            </w:r>
            <w:r w:rsidR="009234E7">
              <w:rPr>
                <w:rFonts w:ascii="Arial" w:hAnsi="Arial" w:cs="Arial"/>
              </w:rPr>
              <w:t xml:space="preserve"> </w:t>
            </w:r>
          </w:p>
        </w:tc>
      </w:tr>
      <w:tr w:rsidR="00A90C08" w:rsidRPr="00500A72" w14:paraId="39A48A8B" w14:textId="77777777">
        <w:tc>
          <w:tcPr>
            <w:tcW w:w="9854" w:type="dxa"/>
            <w:tcBorders>
              <w:top w:val="single" w:sz="4" w:space="0" w:color="00424F"/>
              <w:bottom w:val="single" w:sz="4" w:space="0" w:color="00424F"/>
            </w:tcBorders>
          </w:tcPr>
          <w:p w14:paraId="0C267008" w14:textId="559AFCDE" w:rsidR="00A90C08" w:rsidRPr="00500A72" w:rsidRDefault="00A90C08" w:rsidP="0080109B">
            <w:pPr>
              <w:pStyle w:val="overviewtext"/>
              <w:rPr>
                <w:rFonts w:ascii="Arial" w:hAnsi="Arial" w:cs="Arial"/>
              </w:rPr>
            </w:pPr>
            <w:r w:rsidRPr="00500A72">
              <w:rPr>
                <w:rFonts w:ascii="Arial" w:hAnsi="Arial" w:cs="Arial"/>
              </w:rPr>
              <w:t xml:space="preserve">Report by: </w:t>
            </w:r>
            <w:r w:rsidR="008561F1">
              <w:rPr>
                <w:rFonts w:ascii="Arial" w:hAnsi="Arial" w:cs="Arial"/>
              </w:rPr>
              <w:t xml:space="preserve">Diarmuid Cotter, Head of Customer and Online Services, Communities </w:t>
            </w:r>
          </w:p>
        </w:tc>
      </w:tr>
      <w:tr w:rsidR="00A90C08" w:rsidRPr="00500A72" w14:paraId="28BD9F19" w14:textId="77777777">
        <w:tc>
          <w:tcPr>
            <w:tcW w:w="9854" w:type="dxa"/>
            <w:tcBorders>
              <w:top w:val="single" w:sz="4" w:space="0" w:color="00424F"/>
              <w:bottom w:val="single" w:sz="4" w:space="0" w:color="00424F"/>
            </w:tcBorders>
          </w:tcPr>
          <w:p w14:paraId="7863D3B4" w14:textId="77777777" w:rsidR="00A90C08" w:rsidRPr="00500A72" w:rsidRDefault="00A90C08" w:rsidP="00FE2AE3">
            <w:pPr>
              <w:pStyle w:val="overviewtext"/>
              <w:rPr>
                <w:rFonts w:ascii="Arial" w:hAnsi="Arial" w:cs="Arial"/>
              </w:rPr>
            </w:pPr>
            <w:r w:rsidRPr="00500A72">
              <w:rPr>
                <w:rFonts w:ascii="Arial" w:hAnsi="Arial" w:cs="Arial"/>
              </w:rPr>
              <w:t>Wards Affected: All</w:t>
            </w:r>
          </w:p>
        </w:tc>
      </w:tr>
    </w:tbl>
    <w:p w14:paraId="0D8D3B8E" w14:textId="77777777" w:rsidR="00A90C08" w:rsidRPr="00500A72" w:rsidRDefault="00A90C08" w:rsidP="00BD7A97">
      <w:pPr>
        <w:pStyle w:val="overviewheading"/>
        <w:spacing w:before="240" w:after="120"/>
        <w:jc w:val="both"/>
        <w:rPr>
          <w:rFonts w:ascii="Arial" w:hAnsi="Arial" w:cs="Arial"/>
        </w:rPr>
      </w:pPr>
      <w:r w:rsidRPr="00500A72">
        <w:rPr>
          <w:rFonts w:ascii="Arial" w:hAnsi="Arial" w:cs="Arial"/>
        </w:rPr>
        <w:t>Purpose</w:t>
      </w:r>
    </w:p>
    <w:p w14:paraId="7E327646" w14:textId="2E580A6C" w:rsidR="001D758F" w:rsidRPr="001B0DAD" w:rsidRDefault="00E82D85" w:rsidP="00BD7A97">
      <w:pPr>
        <w:spacing w:before="240"/>
        <w:ind w:left="720"/>
        <w:jc w:val="both"/>
        <w:rPr>
          <w:rFonts w:ascii="Arial" w:hAnsi="Arial" w:cs="Arial"/>
        </w:rPr>
      </w:pPr>
      <w:r>
        <w:rPr>
          <w:rFonts w:ascii="Arial" w:hAnsi="Arial" w:cs="Arial"/>
        </w:rPr>
        <w:t xml:space="preserve">To present the </w:t>
      </w:r>
      <w:r w:rsidR="00494FCA">
        <w:rPr>
          <w:rFonts w:ascii="Arial" w:hAnsi="Arial" w:cs="Arial"/>
        </w:rPr>
        <w:t xml:space="preserve">performance scorecard for the </w:t>
      </w:r>
      <w:r w:rsidR="008561F1">
        <w:rPr>
          <w:rFonts w:ascii="Arial" w:hAnsi="Arial" w:cs="Arial"/>
        </w:rPr>
        <w:t>Customer and Online Services</w:t>
      </w:r>
      <w:r w:rsidR="00494FCA">
        <w:rPr>
          <w:rFonts w:ascii="Arial" w:hAnsi="Arial" w:cs="Arial"/>
        </w:rPr>
        <w:t xml:space="preserve"> for </w:t>
      </w:r>
      <w:r w:rsidR="00DE775A">
        <w:rPr>
          <w:rFonts w:ascii="Arial" w:hAnsi="Arial" w:cs="Arial"/>
        </w:rPr>
        <w:t>2019/20</w:t>
      </w:r>
    </w:p>
    <w:p w14:paraId="70F04467" w14:textId="77777777" w:rsidR="00A90C08" w:rsidRPr="00500A72" w:rsidRDefault="00A90C08" w:rsidP="00BD7A97">
      <w:pPr>
        <w:pStyle w:val="overviewheading"/>
        <w:tabs>
          <w:tab w:val="center" w:pos="4819"/>
        </w:tabs>
        <w:spacing w:before="240" w:after="120"/>
        <w:jc w:val="both"/>
        <w:rPr>
          <w:rFonts w:ascii="Arial" w:hAnsi="Arial" w:cs="Arial"/>
        </w:rPr>
      </w:pPr>
      <w:r w:rsidRPr="00500A72">
        <w:rPr>
          <w:rFonts w:ascii="Arial" w:hAnsi="Arial" w:cs="Arial"/>
        </w:rPr>
        <w:t>Recommendations</w:t>
      </w:r>
    </w:p>
    <w:p w14:paraId="4C7D0FB0" w14:textId="661F1440" w:rsidR="00494FCA" w:rsidRDefault="00494FCA" w:rsidP="006B7E99">
      <w:pPr>
        <w:pStyle w:val="Para2"/>
        <w:spacing w:before="240" w:after="120"/>
        <w:ind w:left="720"/>
        <w:rPr>
          <w:rFonts w:ascii="Arial" w:hAnsi="Arial" w:cs="Arial"/>
        </w:rPr>
      </w:pPr>
      <w:r>
        <w:rPr>
          <w:rFonts w:ascii="Arial" w:hAnsi="Arial" w:cs="Arial"/>
        </w:rPr>
        <w:t>Members are asked to</w:t>
      </w:r>
      <w:r w:rsidR="002125C9">
        <w:rPr>
          <w:rFonts w:ascii="Arial" w:hAnsi="Arial" w:cs="Arial"/>
        </w:rPr>
        <w:t xml:space="preserve"> </w:t>
      </w:r>
      <w:r w:rsidR="00C713FF">
        <w:rPr>
          <w:rFonts w:ascii="Arial" w:hAnsi="Arial" w:cs="Arial"/>
        </w:rPr>
        <w:t>consider and review:</w:t>
      </w:r>
    </w:p>
    <w:p w14:paraId="74CFBEE8" w14:textId="22BB0E04" w:rsidR="00494FCA" w:rsidRDefault="00494FCA" w:rsidP="00494FCA">
      <w:pPr>
        <w:pStyle w:val="Para2"/>
        <w:numPr>
          <w:ilvl w:val="0"/>
          <w:numId w:val="20"/>
        </w:numPr>
        <w:spacing w:before="240" w:after="120"/>
        <w:rPr>
          <w:rFonts w:ascii="Arial" w:hAnsi="Arial" w:cs="Arial"/>
        </w:rPr>
      </w:pPr>
      <w:r>
        <w:rPr>
          <w:rFonts w:ascii="Arial" w:hAnsi="Arial" w:cs="Arial"/>
        </w:rPr>
        <w:t xml:space="preserve">the </w:t>
      </w:r>
      <w:r w:rsidR="008561F1">
        <w:rPr>
          <w:rFonts w:ascii="Arial" w:hAnsi="Arial" w:cs="Arial"/>
        </w:rPr>
        <w:t>Customer and Online Services</w:t>
      </w:r>
      <w:r w:rsidR="002125C9">
        <w:rPr>
          <w:rFonts w:ascii="Arial" w:hAnsi="Arial" w:cs="Arial"/>
        </w:rPr>
        <w:t xml:space="preserve"> </w:t>
      </w:r>
      <w:r>
        <w:rPr>
          <w:rFonts w:ascii="Arial" w:hAnsi="Arial" w:cs="Arial"/>
        </w:rPr>
        <w:t>performance information presented at appendix 1</w:t>
      </w:r>
      <w:r w:rsidR="002125C9">
        <w:rPr>
          <w:rFonts w:ascii="Arial" w:hAnsi="Arial" w:cs="Arial"/>
        </w:rPr>
        <w:t>; and</w:t>
      </w:r>
    </w:p>
    <w:p w14:paraId="60DBC0AB" w14:textId="0E7DC733" w:rsidR="00B70BAF" w:rsidRDefault="003F30B3" w:rsidP="00494FCA">
      <w:pPr>
        <w:pStyle w:val="Para2"/>
        <w:numPr>
          <w:ilvl w:val="0"/>
          <w:numId w:val="20"/>
        </w:numPr>
        <w:spacing w:before="240" w:after="120"/>
        <w:rPr>
          <w:rFonts w:ascii="Arial" w:hAnsi="Arial" w:cs="Arial"/>
        </w:rPr>
      </w:pPr>
      <w:r>
        <w:rPr>
          <w:rFonts w:ascii="Arial" w:hAnsi="Arial" w:cs="Arial"/>
        </w:rPr>
        <w:t>Note the</w:t>
      </w:r>
      <w:r w:rsidR="00326B8A">
        <w:rPr>
          <w:rFonts w:ascii="Arial" w:hAnsi="Arial" w:cs="Arial"/>
        </w:rPr>
        <w:t xml:space="preserve"> arrangements set out in section 1 to fulfil the Council’s obligation to comply with Audit Scotland’s 201</w:t>
      </w:r>
      <w:r w:rsidR="00DE775A">
        <w:rPr>
          <w:rFonts w:ascii="Arial" w:hAnsi="Arial" w:cs="Arial"/>
        </w:rPr>
        <w:t>8</w:t>
      </w:r>
      <w:r w:rsidR="00326B8A">
        <w:rPr>
          <w:rFonts w:ascii="Arial" w:hAnsi="Arial" w:cs="Arial"/>
        </w:rPr>
        <w:t xml:space="preserve"> SPI Direction.</w:t>
      </w:r>
      <w:r>
        <w:rPr>
          <w:rFonts w:ascii="Arial" w:hAnsi="Arial" w:cs="Arial"/>
        </w:rPr>
        <w:t xml:space="preserve"> </w:t>
      </w:r>
      <w:r w:rsidR="00616D1F" w:rsidRPr="00BC294C">
        <w:rPr>
          <w:rFonts w:ascii="Arial" w:hAnsi="Arial" w:cs="Arial"/>
        </w:rPr>
        <w:t xml:space="preserve"> </w:t>
      </w:r>
    </w:p>
    <w:p w14:paraId="697B39A8" w14:textId="7F9ADAEF" w:rsidR="002F1B31" w:rsidRDefault="003414B8" w:rsidP="00494FCA">
      <w:pPr>
        <w:pStyle w:val="Para2"/>
        <w:numPr>
          <w:ilvl w:val="0"/>
          <w:numId w:val="20"/>
        </w:numPr>
        <w:spacing w:before="240" w:after="120"/>
        <w:rPr>
          <w:rFonts w:ascii="Arial" w:hAnsi="Arial" w:cs="Arial"/>
        </w:rPr>
      </w:pPr>
      <w:r>
        <w:rPr>
          <w:rFonts w:ascii="Arial" w:hAnsi="Arial" w:cs="Arial"/>
        </w:rPr>
        <w:t>I</w:t>
      </w:r>
      <w:r w:rsidR="002F1B31">
        <w:rPr>
          <w:rFonts w:ascii="Arial" w:hAnsi="Arial" w:cs="Arial"/>
        </w:rPr>
        <w:t>nformation regarding t</w:t>
      </w:r>
      <w:r>
        <w:rPr>
          <w:rFonts w:ascii="Arial" w:hAnsi="Arial" w:cs="Arial"/>
        </w:rPr>
        <w:t>h</w:t>
      </w:r>
      <w:r w:rsidR="002F1B31">
        <w:rPr>
          <w:rFonts w:ascii="Arial" w:hAnsi="Arial" w:cs="Arial"/>
        </w:rPr>
        <w:t>e Directorate’s workforce profile</w:t>
      </w:r>
      <w:r w:rsidR="00C022EB">
        <w:rPr>
          <w:rFonts w:ascii="Arial" w:hAnsi="Arial" w:cs="Arial"/>
        </w:rPr>
        <w:t>.</w:t>
      </w:r>
    </w:p>
    <w:p w14:paraId="233132B5" w14:textId="618A26BD" w:rsidR="003414B8" w:rsidRPr="00B70BAF" w:rsidRDefault="003414B8" w:rsidP="00494FCA">
      <w:pPr>
        <w:pStyle w:val="Para2"/>
        <w:numPr>
          <w:ilvl w:val="0"/>
          <w:numId w:val="20"/>
        </w:numPr>
        <w:spacing w:before="240" w:after="120"/>
        <w:rPr>
          <w:rFonts w:ascii="Arial" w:hAnsi="Arial" w:cs="Arial"/>
        </w:rPr>
      </w:pPr>
      <w:r>
        <w:rPr>
          <w:rFonts w:ascii="Arial" w:hAnsi="Arial" w:cs="Arial"/>
        </w:rPr>
        <w:t xml:space="preserve">Annual Workforce </w:t>
      </w:r>
      <w:r w:rsidR="00186C06">
        <w:rPr>
          <w:rFonts w:ascii="Arial" w:hAnsi="Arial" w:cs="Arial"/>
        </w:rPr>
        <w:t>Report d</w:t>
      </w:r>
      <w:r>
        <w:rPr>
          <w:rFonts w:ascii="Arial" w:hAnsi="Arial" w:cs="Arial"/>
        </w:rPr>
        <w:t xml:space="preserve">ata for </w:t>
      </w:r>
      <w:r w:rsidR="008561F1">
        <w:rPr>
          <w:rFonts w:ascii="Arial" w:hAnsi="Arial" w:cs="Arial"/>
        </w:rPr>
        <w:t>Customer and Online</w:t>
      </w:r>
      <w:r>
        <w:rPr>
          <w:rFonts w:ascii="Arial" w:hAnsi="Arial" w:cs="Arial"/>
        </w:rPr>
        <w:t xml:space="preserve"> Services</w:t>
      </w:r>
    </w:p>
    <w:p w14:paraId="375FE48F" w14:textId="77777777" w:rsidR="00A90C08" w:rsidRPr="00500A72" w:rsidRDefault="00A90C08" w:rsidP="00BD7A97">
      <w:pPr>
        <w:pStyle w:val="overviewheading"/>
        <w:spacing w:before="240" w:after="120"/>
        <w:jc w:val="both"/>
        <w:rPr>
          <w:rFonts w:ascii="Arial" w:hAnsi="Arial" w:cs="Arial"/>
        </w:rPr>
      </w:pPr>
      <w:r w:rsidRPr="00500A72">
        <w:rPr>
          <w:rFonts w:ascii="Arial" w:hAnsi="Arial" w:cs="Arial"/>
        </w:rPr>
        <w:t>Resource Implications</w:t>
      </w:r>
    </w:p>
    <w:p w14:paraId="74D00575" w14:textId="77777777" w:rsidR="00A90C08" w:rsidRDefault="00494FCA" w:rsidP="00BD7A97">
      <w:pPr>
        <w:spacing w:before="240"/>
        <w:ind w:left="720"/>
        <w:jc w:val="both"/>
        <w:rPr>
          <w:rFonts w:ascii="Arial" w:hAnsi="Arial" w:cs="Arial"/>
        </w:rPr>
      </w:pPr>
      <w:r>
        <w:rPr>
          <w:rFonts w:ascii="Arial" w:hAnsi="Arial" w:cs="Arial"/>
        </w:rPr>
        <w:t>None</w:t>
      </w:r>
    </w:p>
    <w:p w14:paraId="6B6E4C97" w14:textId="77777777" w:rsidR="00A90C08" w:rsidRPr="00500A72" w:rsidRDefault="00A90C08" w:rsidP="00BD7A97">
      <w:pPr>
        <w:pStyle w:val="overviewheading"/>
        <w:spacing w:before="240" w:after="120"/>
        <w:jc w:val="both"/>
        <w:rPr>
          <w:rFonts w:ascii="Arial" w:hAnsi="Arial" w:cs="Arial"/>
        </w:rPr>
      </w:pPr>
      <w:r w:rsidRPr="00500A72">
        <w:rPr>
          <w:rFonts w:ascii="Arial" w:hAnsi="Arial" w:cs="Arial"/>
        </w:rPr>
        <w:t xml:space="preserve">Legal </w:t>
      </w:r>
      <w:r w:rsidR="00913EA4" w:rsidRPr="00500A72">
        <w:rPr>
          <w:rFonts w:ascii="Arial" w:hAnsi="Arial" w:cs="Arial"/>
        </w:rPr>
        <w:t>&amp;</w:t>
      </w:r>
      <w:r w:rsidRPr="00500A72">
        <w:rPr>
          <w:rFonts w:ascii="Arial" w:hAnsi="Arial" w:cs="Arial"/>
        </w:rPr>
        <w:t xml:space="preserve"> Risk Implications</w:t>
      </w:r>
    </w:p>
    <w:p w14:paraId="017D3D10" w14:textId="77777777" w:rsidR="006B2171" w:rsidRDefault="00494FCA" w:rsidP="00BD7A97">
      <w:pPr>
        <w:pStyle w:val="summarydetails"/>
        <w:spacing w:before="240" w:after="120"/>
        <w:jc w:val="both"/>
        <w:rPr>
          <w:rFonts w:ascii="Arial" w:hAnsi="Arial" w:cs="Arial"/>
        </w:rPr>
      </w:pPr>
      <w:r>
        <w:rPr>
          <w:rFonts w:ascii="Arial" w:hAnsi="Arial" w:cs="Arial"/>
        </w:rPr>
        <w:t>None</w:t>
      </w:r>
    </w:p>
    <w:p w14:paraId="3C9C3A32" w14:textId="77777777" w:rsidR="00A90C08" w:rsidRPr="00500A72" w:rsidRDefault="00A90C08" w:rsidP="00BD7A97">
      <w:pPr>
        <w:pStyle w:val="overviewheading"/>
        <w:spacing w:before="240" w:after="120"/>
        <w:jc w:val="both"/>
        <w:rPr>
          <w:rFonts w:ascii="Arial" w:hAnsi="Arial" w:cs="Arial"/>
        </w:rPr>
      </w:pPr>
      <w:r w:rsidRPr="00500A72">
        <w:rPr>
          <w:rFonts w:ascii="Arial" w:hAnsi="Arial" w:cs="Arial"/>
        </w:rPr>
        <w:t>Impact Assessment</w:t>
      </w:r>
    </w:p>
    <w:p w14:paraId="50717086" w14:textId="77777777" w:rsidR="00E40EA6" w:rsidRDefault="005D6FDE" w:rsidP="005D6FDE">
      <w:pPr>
        <w:pStyle w:val="summarydetails"/>
        <w:spacing w:before="240" w:after="120"/>
        <w:jc w:val="both"/>
        <w:rPr>
          <w:rFonts w:ascii="Arial" w:hAnsi="Arial" w:cs="Arial"/>
        </w:rPr>
      </w:pPr>
      <w:r w:rsidRPr="005D6FDE">
        <w:rPr>
          <w:rFonts w:ascii="Arial" w:hAnsi="Arial" w:cs="Arial"/>
        </w:rPr>
        <w:t xml:space="preserve">An </w:t>
      </w:r>
      <w:proofErr w:type="spellStart"/>
      <w:r w:rsidRPr="005D6FDE">
        <w:rPr>
          <w:rFonts w:ascii="Arial" w:hAnsi="Arial" w:cs="Arial"/>
        </w:rPr>
        <w:t>EqIA</w:t>
      </w:r>
      <w:proofErr w:type="spellEnd"/>
      <w:r w:rsidRPr="005D6FDE">
        <w:rPr>
          <w:rFonts w:ascii="Arial" w:hAnsi="Arial" w:cs="Arial"/>
        </w:rPr>
        <w:t xml:space="preserve"> is not required because the report does not propose a change or revision to existing policies and practices</w:t>
      </w:r>
      <w:r>
        <w:rPr>
          <w:rFonts w:ascii="Arial" w:hAnsi="Arial" w:cs="Arial"/>
        </w:rPr>
        <w:t>.</w:t>
      </w:r>
    </w:p>
    <w:p w14:paraId="2AF69A40" w14:textId="77777777" w:rsidR="00A90C08" w:rsidRPr="00500A72" w:rsidRDefault="00A90C08" w:rsidP="00BD7A97">
      <w:pPr>
        <w:pStyle w:val="overviewheading"/>
        <w:spacing w:before="240" w:after="120"/>
        <w:jc w:val="both"/>
        <w:rPr>
          <w:rFonts w:ascii="Arial" w:hAnsi="Arial" w:cs="Arial"/>
        </w:rPr>
      </w:pPr>
      <w:r w:rsidRPr="00500A72">
        <w:rPr>
          <w:rFonts w:ascii="Arial" w:hAnsi="Arial" w:cs="Arial"/>
        </w:rPr>
        <w:t>Consultation</w:t>
      </w:r>
    </w:p>
    <w:p w14:paraId="51884D5C" w14:textId="77777777" w:rsidR="008E74AD" w:rsidRPr="00500A72" w:rsidRDefault="00494FCA" w:rsidP="0038700D">
      <w:pPr>
        <w:pStyle w:val="Heading2"/>
        <w:spacing w:before="240" w:after="120"/>
        <w:rPr>
          <w:rFonts w:ascii="Arial" w:hAnsi="Arial" w:cs="Arial"/>
        </w:rPr>
      </w:pPr>
      <w:r>
        <w:rPr>
          <w:rFonts w:ascii="Arial" w:hAnsi="Arial" w:cs="Arial"/>
          <w:b w:val="0"/>
          <w:sz w:val="24"/>
          <w:szCs w:val="24"/>
        </w:rPr>
        <w:tab/>
        <w:t>None required</w:t>
      </w:r>
      <w:r w:rsidR="00BD7A97" w:rsidRPr="00BC6BF6">
        <w:rPr>
          <w:rFonts w:ascii="Arial" w:hAnsi="Arial" w:cs="Arial"/>
          <w:b w:val="0"/>
          <w:sz w:val="24"/>
          <w:szCs w:val="24"/>
        </w:rPr>
        <w:br w:type="column"/>
      </w:r>
      <w:r w:rsidR="00AD62CD">
        <w:rPr>
          <w:rFonts w:ascii="Arial" w:hAnsi="Arial" w:cs="Arial"/>
        </w:rPr>
        <w:lastRenderedPageBreak/>
        <w:t>1.</w:t>
      </w:r>
      <w:r w:rsidR="00BD7A97">
        <w:rPr>
          <w:rFonts w:ascii="Arial" w:hAnsi="Arial" w:cs="Arial"/>
        </w:rPr>
        <w:t>0</w:t>
      </w:r>
      <w:r w:rsidR="008E74AD" w:rsidRPr="00500A72">
        <w:rPr>
          <w:rFonts w:ascii="Arial" w:hAnsi="Arial" w:cs="Arial"/>
        </w:rPr>
        <w:tab/>
        <w:t>Background</w:t>
      </w:r>
    </w:p>
    <w:p w14:paraId="750CA087" w14:textId="30889B83" w:rsidR="00494FCA" w:rsidRDefault="00494FCA" w:rsidP="00B4134A">
      <w:pPr>
        <w:pStyle w:val="Default"/>
        <w:numPr>
          <w:ilvl w:val="1"/>
          <w:numId w:val="24"/>
        </w:numPr>
      </w:pPr>
      <w:r w:rsidRPr="00EB3829">
        <w:t xml:space="preserve">Audit Scotland </w:t>
      </w:r>
      <w:r w:rsidR="00B4134A">
        <w:t xml:space="preserve">published </w:t>
      </w:r>
      <w:r w:rsidRPr="00EB3829">
        <w:t>the S</w:t>
      </w:r>
      <w:r w:rsidR="0009444F">
        <w:t>tatutory Performance D</w:t>
      </w:r>
      <w:r w:rsidRPr="00EB3829">
        <w:t>irection in December 201</w:t>
      </w:r>
      <w:r w:rsidR="00DE775A">
        <w:t>8</w:t>
      </w:r>
      <w:r w:rsidRPr="00EB3829">
        <w:t>.</w:t>
      </w:r>
      <w:r w:rsidR="0009444F">
        <w:t xml:space="preserve"> </w:t>
      </w:r>
      <w:r w:rsidR="00DE775A">
        <w:t>2019/20</w:t>
      </w:r>
      <w:r w:rsidR="008243AC">
        <w:t xml:space="preserve"> is the </w:t>
      </w:r>
      <w:r w:rsidR="00DE775A">
        <w:t xml:space="preserve">first </w:t>
      </w:r>
      <w:r w:rsidR="008243AC">
        <w:t xml:space="preserve">year to which that direction applies. </w:t>
      </w:r>
      <w:r w:rsidR="00B4134A">
        <w:t>The Council is required to report a range of information setting out:</w:t>
      </w:r>
    </w:p>
    <w:p w14:paraId="007760A5" w14:textId="77777777" w:rsidR="00B4134A" w:rsidRDefault="00B4134A" w:rsidP="00B4134A">
      <w:pPr>
        <w:pStyle w:val="Default"/>
        <w:ind w:left="720"/>
      </w:pPr>
    </w:p>
    <w:p w14:paraId="7EC34852" w14:textId="15458EEC" w:rsidR="00B4134A" w:rsidRDefault="00B4134A" w:rsidP="00B4134A">
      <w:pPr>
        <w:pStyle w:val="Default"/>
        <w:numPr>
          <w:ilvl w:val="0"/>
          <w:numId w:val="25"/>
        </w:numPr>
      </w:pPr>
      <w:r>
        <w:t>Its performance in improving local public services</w:t>
      </w:r>
      <w:r w:rsidR="00C022EB">
        <w:t>, provided by both (</w:t>
      </w:r>
      <w:proofErr w:type="spellStart"/>
      <w:r w:rsidR="00C022EB">
        <w:t>i</w:t>
      </w:r>
      <w:proofErr w:type="spellEnd"/>
      <w:r w:rsidR="00C022EB">
        <w:t>) the council itself and (ii) by the council in conjunction with its partners and communities.</w:t>
      </w:r>
    </w:p>
    <w:p w14:paraId="24BA5C57" w14:textId="22651B41" w:rsidR="00B4134A" w:rsidRDefault="00C022EB" w:rsidP="00B4134A">
      <w:pPr>
        <w:pStyle w:val="Default"/>
        <w:numPr>
          <w:ilvl w:val="0"/>
          <w:numId w:val="25"/>
        </w:numPr>
      </w:pPr>
      <w:r>
        <w:t>Its progress against the desired outcomes agreed with its partners and communities.</w:t>
      </w:r>
    </w:p>
    <w:p w14:paraId="1C753FDD" w14:textId="4285E14E" w:rsidR="00B4134A" w:rsidRDefault="00C022EB" w:rsidP="00B4134A">
      <w:pPr>
        <w:pStyle w:val="Default"/>
        <w:numPr>
          <w:ilvl w:val="0"/>
          <w:numId w:val="25"/>
        </w:numPr>
      </w:pPr>
      <w:r>
        <w:t>Its performance in comparison (</w:t>
      </w:r>
      <w:proofErr w:type="spellStart"/>
      <w:r>
        <w:t>i</w:t>
      </w:r>
      <w:proofErr w:type="spellEnd"/>
      <w:r>
        <w:t>) over time and (ii) with other similar bodies including information drawn down from LGBF in particular and from other benchmarking activities</w:t>
      </w:r>
    </w:p>
    <w:p w14:paraId="591FB4FC" w14:textId="7C110DCD" w:rsidR="00B4134A" w:rsidRDefault="00B4134A" w:rsidP="00B4134A">
      <w:pPr>
        <w:pStyle w:val="Default"/>
        <w:numPr>
          <w:ilvl w:val="0"/>
          <w:numId w:val="25"/>
        </w:numPr>
      </w:pPr>
      <w:r>
        <w:t xml:space="preserve">Its </w:t>
      </w:r>
      <w:r w:rsidR="00C022EB">
        <w:t xml:space="preserve">assessment of how it is performing </w:t>
      </w:r>
      <w:proofErr w:type="spellStart"/>
      <w:r w:rsidR="00C022EB">
        <w:t>aginst</w:t>
      </w:r>
      <w:proofErr w:type="spellEnd"/>
      <w:r w:rsidR="00C022EB">
        <w:t xml:space="preserve"> its duty of Best Value, and how it plans to improve against this assessment</w:t>
      </w:r>
    </w:p>
    <w:p w14:paraId="306F0E20" w14:textId="77777777" w:rsidR="00C828EB" w:rsidRDefault="00494FCA" w:rsidP="0009444F">
      <w:pPr>
        <w:pStyle w:val="Default"/>
        <w:ind w:left="720" w:hanging="720"/>
      </w:pPr>
      <w:r w:rsidRPr="00EB3829">
        <w:t xml:space="preserve"> </w:t>
      </w:r>
    </w:p>
    <w:p w14:paraId="2F7DAEA7" w14:textId="42FE60C8" w:rsidR="00C828EB" w:rsidRDefault="00C828EB" w:rsidP="008243AC">
      <w:pPr>
        <w:pStyle w:val="Default"/>
        <w:numPr>
          <w:ilvl w:val="1"/>
          <w:numId w:val="24"/>
        </w:numPr>
      </w:pPr>
      <w:r>
        <w:t xml:space="preserve">The </w:t>
      </w:r>
      <w:r w:rsidR="008243AC">
        <w:t xml:space="preserve">first </w:t>
      </w:r>
      <w:r>
        <w:t xml:space="preserve">requirement, to report the </w:t>
      </w:r>
      <w:r w:rsidR="008243AC">
        <w:t xml:space="preserve">Council’s </w:t>
      </w:r>
      <w:r>
        <w:t xml:space="preserve">performance </w:t>
      </w:r>
      <w:r w:rsidR="008243AC">
        <w:t xml:space="preserve">in improving local public services (including with partners) </w:t>
      </w:r>
      <w:r>
        <w:t xml:space="preserve">will be satisfied by the series of reports (of which this is one) that will be presented to the Council covering the whole of the Council’s performance for </w:t>
      </w:r>
      <w:r w:rsidR="00284D3B">
        <w:t>2019/20</w:t>
      </w:r>
      <w:r>
        <w:t xml:space="preserve">. </w:t>
      </w:r>
    </w:p>
    <w:p w14:paraId="03A20C05" w14:textId="77777777" w:rsidR="008243AC" w:rsidRDefault="008243AC" w:rsidP="008243AC">
      <w:pPr>
        <w:pStyle w:val="Default"/>
      </w:pPr>
    </w:p>
    <w:p w14:paraId="7AB3DD00" w14:textId="77777777" w:rsidR="008243AC" w:rsidRDefault="008243AC" w:rsidP="009C410D">
      <w:pPr>
        <w:pStyle w:val="Default"/>
        <w:numPr>
          <w:ilvl w:val="1"/>
          <w:numId w:val="24"/>
        </w:numPr>
      </w:pPr>
      <w:r>
        <w:t xml:space="preserve">The other requirements </w:t>
      </w:r>
      <w:r w:rsidR="009C410D">
        <w:t xml:space="preserve">of the Statutory Performance Direction </w:t>
      </w:r>
      <w:r>
        <w:t xml:space="preserve">will be satisfied by </w:t>
      </w:r>
      <w:r w:rsidR="009C410D">
        <w:t xml:space="preserve">a combination of </w:t>
      </w:r>
    </w:p>
    <w:p w14:paraId="61324A40" w14:textId="77777777" w:rsidR="009C410D" w:rsidRDefault="009C410D" w:rsidP="009C410D">
      <w:pPr>
        <w:pStyle w:val="Default"/>
      </w:pPr>
    </w:p>
    <w:p w14:paraId="61575FD3" w14:textId="77777777" w:rsidR="009C410D" w:rsidRDefault="009C410D" w:rsidP="009C410D">
      <w:pPr>
        <w:pStyle w:val="Default"/>
        <w:numPr>
          <w:ilvl w:val="0"/>
          <w:numId w:val="27"/>
        </w:numPr>
      </w:pPr>
      <w:r>
        <w:t xml:space="preserve">Update reports to the Fife Partnership regarding progress against the Plan for Fife, with reports also going to Policy and Co-ordination Committee. </w:t>
      </w:r>
    </w:p>
    <w:p w14:paraId="7004150A" w14:textId="77777777" w:rsidR="002F1B31" w:rsidRDefault="002F1B31" w:rsidP="002F1B31">
      <w:pPr>
        <w:pStyle w:val="Default"/>
        <w:ind w:left="1440"/>
      </w:pPr>
    </w:p>
    <w:p w14:paraId="67A81658" w14:textId="21562C35" w:rsidR="009C410D" w:rsidRDefault="009C410D" w:rsidP="009C410D">
      <w:pPr>
        <w:pStyle w:val="Default"/>
        <w:numPr>
          <w:ilvl w:val="0"/>
          <w:numId w:val="27"/>
        </w:numPr>
      </w:pPr>
      <w:r>
        <w:t>public performance reporting, assurance statements and governance arrangements.</w:t>
      </w:r>
    </w:p>
    <w:p w14:paraId="213916B4" w14:textId="77777777" w:rsidR="0044594A" w:rsidRDefault="0044594A" w:rsidP="0044594A">
      <w:pPr>
        <w:pStyle w:val="ListParagraph"/>
      </w:pPr>
    </w:p>
    <w:p w14:paraId="01EAA142" w14:textId="19FCDC1D" w:rsidR="0044594A" w:rsidRDefault="0044594A" w:rsidP="009C410D">
      <w:pPr>
        <w:pStyle w:val="Default"/>
        <w:numPr>
          <w:ilvl w:val="0"/>
          <w:numId w:val="27"/>
        </w:numPr>
      </w:pPr>
      <w:r>
        <w:t xml:space="preserve">Reviewing </w:t>
      </w:r>
      <w:r w:rsidR="00E24279">
        <w:t>the</w:t>
      </w:r>
      <w:r>
        <w:t xml:space="preserve"> External Audit Annual Report for </w:t>
      </w:r>
      <w:proofErr w:type="spellStart"/>
      <w:r>
        <w:t>it’s</w:t>
      </w:r>
      <w:proofErr w:type="spellEnd"/>
      <w:r>
        <w:t xml:space="preserve"> view on our Best Value performance and any action plans thereafter.</w:t>
      </w:r>
    </w:p>
    <w:p w14:paraId="274F7021" w14:textId="77777777" w:rsidR="0044594A" w:rsidRDefault="0044594A" w:rsidP="0044594A">
      <w:pPr>
        <w:pStyle w:val="ListParagraph"/>
      </w:pPr>
    </w:p>
    <w:p w14:paraId="5279D78F" w14:textId="55C063EB" w:rsidR="0044594A" w:rsidRDefault="00E24279" w:rsidP="009C410D">
      <w:pPr>
        <w:pStyle w:val="Default"/>
        <w:numPr>
          <w:ilvl w:val="0"/>
          <w:numId w:val="27"/>
        </w:numPr>
      </w:pPr>
      <w:r>
        <w:t xml:space="preserve">Carry out a Best Value </w:t>
      </w:r>
      <w:proofErr w:type="spellStart"/>
      <w:r>
        <w:t>Self Assessment</w:t>
      </w:r>
      <w:proofErr w:type="spellEnd"/>
      <w:r>
        <w:t xml:space="preserve"> using the updated Audit Scotland Guidance in conjunction with the Council’s Corporate Governance Statements.</w:t>
      </w:r>
    </w:p>
    <w:p w14:paraId="366E1598" w14:textId="77777777" w:rsidR="00C828EB" w:rsidRDefault="00C828EB" w:rsidP="0009444F">
      <w:pPr>
        <w:pStyle w:val="Default"/>
        <w:ind w:left="720" w:hanging="720"/>
      </w:pPr>
    </w:p>
    <w:p w14:paraId="383F4A13" w14:textId="77777777" w:rsidR="00490EFF" w:rsidRDefault="00C828EB" w:rsidP="0009444F">
      <w:pPr>
        <w:pStyle w:val="Default"/>
        <w:ind w:left="720" w:hanging="720"/>
      </w:pPr>
      <w:r>
        <w:t>1.</w:t>
      </w:r>
      <w:r w:rsidR="009C410D">
        <w:t>4</w:t>
      </w:r>
      <w:r>
        <w:t xml:space="preserve">. </w:t>
      </w:r>
      <w:r>
        <w:tab/>
        <w:t>Taken together, these reports will cover the whole of the Local Government Benchmarking Framework</w:t>
      </w:r>
      <w:r w:rsidR="003F30B3">
        <w:t>, plus selected service performance indicators that give a balanced picture of Council performance.</w:t>
      </w:r>
      <w:r>
        <w:t xml:space="preserve"> </w:t>
      </w:r>
    </w:p>
    <w:p w14:paraId="6F099D48" w14:textId="77777777" w:rsidR="00490EFF" w:rsidRDefault="00490EFF" w:rsidP="0009444F">
      <w:pPr>
        <w:pStyle w:val="Default"/>
        <w:ind w:left="720" w:hanging="720"/>
      </w:pPr>
    </w:p>
    <w:p w14:paraId="5EE3BFF3" w14:textId="3658A0D2" w:rsidR="0009444F" w:rsidRDefault="00490EFF" w:rsidP="0009444F">
      <w:pPr>
        <w:pStyle w:val="Default"/>
        <w:ind w:left="720" w:hanging="720"/>
      </w:pPr>
      <w:r>
        <w:t>1.5</w:t>
      </w:r>
      <w:r>
        <w:tab/>
        <w:t>This report deals primarily</w:t>
      </w:r>
      <w:r w:rsidR="002C5813">
        <w:t xml:space="preserve"> with the performance of the </w:t>
      </w:r>
      <w:r w:rsidR="008561F1">
        <w:t>Customer and Online</w:t>
      </w:r>
      <w:r w:rsidR="002C5813">
        <w:t xml:space="preserve"> Services, however it also includes several indicators that </w:t>
      </w:r>
      <w:r w:rsidR="008561F1">
        <w:t>are included in the F&amp;CS performance report due to operational and professional reporting lines</w:t>
      </w:r>
      <w:r w:rsidR="002C5813">
        <w:t xml:space="preserve">. </w:t>
      </w:r>
    </w:p>
    <w:p w14:paraId="6247C396" w14:textId="77777777" w:rsidR="00986992" w:rsidRDefault="00986992" w:rsidP="0009444F">
      <w:pPr>
        <w:pStyle w:val="Default"/>
        <w:ind w:left="720" w:hanging="720"/>
      </w:pPr>
    </w:p>
    <w:p w14:paraId="76274A6C" w14:textId="4CC34287" w:rsidR="00986992" w:rsidRDefault="00986992" w:rsidP="0009444F">
      <w:pPr>
        <w:pStyle w:val="Default"/>
        <w:ind w:left="720" w:hanging="720"/>
      </w:pPr>
      <w:r>
        <w:t>1.</w:t>
      </w:r>
      <w:r w:rsidR="002C5813">
        <w:t>6</w:t>
      </w:r>
      <w:r>
        <w:t xml:space="preserve"> </w:t>
      </w:r>
      <w:r>
        <w:tab/>
        <w:t xml:space="preserve">The appendix to this report is presented in the form of a balanced scorecard covering the areas of Customer, People, Responsiveness and Cost results. This is consistent with the format used for the </w:t>
      </w:r>
      <w:r w:rsidR="00284D3B">
        <w:t>2018/19</w:t>
      </w:r>
      <w:r>
        <w:t xml:space="preserve"> Public Performance Report and mirrors the approach used for internal management reporting throughout the year.</w:t>
      </w:r>
    </w:p>
    <w:p w14:paraId="79DC1253" w14:textId="0C224F67" w:rsidR="00C713FF" w:rsidRDefault="00C713FF" w:rsidP="0009444F">
      <w:pPr>
        <w:pStyle w:val="Default"/>
        <w:ind w:left="720" w:hanging="720"/>
      </w:pPr>
      <w:r>
        <w:lastRenderedPageBreak/>
        <w:t>1.7</w:t>
      </w:r>
      <w:r>
        <w:tab/>
        <w:t>It should be noted that this report presents the performance of the service pre-COVID 19 and a more up-to-date position was recently presented to Fife Council and P&amp;C Committee.</w:t>
      </w:r>
    </w:p>
    <w:p w14:paraId="5D480EBA" w14:textId="77777777" w:rsidR="00C713FF" w:rsidRDefault="00C713FF" w:rsidP="0009444F">
      <w:pPr>
        <w:pStyle w:val="Default"/>
        <w:ind w:left="720" w:hanging="720"/>
      </w:pPr>
    </w:p>
    <w:p w14:paraId="6D4A4512" w14:textId="77777777" w:rsidR="00E156C4" w:rsidRDefault="00E156C4" w:rsidP="005D6FDE">
      <w:pPr>
        <w:pStyle w:val="p1"/>
        <w:numPr>
          <w:ilvl w:val="0"/>
          <w:numId w:val="23"/>
        </w:numPr>
        <w:pBdr>
          <w:bottom w:val="single" w:sz="4" w:space="1" w:color="auto"/>
        </w:pBdr>
        <w:spacing w:before="240" w:after="120"/>
        <w:jc w:val="both"/>
        <w:rPr>
          <w:rFonts w:ascii="Arial" w:hAnsi="Arial" w:cs="Arial"/>
          <w:color w:val="auto"/>
          <w:sz w:val="22"/>
          <w:szCs w:val="22"/>
        </w:rPr>
      </w:pPr>
      <w:r>
        <w:rPr>
          <w:rStyle w:val="s1"/>
          <w:rFonts w:ascii="Arial" w:hAnsi="Arial"/>
          <w:b/>
          <w:color w:val="auto"/>
          <w:sz w:val="36"/>
          <w:szCs w:val="36"/>
        </w:rPr>
        <w:t>Conclusion</w:t>
      </w:r>
      <w:r w:rsidR="00F70710">
        <w:rPr>
          <w:rStyle w:val="s1"/>
          <w:rFonts w:ascii="Arial" w:hAnsi="Arial"/>
          <w:b/>
          <w:color w:val="auto"/>
          <w:sz w:val="36"/>
          <w:szCs w:val="36"/>
        </w:rPr>
        <w:t>s</w:t>
      </w:r>
      <w:r>
        <w:rPr>
          <w:rStyle w:val="s1"/>
          <w:rFonts w:ascii="Arial" w:hAnsi="Arial"/>
          <w:b/>
          <w:color w:val="auto"/>
          <w:sz w:val="36"/>
          <w:szCs w:val="36"/>
        </w:rPr>
        <w:t xml:space="preserve"> </w:t>
      </w:r>
    </w:p>
    <w:p w14:paraId="5548AB04" w14:textId="77777777" w:rsidR="00F31797" w:rsidRDefault="00F31797" w:rsidP="00986992">
      <w:pPr>
        <w:spacing w:before="0" w:after="0"/>
        <w:ind w:left="709" w:hanging="709"/>
        <w:jc w:val="both"/>
        <w:rPr>
          <w:rFonts w:ascii="Arial" w:hAnsi="Arial" w:cs="Arial"/>
          <w:szCs w:val="24"/>
        </w:rPr>
      </w:pPr>
    </w:p>
    <w:p w14:paraId="5FD58C72" w14:textId="77777777" w:rsidR="005D6FDE" w:rsidRDefault="005D6FDE" w:rsidP="005D6FDE">
      <w:pPr>
        <w:spacing w:before="0" w:after="0"/>
        <w:ind w:left="720" w:hanging="720"/>
        <w:jc w:val="both"/>
        <w:rPr>
          <w:rFonts w:ascii="Arial" w:hAnsi="Arial" w:cs="Arial"/>
          <w:szCs w:val="24"/>
        </w:rPr>
      </w:pPr>
      <w:r>
        <w:rPr>
          <w:rFonts w:ascii="Arial" w:hAnsi="Arial" w:cs="Arial"/>
          <w:szCs w:val="24"/>
        </w:rPr>
        <w:t>2.1</w:t>
      </w:r>
      <w:r>
        <w:rPr>
          <w:rFonts w:ascii="Arial" w:hAnsi="Arial" w:cs="Arial"/>
          <w:szCs w:val="24"/>
        </w:rPr>
        <w:tab/>
        <w:t>This report is the first in a series covering the whole of the Council’s performance against key indicators, including the Local Government Benchmarking framework.</w:t>
      </w:r>
    </w:p>
    <w:p w14:paraId="1E79E302" w14:textId="77777777" w:rsidR="005D6FDE" w:rsidRDefault="005D6FDE" w:rsidP="005D6FDE">
      <w:pPr>
        <w:spacing w:before="0" w:after="0"/>
        <w:ind w:left="720" w:hanging="720"/>
        <w:jc w:val="both"/>
        <w:rPr>
          <w:rFonts w:ascii="Arial" w:hAnsi="Arial" w:cs="Arial"/>
          <w:szCs w:val="24"/>
        </w:rPr>
      </w:pPr>
    </w:p>
    <w:p w14:paraId="4506854A" w14:textId="23002613" w:rsidR="005D6FDE" w:rsidRDefault="005D6FDE" w:rsidP="005D6FDE">
      <w:pPr>
        <w:spacing w:before="0" w:after="0"/>
        <w:ind w:left="720" w:hanging="720"/>
        <w:jc w:val="both"/>
        <w:rPr>
          <w:rFonts w:ascii="Arial" w:hAnsi="Arial" w:cs="Arial"/>
          <w:szCs w:val="24"/>
        </w:rPr>
      </w:pPr>
      <w:r>
        <w:rPr>
          <w:rFonts w:ascii="Arial" w:hAnsi="Arial" w:cs="Arial"/>
          <w:szCs w:val="24"/>
        </w:rPr>
        <w:t>2.2</w:t>
      </w:r>
      <w:r>
        <w:rPr>
          <w:rFonts w:ascii="Arial" w:hAnsi="Arial" w:cs="Arial"/>
          <w:szCs w:val="24"/>
        </w:rPr>
        <w:tab/>
        <w:t xml:space="preserve">The overall performance of the </w:t>
      </w:r>
      <w:r w:rsidR="008561F1">
        <w:rPr>
          <w:rFonts w:ascii="Arial" w:hAnsi="Arial" w:cs="Arial"/>
          <w:szCs w:val="24"/>
        </w:rPr>
        <w:t>Customer and Online Services</w:t>
      </w:r>
      <w:r>
        <w:rPr>
          <w:rFonts w:ascii="Arial" w:hAnsi="Arial" w:cs="Arial"/>
          <w:szCs w:val="24"/>
        </w:rPr>
        <w:t xml:space="preserve"> is positive</w:t>
      </w:r>
      <w:r w:rsidR="00547880">
        <w:rPr>
          <w:rFonts w:ascii="Arial" w:hAnsi="Arial" w:cs="Arial"/>
          <w:szCs w:val="24"/>
        </w:rPr>
        <w:t>; areas for improvement focus are identified in appendix 1</w:t>
      </w:r>
    </w:p>
    <w:p w14:paraId="26343F40" w14:textId="77777777" w:rsidR="005D6FDE" w:rsidRDefault="005D6FDE" w:rsidP="00986992">
      <w:pPr>
        <w:spacing w:before="0" w:after="0"/>
        <w:ind w:left="709" w:hanging="709"/>
        <w:jc w:val="both"/>
        <w:rPr>
          <w:rFonts w:ascii="Arial" w:hAnsi="Arial" w:cs="Arial"/>
          <w:szCs w:val="24"/>
        </w:rPr>
      </w:pPr>
    </w:p>
    <w:p w14:paraId="3D6B4C26" w14:textId="77777777" w:rsidR="00603139" w:rsidRPr="00910BBF" w:rsidRDefault="000532D5" w:rsidP="008B7AEF">
      <w:pPr>
        <w:spacing w:before="0" w:after="0"/>
        <w:rPr>
          <w:b/>
          <w:szCs w:val="24"/>
        </w:rPr>
      </w:pPr>
      <w:r w:rsidRPr="00910BBF">
        <w:rPr>
          <w:b/>
          <w:szCs w:val="24"/>
        </w:rPr>
        <w:t xml:space="preserve">List of </w:t>
      </w:r>
      <w:r w:rsidR="00603139" w:rsidRPr="00910BBF">
        <w:rPr>
          <w:b/>
          <w:szCs w:val="24"/>
        </w:rPr>
        <w:t>Appendices</w:t>
      </w:r>
      <w:r w:rsidR="00F85B98" w:rsidRPr="00910BBF">
        <w:rPr>
          <w:b/>
          <w:szCs w:val="24"/>
        </w:rPr>
        <w:t xml:space="preserve"> </w:t>
      </w:r>
    </w:p>
    <w:p w14:paraId="585515BC" w14:textId="77777777" w:rsidR="00603139" w:rsidRPr="00910BBF" w:rsidRDefault="00603139" w:rsidP="008B7AEF">
      <w:pPr>
        <w:spacing w:before="0" w:after="0"/>
        <w:rPr>
          <w:b/>
          <w:szCs w:val="24"/>
        </w:rPr>
      </w:pPr>
    </w:p>
    <w:p w14:paraId="532FB585" w14:textId="483FFDA3" w:rsidR="008B7AEF" w:rsidRDefault="003F30B3" w:rsidP="008B7AEF">
      <w:pPr>
        <w:spacing w:before="0" w:after="0"/>
        <w:jc w:val="both"/>
        <w:rPr>
          <w:szCs w:val="24"/>
        </w:rPr>
      </w:pPr>
      <w:r>
        <w:rPr>
          <w:szCs w:val="24"/>
        </w:rPr>
        <w:t>Appendix 1</w:t>
      </w:r>
      <w:r w:rsidR="00AA10C2">
        <w:rPr>
          <w:szCs w:val="24"/>
        </w:rPr>
        <w:t xml:space="preserve"> – </w:t>
      </w:r>
      <w:r w:rsidR="008561F1">
        <w:rPr>
          <w:szCs w:val="24"/>
        </w:rPr>
        <w:t>Customer and Online</w:t>
      </w:r>
      <w:r w:rsidR="00AA10C2">
        <w:rPr>
          <w:szCs w:val="24"/>
        </w:rPr>
        <w:t xml:space="preserve"> Services Performance Report </w:t>
      </w:r>
      <w:r w:rsidR="000F2A4C">
        <w:rPr>
          <w:szCs w:val="24"/>
        </w:rPr>
        <w:t>2019/20</w:t>
      </w:r>
    </w:p>
    <w:p w14:paraId="79EDA5E8" w14:textId="1B4CD419" w:rsidR="000F2A4C" w:rsidRPr="00A82F98" w:rsidRDefault="000F2A4C" w:rsidP="008B7AEF">
      <w:pPr>
        <w:spacing w:before="0" w:after="0"/>
        <w:jc w:val="both"/>
        <w:rPr>
          <w:color w:val="FF0000"/>
          <w:szCs w:val="24"/>
        </w:rPr>
      </w:pPr>
      <w:r>
        <w:rPr>
          <w:szCs w:val="24"/>
        </w:rPr>
        <w:t xml:space="preserve">Appendix 2 – </w:t>
      </w:r>
      <w:r w:rsidR="00AC72E6">
        <w:rPr>
          <w:szCs w:val="24"/>
        </w:rPr>
        <w:t>Workforce Profile</w:t>
      </w:r>
      <w:r w:rsidR="003A2F0B">
        <w:rPr>
          <w:szCs w:val="24"/>
        </w:rPr>
        <w:t xml:space="preserve"> </w:t>
      </w:r>
    </w:p>
    <w:p w14:paraId="47D5840C" w14:textId="6D7186F7" w:rsidR="00AC72E6" w:rsidRPr="00A82F98" w:rsidRDefault="000F2A4C" w:rsidP="008B7AEF">
      <w:pPr>
        <w:spacing w:before="0" w:after="0"/>
        <w:jc w:val="both"/>
        <w:rPr>
          <w:color w:val="FF0000"/>
          <w:szCs w:val="24"/>
        </w:rPr>
      </w:pPr>
      <w:r>
        <w:rPr>
          <w:szCs w:val="24"/>
        </w:rPr>
        <w:t xml:space="preserve">Appendix 3 </w:t>
      </w:r>
      <w:r w:rsidR="00AC72E6">
        <w:rPr>
          <w:szCs w:val="24"/>
        </w:rPr>
        <w:t>–</w:t>
      </w:r>
      <w:r>
        <w:rPr>
          <w:szCs w:val="24"/>
        </w:rPr>
        <w:t xml:space="preserve"> </w:t>
      </w:r>
      <w:r w:rsidR="00AC72E6">
        <w:rPr>
          <w:szCs w:val="24"/>
        </w:rPr>
        <w:t>Annual Workforce Data</w:t>
      </w:r>
      <w:r w:rsidR="00A82F98">
        <w:rPr>
          <w:szCs w:val="24"/>
        </w:rPr>
        <w:t xml:space="preserve"> </w:t>
      </w:r>
    </w:p>
    <w:p w14:paraId="6853A28E" w14:textId="77777777" w:rsidR="00193B24" w:rsidRDefault="00193B24" w:rsidP="008B7AEF">
      <w:pPr>
        <w:pStyle w:val="Heading4"/>
        <w:spacing w:before="0" w:after="0"/>
        <w:rPr>
          <w:szCs w:val="24"/>
        </w:rPr>
      </w:pPr>
    </w:p>
    <w:p w14:paraId="6B90095C" w14:textId="77777777" w:rsidR="000532D5" w:rsidRDefault="008B7AEF" w:rsidP="00BF0181">
      <w:pPr>
        <w:pStyle w:val="Heading4"/>
        <w:spacing w:before="0" w:after="0"/>
        <w:rPr>
          <w:szCs w:val="24"/>
        </w:rPr>
      </w:pPr>
      <w:r w:rsidRPr="00910BBF">
        <w:rPr>
          <w:szCs w:val="24"/>
        </w:rPr>
        <w:t>Report Contact</w:t>
      </w:r>
    </w:p>
    <w:p w14:paraId="0FC3FE38" w14:textId="777EB511" w:rsidR="006B7E99" w:rsidRDefault="00AC72E6" w:rsidP="008B7AEF">
      <w:pPr>
        <w:spacing w:before="0" w:after="0"/>
        <w:rPr>
          <w:szCs w:val="24"/>
        </w:rPr>
      </w:pPr>
      <w:r>
        <w:rPr>
          <w:szCs w:val="24"/>
        </w:rPr>
        <w:t>Jacqui Prokes</w:t>
      </w:r>
    </w:p>
    <w:p w14:paraId="6CFC5E1E" w14:textId="3EE35F53" w:rsidR="003F30B3" w:rsidRDefault="003F30B3" w:rsidP="008B7AEF">
      <w:pPr>
        <w:spacing w:before="0" w:after="0"/>
        <w:rPr>
          <w:szCs w:val="24"/>
        </w:rPr>
      </w:pPr>
      <w:r>
        <w:rPr>
          <w:szCs w:val="24"/>
        </w:rPr>
        <w:t xml:space="preserve">Corporate Development </w:t>
      </w:r>
      <w:r w:rsidR="00AC72E6">
        <w:rPr>
          <w:szCs w:val="24"/>
        </w:rPr>
        <w:t>Lead Officer</w:t>
      </w:r>
    </w:p>
    <w:p w14:paraId="28B39272" w14:textId="77777777" w:rsidR="003F30B3" w:rsidRDefault="003F30B3" w:rsidP="008B7AEF">
      <w:pPr>
        <w:spacing w:before="0" w:after="0"/>
        <w:rPr>
          <w:szCs w:val="24"/>
        </w:rPr>
      </w:pPr>
      <w:r>
        <w:rPr>
          <w:szCs w:val="24"/>
        </w:rPr>
        <w:t>Communities Directorate</w:t>
      </w:r>
    </w:p>
    <w:p w14:paraId="0C05E879" w14:textId="5E6CB6C4" w:rsidR="002125C9" w:rsidRDefault="00353AE1" w:rsidP="008B7AEF">
      <w:pPr>
        <w:spacing w:before="0" w:after="0"/>
        <w:rPr>
          <w:szCs w:val="24"/>
        </w:rPr>
      </w:pPr>
      <w:hyperlink r:id="rId9" w:history="1">
        <w:r w:rsidRPr="00FA7D2D">
          <w:rPr>
            <w:rStyle w:val="Hyperlink"/>
            <w:szCs w:val="24"/>
          </w:rPr>
          <w:t>Jacqui.prokes@fife.gov.uk</w:t>
        </w:r>
      </w:hyperlink>
    </w:p>
    <w:p w14:paraId="2D145489" w14:textId="0BAC6F8C" w:rsidR="00353AE1" w:rsidRDefault="00353AE1" w:rsidP="008B7AEF">
      <w:pPr>
        <w:spacing w:before="0" w:after="0"/>
        <w:rPr>
          <w:szCs w:val="24"/>
        </w:rPr>
      </w:pPr>
    </w:p>
    <w:p w14:paraId="71400860" w14:textId="408E45C2" w:rsidR="00353AE1" w:rsidRDefault="00353AE1" w:rsidP="008B7AEF">
      <w:pPr>
        <w:spacing w:before="0" w:after="0"/>
        <w:rPr>
          <w:szCs w:val="24"/>
        </w:rPr>
      </w:pPr>
    </w:p>
    <w:p w14:paraId="2D16F91F" w14:textId="655FE557" w:rsidR="00353AE1" w:rsidRDefault="00353AE1" w:rsidP="008B7AEF">
      <w:pPr>
        <w:spacing w:before="0" w:after="0"/>
        <w:rPr>
          <w:szCs w:val="24"/>
        </w:rPr>
      </w:pPr>
    </w:p>
    <w:p w14:paraId="2AEE1499" w14:textId="0A98EAD5" w:rsidR="00353AE1" w:rsidRDefault="00353AE1" w:rsidP="008B7AEF">
      <w:pPr>
        <w:spacing w:before="0" w:after="0"/>
        <w:rPr>
          <w:szCs w:val="24"/>
        </w:rPr>
      </w:pPr>
    </w:p>
    <w:p w14:paraId="2775982A" w14:textId="655B523B" w:rsidR="00353AE1" w:rsidRDefault="00353AE1" w:rsidP="008B7AEF">
      <w:pPr>
        <w:spacing w:before="0" w:after="0"/>
        <w:rPr>
          <w:szCs w:val="24"/>
        </w:rPr>
      </w:pPr>
    </w:p>
    <w:p w14:paraId="7B6E8C81" w14:textId="5B11205B" w:rsidR="00353AE1" w:rsidRDefault="00353AE1" w:rsidP="008B7AEF">
      <w:pPr>
        <w:spacing w:before="0" w:after="0"/>
        <w:rPr>
          <w:szCs w:val="24"/>
        </w:rPr>
      </w:pPr>
    </w:p>
    <w:p w14:paraId="3B1327B0" w14:textId="68E6629A" w:rsidR="00353AE1" w:rsidRDefault="00353AE1" w:rsidP="008B7AEF">
      <w:pPr>
        <w:spacing w:before="0" w:after="0"/>
        <w:rPr>
          <w:szCs w:val="24"/>
        </w:rPr>
      </w:pPr>
    </w:p>
    <w:p w14:paraId="69619BB7" w14:textId="609F994A" w:rsidR="00353AE1" w:rsidRDefault="00353AE1" w:rsidP="008B7AEF">
      <w:pPr>
        <w:spacing w:before="0" w:after="0"/>
        <w:rPr>
          <w:szCs w:val="24"/>
        </w:rPr>
      </w:pPr>
    </w:p>
    <w:p w14:paraId="65C8959B" w14:textId="5B204076" w:rsidR="00353AE1" w:rsidRDefault="00353AE1" w:rsidP="008B7AEF">
      <w:pPr>
        <w:spacing w:before="0" w:after="0"/>
        <w:rPr>
          <w:szCs w:val="24"/>
        </w:rPr>
      </w:pPr>
    </w:p>
    <w:p w14:paraId="7F55D0F2" w14:textId="1A3DCB34" w:rsidR="00353AE1" w:rsidRDefault="00353AE1" w:rsidP="008B7AEF">
      <w:pPr>
        <w:spacing w:before="0" w:after="0"/>
        <w:rPr>
          <w:szCs w:val="24"/>
        </w:rPr>
      </w:pPr>
    </w:p>
    <w:p w14:paraId="4FA943F6" w14:textId="2BA10571" w:rsidR="00353AE1" w:rsidRDefault="00353AE1" w:rsidP="008B7AEF">
      <w:pPr>
        <w:spacing w:before="0" w:after="0"/>
        <w:rPr>
          <w:szCs w:val="24"/>
        </w:rPr>
      </w:pPr>
    </w:p>
    <w:p w14:paraId="5B5A880E" w14:textId="3B227048" w:rsidR="00353AE1" w:rsidRDefault="00353AE1" w:rsidP="008B7AEF">
      <w:pPr>
        <w:spacing w:before="0" w:after="0"/>
        <w:rPr>
          <w:szCs w:val="24"/>
        </w:rPr>
      </w:pPr>
    </w:p>
    <w:p w14:paraId="333A42EA" w14:textId="5D25CCCB" w:rsidR="00353AE1" w:rsidRDefault="00353AE1" w:rsidP="008B7AEF">
      <w:pPr>
        <w:spacing w:before="0" w:after="0"/>
        <w:rPr>
          <w:szCs w:val="24"/>
        </w:rPr>
      </w:pPr>
    </w:p>
    <w:p w14:paraId="0E2E7405" w14:textId="2725A95A" w:rsidR="00353AE1" w:rsidRDefault="00353AE1" w:rsidP="008B7AEF">
      <w:pPr>
        <w:spacing w:before="0" w:after="0"/>
        <w:rPr>
          <w:szCs w:val="24"/>
        </w:rPr>
      </w:pPr>
    </w:p>
    <w:p w14:paraId="6ADEAAC0" w14:textId="7B496568" w:rsidR="00353AE1" w:rsidRDefault="00353AE1" w:rsidP="008B7AEF">
      <w:pPr>
        <w:spacing w:before="0" w:after="0"/>
        <w:rPr>
          <w:szCs w:val="24"/>
        </w:rPr>
      </w:pPr>
    </w:p>
    <w:p w14:paraId="49C44915" w14:textId="0A347FAD" w:rsidR="00353AE1" w:rsidRDefault="00353AE1" w:rsidP="008B7AEF">
      <w:pPr>
        <w:spacing w:before="0" w:after="0"/>
        <w:rPr>
          <w:szCs w:val="24"/>
        </w:rPr>
      </w:pPr>
    </w:p>
    <w:p w14:paraId="1B12C98C" w14:textId="3ACAAE17" w:rsidR="00353AE1" w:rsidRDefault="00353AE1" w:rsidP="008B7AEF">
      <w:pPr>
        <w:spacing w:before="0" w:after="0"/>
        <w:rPr>
          <w:szCs w:val="24"/>
        </w:rPr>
      </w:pPr>
    </w:p>
    <w:p w14:paraId="0C8584F8" w14:textId="794AE50C" w:rsidR="00353AE1" w:rsidRDefault="00353AE1" w:rsidP="008B7AEF">
      <w:pPr>
        <w:spacing w:before="0" w:after="0"/>
        <w:rPr>
          <w:szCs w:val="24"/>
        </w:rPr>
      </w:pPr>
    </w:p>
    <w:p w14:paraId="4941FE16" w14:textId="03BD6E3C" w:rsidR="00353AE1" w:rsidRDefault="00353AE1" w:rsidP="008B7AEF">
      <w:pPr>
        <w:spacing w:before="0" w:after="0"/>
        <w:rPr>
          <w:szCs w:val="24"/>
        </w:rPr>
      </w:pPr>
    </w:p>
    <w:p w14:paraId="153A97EA" w14:textId="03E2B49E" w:rsidR="00353AE1" w:rsidRDefault="00353AE1" w:rsidP="008B7AEF">
      <w:pPr>
        <w:spacing w:before="0" w:after="0"/>
        <w:rPr>
          <w:szCs w:val="24"/>
        </w:rPr>
      </w:pPr>
    </w:p>
    <w:p w14:paraId="2B37C540" w14:textId="1596F667" w:rsidR="00353AE1" w:rsidRDefault="00353AE1" w:rsidP="008B7AEF">
      <w:pPr>
        <w:spacing w:before="0" w:after="0"/>
        <w:rPr>
          <w:szCs w:val="24"/>
        </w:rPr>
      </w:pPr>
    </w:p>
    <w:p w14:paraId="5B779233" w14:textId="1530A4FE" w:rsidR="00353AE1" w:rsidRDefault="00353AE1" w:rsidP="008B7AEF">
      <w:pPr>
        <w:spacing w:before="0" w:after="0"/>
        <w:rPr>
          <w:szCs w:val="24"/>
        </w:rPr>
      </w:pPr>
    </w:p>
    <w:p w14:paraId="06365E6C" w14:textId="6ED106E9" w:rsidR="00353AE1" w:rsidRDefault="00353AE1" w:rsidP="008B7AEF">
      <w:pPr>
        <w:spacing w:before="0" w:after="0"/>
        <w:rPr>
          <w:szCs w:val="24"/>
        </w:rPr>
      </w:pPr>
    </w:p>
    <w:p w14:paraId="640302E4" w14:textId="6292D48B" w:rsidR="00353AE1" w:rsidRDefault="00353AE1" w:rsidP="008B7AEF">
      <w:pPr>
        <w:spacing w:before="0" w:after="0"/>
        <w:rPr>
          <w:szCs w:val="24"/>
        </w:rPr>
      </w:pPr>
    </w:p>
    <w:p w14:paraId="35F0D208" w14:textId="72B64835" w:rsidR="00353AE1" w:rsidRDefault="00353AE1" w:rsidP="008B7AEF">
      <w:pPr>
        <w:spacing w:before="0" w:after="0"/>
        <w:rPr>
          <w:szCs w:val="24"/>
        </w:rPr>
      </w:pPr>
    </w:p>
    <w:p w14:paraId="55FD0826" w14:textId="672E6D0C" w:rsidR="00353AE1" w:rsidRDefault="00353AE1" w:rsidP="008B7AEF">
      <w:pPr>
        <w:spacing w:before="0" w:after="0"/>
        <w:rPr>
          <w:szCs w:val="24"/>
        </w:rPr>
      </w:pPr>
    </w:p>
    <w:p w14:paraId="7B1A5DFE" w14:textId="3D94C40C" w:rsidR="00353AE1" w:rsidRDefault="00353AE1" w:rsidP="008B7AEF">
      <w:pPr>
        <w:spacing w:before="0" w:after="0"/>
        <w:rPr>
          <w:szCs w:val="24"/>
        </w:rPr>
      </w:pPr>
    </w:p>
    <w:p w14:paraId="4235A5F8" w14:textId="77777777" w:rsidR="00353AE1" w:rsidRPr="00353AE1" w:rsidRDefault="00353AE1" w:rsidP="00353AE1">
      <w:pPr>
        <w:rPr>
          <w:rFonts w:asciiTheme="minorBidi" w:eastAsiaTheme="minorHAnsi" w:hAnsiTheme="minorBidi" w:cstheme="minorBidi"/>
          <w:color w:val="1F4E79" w:themeColor="accent5" w:themeShade="80"/>
          <w:szCs w:val="24"/>
          <w:lang w:eastAsia="en-US"/>
        </w:rPr>
      </w:pPr>
    </w:p>
    <w:p w14:paraId="1F2CFB14" w14:textId="77777777" w:rsidR="00353AE1" w:rsidRPr="00353AE1" w:rsidRDefault="00353AE1" w:rsidP="00353AE1">
      <w:pPr>
        <w:ind w:left="426"/>
        <w:rPr>
          <w:rFonts w:asciiTheme="minorBidi" w:eastAsiaTheme="minorHAnsi" w:hAnsiTheme="minorBidi" w:cstheme="minorBidi"/>
          <w:color w:val="1F4E79" w:themeColor="accent5" w:themeShade="80"/>
          <w:szCs w:val="24"/>
          <w:lang w:eastAsia="en-US"/>
        </w:rPr>
      </w:pPr>
      <w:r w:rsidRPr="00353AE1">
        <w:rPr>
          <w:rFonts w:asciiTheme="minorBidi" w:eastAsiaTheme="minorHAnsi" w:hAnsiTheme="minorBidi" w:cstheme="minorBidi"/>
          <w:noProof/>
          <w:color w:val="1F4E79" w:themeColor="accent5" w:themeShade="80"/>
          <w:szCs w:val="24"/>
        </w:rPr>
        <w:drawing>
          <wp:inline distT="0" distB="0" distL="0" distR="0" wp14:anchorId="7B9F14B0" wp14:editId="20E98C77">
            <wp:extent cx="2215166" cy="10037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C_Logo_co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2317" cy="1070426"/>
                    </a:xfrm>
                    <a:prstGeom prst="rect">
                      <a:avLst/>
                    </a:prstGeom>
                  </pic:spPr>
                </pic:pic>
              </a:graphicData>
            </a:graphic>
          </wp:inline>
        </w:drawing>
      </w:r>
    </w:p>
    <w:p w14:paraId="1BA8FBE5" w14:textId="77777777" w:rsidR="00353AE1" w:rsidRPr="00353AE1" w:rsidRDefault="00353AE1" w:rsidP="00353AE1">
      <w:pPr>
        <w:rPr>
          <w:rFonts w:asciiTheme="minorBidi" w:eastAsiaTheme="minorHAnsi" w:hAnsiTheme="minorBidi" w:cstheme="minorBidi"/>
          <w:color w:val="1F4E79" w:themeColor="accent5" w:themeShade="80"/>
          <w:szCs w:val="24"/>
          <w:lang w:eastAsia="en-US"/>
        </w:rPr>
      </w:pPr>
    </w:p>
    <w:p w14:paraId="3CD43A90" w14:textId="77777777" w:rsidR="00353AE1" w:rsidRPr="00353AE1" w:rsidRDefault="00353AE1" w:rsidP="00353AE1">
      <w:pPr>
        <w:rPr>
          <w:rFonts w:asciiTheme="minorBidi" w:eastAsiaTheme="minorHAnsi" w:hAnsiTheme="minorBidi" w:cstheme="minorBidi"/>
          <w:color w:val="1F4E79" w:themeColor="accent5" w:themeShade="80"/>
          <w:szCs w:val="24"/>
          <w:lang w:eastAsia="en-US"/>
        </w:rPr>
      </w:pPr>
    </w:p>
    <w:p w14:paraId="34D76CE5" w14:textId="77777777" w:rsidR="00353AE1" w:rsidRPr="00353AE1" w:rsidRDefault="00353AE1" w:rsidP="00353AE1">
      <w:pPr>
        <w:keepNext/>
        <w:keepLines/>
        <w:spacing w:before="240" w:after="0"/>
        <w:ind w:right="821"/>
        <w:outlineLvl w:val="0"/>
        <w:rPr>
          <w:rFonts w:ascii="Arial" w:eastAsiaTheme="majorEastAsia" w:hAnsi="Arial" w:cstheme="majorBidi"/>
          <w:color w:val="1F4E79" w:themeColor="accent5" w:themeShade="80"/>
          <w:sz w:val="56"/>
          <w:szCs w:val="96"/>
          <w:lang w:eastAsia="en-US"/>
        </w:rPr>
      </w:pPr>
      <w:r w:rsidRPr="00353AE1">
        <w:rPr>
          <w:rFonts w:ascii="Arial" w:eastAsiaTheme="majorEastAsia" w:hAnsi="Arial" w:cstheme="majorBidi"/>
          <w:color w:val="1F4E79" w:themeColor="accent5" w:themeShade="80"/>
          <w:sz w:val="56"/>
          <w:szCs w:val="96"/>
          <w:lang w:eastAsia="en-US"/>
        </w:rPr>
        <w:t>Customer &amp; Online Services</w:t>
      </w:r>
    </w:p>
    <w:p w14:paraId="47796B14" w14:textId="77777777" w:rsidR="00353AE1" w:rsidRPr="00353AE1" w:rsidRDefault="00353AE1" w:rsidP="00353AE1">
      <w:pPr>
        <w:keepNext/>
        <w:keepLines/>
        <w:spacing w:before="240" w:after="0"/>
        <w:ind w:right="821"/>
        <w:outlineLvl w:val="0"/>
        <w:rPr>
          <w:rFonts w:ascii="Arial" w:eastAsiaTheme="majorEastAsia" w:hAnsi="Arial" w:cstheme="majorBidi"/>
          <w:color w:val="1F4E79" w:themeColor="accent5" w:themeShade="80"/>
          <w:sz w:val="56"/>
          <w:szCs w:val="96"/>
          <w:lang w:eastAsia="en-US"/>
        </w:rPr>
      </w:pPr>
      <w:r w:rsidRPr="00353AE1">
        <w:rPr>
          <w:rFonts w:ascii="Arial" w:eastAsiaTheme="majorEastAsia" w:hAnsi="Arial" w:cstheme="majorBidi"/>
          <w:color w:val="1F4E79" w:themeColor="accent5" w:themeShade="80"/>
          <w:sz w:val="56"/>
          <w:szCs w:val="96"/>
          <w:lang w:eastAsia="en-US"/>
        </w:rPr>
        <w:t>Performance Report 2019/20</w:t>
      </w:r>
    </w:p>
    <w:p w14:paraId="180DA899" w14:textId="77777777" w:rsidR="00353AE1" w:rsidRPr="00353AE1" w:rsidRDefault="00353AE1" w:rsidP="00353AE1">
      <w:pPr>
        <w:rPr>
          <w:rFonts w:asciiTheme="minorBidi" w:eastAsiaTheme="minorHAnsi" w:hAnsiTheme="minorBidi" w:cstheme="minorBidi"/>
          <w:color w:val="1F4E79"/>
          <w:sz w:val="36"/>
          <w:szCs w:val="36"/>
          <w:lang w:eastAsia="en-US"/>
        </w:rPr>
      </w:pPr>
    </w:p>
    <w:tbl>
      <w:tblPr>
        <w:tblStyle w:val="TableGrid1"/>
        <w:tblW w:w="4997" w:type="pct"/>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4811"/>
        <w:gridCol w:w="4811"/>
      </w:tblGrid>
      <w:tr w:rsidR="00353AE1" w:rsidRPr="00353AE1" w14:paraId="2A033F3F" w14:textId="77777777" w:rsidTr="00B26970">
        <w:trPr>
          <w:trHeight w:val="8720"/>
        </w:trPr>
        <w:tc>
          <w:tcPr>
            <w:tcW w:w="2500" w:type="pct"/>
          </w:tcPr>
          <w:p w14:paraId="5F09B040" w14:textId="77777777" w:rsidR="00353AE1" w:rsidRPr="00353AE1" w:rsidRDefault="00353AE1" w:rsidP="00353AE1">
            <w:pPr>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 xml:space="preserve">This report provides a strategic overview of performance against key indicators. We’ve worked hard to maintain and improve performance. </w:t>
            </w:r>
          </w:p>
          <w:p w14:paraId="11BB69B5" w14:textId="77777777" w:rsidR="00353AE1" w:rsidRPr="00353AE1" w:rsidRDefault="00353AE1" w:rsidP="00353AE1">
            <w:pPr>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In September as part of our approach to consolidate the many resources and teams who are handling external customer contact and online information, Revenues and Customer Service Improvement came together to form the new Customer &amp; Online Services.</w:t>
            </w:r>
          </w:p>
          <w:p w14:paraId="5DD31227" w14:textId="77777777" w:rsidR="00353AE1" w:rsidRPr="00353AE1" w:rsidRDefault="00353AE1" w:rsidP="00353AE1">
            <w:pPr>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This is reflected in this report.</w:t>
            </w:r>
          </w:p>
          <w:p w14:paraId="056C545D" w14:textId="77777777" w:rsidR="00353AE1" w:rsidRPr="00353AE1" w:rsidRDefault="00353AE1" w:rsidP="00353AE1">
            <w:pPr>
              <w:spacing w:before="100" w:beforeAutospacing="1" w:after="100" w:afterAutospacing="1"/>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 xml:space="preserve">This new operation is not just an integration of initial customer contact but where applicable the integration of information and advice management, assessment and work scheduling. </w:t>
            </w:r>
          </w:p>
          <w:p w14:paraId="27ED205F" w14:textId="77777777" w:rsidR="00353AE1" w:rsidRPr="00353AE1" w:rsidRDefault="00353AE1" w:rsidP="00353AE1">
            <w:pPr>
              <w:spacing w:before="100" w:beforeAutospacing="1" w:after="100" w:afterAutospacing="1"/>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The focus will be to continue to move to digital solutions which will also be helped by this new approach.</w:t>
            </w:r>
          </w:p>
          <w:p w14:paraId="4EFF92E9" w14:textId="77777777" w:rsidR="00353AE1" w:rsidRPr="00353AE1" w:rsidRDefault="00353AE1" w:rsidP="00353AE1">
            <w:pPr>
              <w:spacing w:before="100" w:beforeAutospacing="1" w:after="100" w:afterAutospacing="1"/>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In 19/20</w:t>
            </w:r>
          </w:p>
          <w:p w14:paraId="3DB3C98A" w14:textId="77777777" w:rsidR="00353AE1" w:rsidRPr="00353AE1" w:rsidRDefault="00353AE1" w:rsidP="00353AE1">
            <w:pPr>
              <w:numPr>
                <w:ilvl w:val="0"/>
                <w:numId w:val="29"/>
              </w:numPr>
              <w:contextualSpacing/>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 xml:space="preserve">We launched our new website fife.gov.uk </w:t>
            </w:r>
          </w:p>
          <w:p w14:paraId="35478541" w14:textId="77777777" w:rsidR="00353AE1" w:rsidRPr="00353AE1" w:rsidRDefault="00353AE1" w:rsidP="00353AE1">
            <w:pPr>
              <w:numPr>
                <w:ilvl w:val="0"/>
                <w:numId w:val="28"/>
              </w:numPr>
              <w:ind w:left="720"/>
              <w:contextualSpacing/>
              <w:rPr>
                <w:rFonts w:ascii="Arial" w:eastAsiaTheme="minorHAnsi" w:hAnsi="Arial" w:cs="Arial"/>
                <w:color w:val="1F4E79" w:themeColor="accent5" w:themeShade="80"/>
              </w:rPr>
            </w:pPr>
          </w:p>
          <w:p w14:paraId="13CFEB74" w14:textId="77777777" w:rsidR="00353AE1" w:rsidRPr="00353AE1" w:rsidRDefault="00353AE1" w:rsidP="00353AE1">
            <w:pPr>
              <w:numPr>
                <w:ilvl w:val="0"/>
                <w:numId w:val="29"/>
              </w:numPr>
              <w:contextualSpacing/>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Set up a new service to improve our approach to customers in a changing environment</w:t>
            </w:r>
          </w:p>
          <w:p w14:paraId="2A8876A4" w14:textId="77777777" w:rsidR="00353AE1" w:rsidRPr="00353AE1" w:rsidRDefault="00353AE1" w:rsidP="00353AE1">
            <w:pPr>
              <w:rPr>
                <w:rFonts w:ascii="Arial" w:eastAsiaTheme="minorHAnsi" w:hAnsi="Arial" w:cs="Arial"/>
                <w:color w:val="1F4E79" w:themeColor="accent5" w:themeShade="80"/>
              </w:rPr>
            </w:pPr>
          </w:p>
        </w:tc>
        <w:tc>
          <w:tcPr>
            <w:tcW w:w="2500" w:type="pct"/>
          </w:tcPr>
          <w:p w14:paraId="503C3F94" w14:textId="77777777" w:rsidR="00353AE1" w:rsidRPr="00353AE1" w:rsidRDefault="00353AE1" w:rsidP="00353AE1">
            <w:pPr>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We continue to face significant challenges, particularly given the pandemic that has disrupted 20/21. However, we will</w:t>
            </w:r>
          </w:p>
          <w:p w14:paraId="325FEDFA" w14:textId="77777777" w:rsidR="00353AE1" w:rsidRPr="00353AE1" w:rsidRDefault="00353AE1" w:rsidP="00353AE1">
            <w:pPr>
              <w:numPr>
                <w:ilvl w:val="0"/>
                <w:numId w:val="28"/>
              </w:numPr>
              <w:ind w:left="720"/>
              <w:contextualSpacing/>
              <w:rPr>
                <w:rFonts w:ascii="Arial" w:eastAsiaTheme="minorHAnsi" w:hAnsi="Arial" w:cs="Arial"/>
                <w:color w:val="1F4E79" w:themeColor="accent5" w:themeShade="80"/>
              </w:rPr>
            </w:pPr>
          </w:p>
          <w:p w14:paraId="2539682A" w14:textId="77777777" w:rsidR="00353AE1" w:rsidRPr="00353AE1" w:rsidRDefault="00353AE1" w:rsidP="00353AE1">
            <w:pPr>
              <w:numPr>
                <w:ilvl w:val="0"/>
                <w:numId w:val="29"/>
              </w:numPr>
              <w:contextualSpacing/>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Increase the numbers of services available online and improve the information available on fife.gov.uk.</w:t>
            </w:r>
          </w:p>
          <w:p w14:paraId="265DCCA8" w14:textId="77777777" w:rsidR="00353AE1" w:rsidRPr="00353AE1" w:rsidRDefault="00353AE1" w:rsidP="00353AE1">
            <w:pPr>
              <w:numPr>
                <w:ilvl w:val="0"/>
                <w:numId w:val="28"/>
              </w:numPr>
              <w:ind w:left="720"/>
              <w:contextualSpacing/>
              <w:rPr>
                <w:rFonts w:ascii="Arial" w:eastAsiaTheme="minorHAnsi" w:hAnsi="Arial" w:cs="Arial"/>
                <w:color w:val="1F4E79" w:themeColor="accent5" w:themeShade="80"/>
              </w:rPr>
            </w:pPr>
          </w:p>
          <w:p w14:paraId="778101C0" w14:textId="77777777" w:rsidR="00353AE1" w:rsidRPr="00353AE1" w:rsidRDefault="00353AE1" w:rsidP="00353AE1">
            <w:pPr>
              <w:numPr>
                <w:ilvl w:val="0"/>
                <w:numId w:val="29"/>
              </w:numPr>
              <w:contextualSpacing/>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 xml:space="preserve">Continue to monitor our performance particularly in under pressure areas such as the Contact Centre and the Information Management team. </w:t>
            </w:r>
          </w:p>
          <w:p w14:paraId="2B2D0FD9" w14:textId="77777777" w:rsidR="00353AE1" w:rsidRPr="00353AE1" w:rsidRDefault="00353AE1" w:rsidP="00353AE1">
            <w:pPr>
              <w:numPr>
                <w:ilvl w:val="0"/>
                <w:numId w:val="28"/>
              </w:numPr>
              <w:ind w:left="720"/>
              <w:contextualSpacing/>
              <w:rPr>
                <w:rFonts w:ascii="Arial" w:eastAsiaTheme="minorHAnsi" w:hAnsi="Arial" w:cs="Arial"/>
                <w:color w:val="1F4E79" w:themeColor="accent5" w:themeShade="80"/>
              </w:rPr>
            </w:pPr>
          </w:p>
          <w:p w14:paraId="7AC5BD4A" w14:textId="77777777" w:rsidR="00353AE1" w:rsidRPr="00353AE1" w:rsidRDefault="00353AE1" w:rsidP="00353AE1">
            <w:pPr>
              <w:numPr>
                <w:ilvl w:val="0"/>
                <w:numId w:val="29"/>
              </w:numPr>
              <w:contextualSpacing/>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Review the role of our face to face operation as it adapts to the new situation</w:t>
            </w:r>
          </w:p>
          <w:p w14:paraId="0EFBA856" w14:textId="77777777" w:rsidR="00353AE1" w:rsidRPr="00353AE1" w:rsidRDefault="00353AE1" w:rsidP="00353AE1">
            <w:pPr>
              <w:numPr>
                <w:ilvl w:val="0"/>
                <w:numId w:val="28"/>
              </w:numPr>
              <w:ind w:left="720"/>
              <w:contextualSpacing/>
              <w:rPr>
                <w:rFonts w:ascii="Arial" w:eastAsiaTheme="minorHAnsi" w:hAnsi="Arial" w:cs="Arial"/>
                <w:color w:val="1F4E79" w:themeColor="accent5" w:themeShade="80"/>
              </w:rPr>
            </w:pPr>
          </w:p>
          <w:p w14:paraId="6775A6CF" w14:textId="77777777" w:rsidR="00353AE1" w:rsidRPr="00353AE1" w:rsidRDefault="00353AE1" w:rsidP="00353AE1">
            <w:pPr>
              <w:numPr>
                <w:ilvl w:val="0"/>
                <w:numId w:val="29"/>
              </w:numPr>
              <w:contextualSpacing/>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Finalise the integration of the new service.</w:t>
            </w:r>
          </w:p>
          <w:p w14:paraId="278D3C8D" w14:textId="77777777" w:rsidR="00353AE1" w:rsidRPr="00353AE1" w:rsidRDefault="00353AE1" w:rsidP="00353AE1">
            <w:pPr>
              <w:numPr>
                <w:ilvl w:val="0"/>
                <w:numId w:val="28"/>
              </w:numPr>
              <w:ind w:left="720"/>
              <w:contextualSpacing/>
              <w:rPr>
                <w:rFonts w:ascii="Arial" w:eastAsiaTheme="minorHAnsi" w:hAnsi="Arial" w:cs="Arial"/>
                <w:color w:val="1F4E79" w:themeColor="accent5" w:themeShade="80"/>
              </w:rPr>
            </w:pPr>
          </w:p>
          <w:p w14:paraId="7058AF88" w14:textId="77777777" w:rsidR="00353AE1" w:rsidRPr="00353AE1" w:rsidRDefault="00353AE1" w:rsidP="00353AE1">
            <w:pPr>
              <w:numPr>
                <w:ilvl w:val="0"/>
                <w:numId w:val="28"/>
              </w:numPr>
              <w:ind w:left="720"/>
              <w:contextualSpacing/>
              <w:rPr>
                <w:rFonts w:ascii="Arial" w:eastAsiaTheme="minorHAnsi" w:hAnsi="Arial" w:cs="Arial"/>
                <w:color w:val="1F4E79" w:themeColor="accent5" w:themeShade="80"/>
              </w:rPr>
            </w:pPr>
          </w:p>
          <w:p w14:paraId="1552EB18" w14:textId="77777777" w:rsidR="00353AE1" w:rsidRPr="00353AE1" w:rsidRDefault="00353AE1" w:rsidP="00353AE1">
            <w:pPr>
              <w:numPr>
                <w:ilvl w:val="0"/>
                <w:numId w:val="28"/>
              </w:numPr>
              <w:ind w:left="720"/>
              <w:contextualSpacing/>
              <w:rPr>
                <w:rFonts w:ascii="Arial" w:eastAsiaTheme="minorHAnsi" w:hAnsi="Arial" w:cs="Arial"/>
                <w:color w:val="1F4E79" w:themeColor="accent5" w:themeShade="80"/>
              </w:rPr>
            </w:pPr>
          </w:p>
          <w:p w14:paraId="2911C6C5" w14:textId="77777777" w:rsidR="00353AE1" w:rsidRPr="00353AE1" w:rsidRDefault="00353AE1" w:rsidP="00353AE1">
            <w:pPr>
              <w:numPr>
                <w:ilvl w:val="0"/>
                <w:numId w:val="28"/>
              </w:numPr>
              <w:ind w:left="720"/>
              <w:contextualSpacing/>
              <w:rPr>
                <w:rFonts w:ascii="Arial" w:eastAsiaTheme="minorHAnsi" w:hAnsi="Arial" w:cs="Arial"/>
                <w:color w:val="1F4E79" w:themeColor="accent5" w:themeShade="80"/>
              </w:rPr>
            </w:pPr>
          </w:p>
        </w:tc>
      </w:tr>
    </w:tbl>
    <w:p w14:paraId="599E18E5" w14:textId="77777777" w:rsidR="00353AE1" w:rsidRPr="00353AE1" w:rsidRDefault="00353AE1" w:rsidP="00353AE1">
      <w:pPr>
        <w:spacing w:before="0" w:after="0"/>
        <w:rPr>
          <w:rFonts w:ascii="Arial" w:eastAsiaTheme="minorHAnsi" w:hAnsi="Arial" w:cs="Arial"/>
          <w:color w:val="1F4E79" w:themeColor="accent5" w:themeShade="80"/>
          <w:szCs w:val="24"/>
          <w:lang w:eastAsia="en-US"/>
        </w:rPr>
      </w:pPr>
      <w:r w:rsidRPr="00353AE1">
        <w:rPr>
          <w:rFonts w:asciiTheme="minorBidi" w:eastAsiaTheme="minorHAnsi" w:hAnsiTheme="minorBidi" w:cstheme="minorBidi"/>
          <w:color w:val="1F4E79" w:themeColor="accent5" w:themeShade="80"/>
          <w:szCs w:val="24"/>
          <w:lang w:eastAsia="en-US"/>
        </w:rPr>
        <w:br w:type="page"/>
      </w:r>
      <w:bookmarkStart w:id="0" w:name="_Hlk14182235"/>
      <w:r w:rsidRPr="00353AE1">
        <w:rPr>
          <w:rFonts w:ascii="Arial" w:eastAsiaTheme="minorHAnsi" w:hAnsi="Arial" w:cs="Arial"/>
          <w:color w:val="1F4E79" w:themeColor="accent5" w:themeShade="80"/>
          <w:sz w:val="56"/>
          <w:szCs w:val="56"/>
          <w:lang w:eastAsia="en-US"/>
        </w:rPr>
        <w:lastRenderedPageBreak/>
        <w:t>Customer (Complaints)</w:t>
      </w:r>
    </w:p>
    <w:tbl>
      <w:tblPr>
        <w:tblStyle w:val="TableGrid1"/>
        <w:tblW w:w="10632"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Look w:val="04A0" w:firstRow="1" w:lastRow="0" w:firstColumn="1" w:lastColumn="0" w:noHBand="0" w:noVBand="1"/>
      </w:tblPr>
      <w:tblGrid>
        <w:gridCol w:w="6237"/>
        <w:gridCol w:w="4395"/>
      </w:tblGrid>
      <w:tr w:rsidR="00353AE1" w:rsidRPr="00353AE1" w14:paraId="7D6C57DC" w14:textId="77777777" w:rsidTr="00B26970">
        <w:tc>
          <w:tcPr>
            <w:tcW w:w="6237" w:type="dxa"/>
            <w:shd w:val="clear" w:color="auto" w:fill="1F4E79" w:themeFill="accent5" w:themeFillShade="80"/>
            <w:vAlign w:val="center"/>
          </w:tcPr>
          <w:p w14:paraId="212DEE32" w14:textId="77777777" w:rsidR="00353AE1" w:rsidRPr="00353AE1" w:rsidRDefault="00353AE1" w:rsidP="00353AE1">
            <w:pPr>
              <w:jc w:val="center"/>
              <w:rPr>
                <w:rFonts w:ascii="Arial" w:eastAsiaTheme="minorHAnsi" w:hAnsi="Arial" w:cs="Arial"/>
                <w:b/>
                <w:bCs/>
                <w:color w:val="FFFFFF" w:themeColor="background1"/>
              </w:rPr>
            </w:pPr>
            <w:bookmarkStart w:id="1" w:name="_Hlk14170503"/>
            <w:bookmarkEnd w:id="0"/>
            <w:r w:rsidRPr="00353AE1">
              <w:rPr>
                <w:rFonts w:ascii="Arial" w:eastAsiaTheme="minorHAnsi" w:hAnsi="Arial" w:cs="Arial"/>
                <w:b/>
                <w:bCs/>
                <w:color w:val="FFFFFF" w:themeColor="background1"/>
              </w:rPr>
              <w:t>Performance</w:t>
            </w:r>
          </w:p>
        </w:tc>
        <w:tc>
          <w:tcPr>
            <w:tcW w:w="4395" w:type="dxa"/>
            <w:shd w:val="clear" w:color="auto" w:fill="1F4E79" w:themeFill="accent5" w:themeFillShade="80"/>
            <w:vAlign w:val="center"/>
          </w:tcPr>
          <w:p w14:paraId="7A17C84E" w14:textId="77777777" w:rsidR="00353AE1" w:rsidRPr="00353AE1" w:rsidRDefault="00353AE1" w:rsidP="00353AE1">
            <w:pPr>
              <w:jc w:val="center"/>
              <w:rPr>
                <w:rFonts w:ascii="Arial" w:eastAsiaTheme="minorHAnsi" w:hAnsi="Arial" w:cs="Arial"/>
                <w:b/>
                <w:bCs/>
                <w:color w:val="FFFFFF" w:themeColor="background1"/>
              </w:rPr>
            </w:pPr>
            <w:r w:rsidRPr="00353AE1">
              <w:rPr>
                <w:rFonts w:ascii="Arial" w:eastAsiaTheme="minorHAnsi" w:hAnsi="Arial" w:cs="Arial"/>
                <w:b/>
                <w:bCs/>
                <w:color w:val="FFFFFF" w:themeColor="background1"/>
              </w:rPr>
              <w:t>Progress</w:t>
            </w:r>
          </w:p>
        </w:tc>
      </w:tr>
      <w:bookmarkEnd w:id="1"/>
      <w:tr w:rsidR="00353AE1" w:rsidRPr="00353AE1" w14:paraId="0D28B5A3" w14:textId="77777777" w:rsidTr="00B26970">
        <w:trPr>
          <w:trHeight w:val="2661"/>
        </w:trPr>
        <w:tc>
          <w:tcPr>
            <w:tcW w:w="6237" w:type="dxa"/>
          </w:tcPr>
          <w:p w14:paraId="4073991E" w14:textId="77777777" w:rsidR="00353AE1" w:rsidRPr="00353AE1" w:rsidRDefault="00353AE1" w:rsidP="00353AE1">
            <w:pPr>
              <w:jc w:val="center"/>
              <w:rPr>
                <w:rFonts w:asciiTheme="minorBidi" w:eastAsiaTheme="minorHAnsi" w:hAnsiTheme="minorBidi"/>
                <w:color w:val="1F4E79" w:themeColor="accent5" w:themeShade="80"/>
              </w:rPr>
            </w:pPr>
            <w:r w:rsidRPr="00353AE1">
              <w:rPr>
                <w:rFonts w:asciiTheme="minorBidi" w:eastAsiaTheme="minorHAnsi" w:hAnsiTheme="minorBidi"/>
                <w:noProof/>
                <w:color w:val="1F4E79" w:themeColor="accent5" w:themeShade="80"/>
              </w:rPr>
              <w:drawing>
                <wp:inline distT="0" distB="0" distL="0" distR="0" wp14:anchorId="3ABE73B1" wp14:editId="37692B90">
                  <wp:extent cx="3657600" cy="2281238"/>
                  <wp:effectExtent l="0" t="0" r="0" b="5080"/>
                  <wp:docPr id="6" name="Chart 6">
                    <a:extLst xmlns:a="http://schemas.openxmlformats.org/drawingml/2006/main">
                      <a:ext uri="{FF2B5EF4-FFF2-40B4-BE49-F238E27FC236}">
                        <a16:creationId xmlns:a16="http://schemas.microsoft.com/office/drawing/2014/main" id="{1907EFAF-6A1F-4624-9E0A-E2C2C55DE6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395" w:type="dxa"/>
            <w:vMerge w:val="restart"/>
          </w:tcPr>
          <w:p w14:paraId="2DC5FA07" w14:textId="77777777" w:rsidR="00353AE1" w:rsidRPr="00353AE1" w:rsidRDefault="00353AE1" w:rsidP="00353AE1">
            <w:pPr>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The total number of stage 1 and stage 2 complaints has increased from 232 in 2018/19 to 251 in 2019/20. The increase was due to Revenue becoming part of the Service. With this part of the Service removed complaints have decreased on last year following improvements to call answering within the Contact Centre.</w:t>
            </w:r>
          </w:p>
          <w:p w14:paraId="1F15A820" w14:textId="77777777" w:rsidR="00353AE1" w:rsidRPr="00353AE1" w:rsidRDefault="00353AE1" w:rsidP="00353AE1">
            <w:pPr>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The Service continues to perform above target in terms of dealing with complaints within timescale.</w:t>
            </w:r>
          </w:p>
          <w:p w14:paraId="1CDF9557" w14:textId="77777777" w:rsidR="00353AE1" w:rsidRPr="00353AE1" w:rsidRDefault="00353AE1" w:rsidP="00353AE1">
            <w:pPr>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It is anticipated that work involved to introduce the newly refreshed complaint procedure (for April 2021) will provide a renewed impetus for the Service to consider improvements within the drivers of satisfaction associated with complaints handling, including responsiveness.</w:t>
            </w:r>
          </w:p>
          <w:p w14:paraId="4870E98C" w14:textId="77777777" w:rsidR="00353AE1" w:rsidRPr="00353AE1" w:rsidRDefault="00353AE1" w:rsidP="00353AE1">
            <w:pPr>
              <w:shd w:val="clear" w:color="auto" w:fill="FFFFFF"/>
              <w:spacing w:before="0" w:after="0"/>
              <w:rPr>
                <w:rFonts w:ascii="Calibri" w:eastAsia="Times New Roman" w:hAnsi="Calibri" w:cs="Calibri"/>
                <w:color w:val="201F1E"/>
                <w:sz w:val="22"/>
                <w:szCs w:val="22"/>
              </w:rPr>
            </w:pPr>
            <w:r w:rsidRPr="00353AE1">
              <w:rPr>
                <w:rFonts w:ascii="Calibri" w:eastAsia="Times New Roman" w:hAnsi="Calibri" w:cs="Calibri"/>
                <w:color w:val="201F1E"/>
                <w:sz w:val="22"/>
                <w:szCs w:val="22"/>
                <w:bdr w:val="none" w:sz="0" w:space="0" w:color="auto" w:frame="1"/>
              </w:rPr>
              <w:t> </w:t>
            </w:r>
          </w:p>
          <w:p w14:paraId="2EBC6984" w14:textId="77777777" w:rsidR="00353AE1" w:rsidRPr="00353AE1" w:rsidRDefault="00353AE1" w:rsidP="00353AE1">
            <w:pPr>
              <w:rPr>
                <w:rFonts w:asciiTheme="minorBidi" w:eastAsiaTheme="minorHAnsi" w:hAnsiTheme="minorBidi"/>
                <w:color w:val="1F4E79" w:themeColor="accent5" w:themeShade="80"/>
              </w:rPr>
            </w:pPr>
          </w:p>
        </w:tc>
      </w:tr>
      <w:tr w:rsidR="00353AE1" w:rsidRPr="00353AE1" w14:paraId="5D54F721" w14:textId="77777777" w:rsidTr="00B26970">
        <w:tc>
          <w:tcPr>
            <w:tcW w:w="6237" w:type="dxa"/>
          </w:tcPr>
          <w:p w14:paraId="6DCCE908" w14:textId="77777777" w:rsidR="00353AE1" w:rsidRPr="00353AE1" w:rsidRDefault="00353AE1" w:rsidP="00353AE1">
            <w:pPr>
              <w:jc w:val="center"/>
              <w:rPr>
                <w:rFonts w:asciiTheme="minorBidi" w:eastAsiaTheme="minorHAnsi" w:hAnsiTheme="minorBidi"/>
                <w:color w:val="1F4E79" w:themeColor="accent5" w:themeShade="80"/>
              </w:rPr>
            </w:pPr>
            <w:r w:rsidRPr="00353AE1">
              <w:rPr>
                <w:rFonts w:asciiTheme="minorBidi" w:eastAsiaTheme="minorHAnsi" w:hAnsiTheme="minorBidi"/>
                <w:noProof/>
                <w:color w:val="1F4E79" w:themeColor="accent5" w:themeShade="80"/>
              </w:rPr>
              <w:drawing>
                <wp:inline distT="0" distB="0" distL="0" distR="0" wp14:anchorId="58B8FA1E" wp14:editId="4B6043B0">
                  <wp:extent cx="3652838" cy="2271713"/>
                  <wp:effectExtent l="0" t="0" r="5080" b="14605"/>
                  <wp:docPr id="7" name="Chart 7">
                    <a:extLst xmlns:a="http://schemas.openxmlformats.org/drawingml/2006/main">
                      <a:ext uri="{FF2B5EF4-FFF2-40B4-BE49-F238E27FC236}">
                        <a16:creationId xmlns:a16="http://schemas.microsoft.com/office/drawing/2014/main" id="{120A1C1D-454A-4596-9470-F78DB7ADE1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395" w:type="dxa"/>
            <w:vMerge/>
          </w:tcPr>
          <w:p w14:paraId="6914C84C" w14:textId="77777777" w:rsidR="00353AE1" w:rsidRPr="00353AE1" w:rsidRDefault="00353AE1" w:rsidP="00353AE1">
            <w:pPr>
              <w:rPr>
                <w:rFonts w:asciiTheme="minorBidi" w:eastAsiaTheme="minorHAnsi" w:hAnsiTheme="minorBidi"/>
                <w:color w:val="1F4E79" w:themeColor="accent5" w:themeShade="80"/>
              </w:rPr>
            </w:pPr>
          </w:p>
        </w:tc>
      </w:tr>
      <w:tr w:rsidR="00353AE1" w:rsidRPr="00353AE1" w14:paraId="083A7EB4" w14:textId="77777777" w:rsidTr="00B26970">
        <w:tc>
          <w:tcPr>
            <w:tcW w:w="6237" w:type="dxa"/>
          </w:tcPr>
          <w:p w14:paraId="1F999FEE" w14:textId="77777777" w:rsidR="00353AE1" w:rsidRPr="00353AE1" w:rsidRDefault="00353AE1" w:rsidP="00353AE1">
            <w:pPr>
              <w:jc w:val="center"/>
              <w:rPr>
                <w:rFonts w:asciiTheme="minorBidi" w:eastAsiaTheme="minorHAnsi" w:hAnsiTheme="minorBidi"/>
                <w:noProof/>
                <w:color w:val="1F4E79" w:themeColor="accent5" w:themeShade="80"/>
              </w:rPr>
            </w:pPr>
            <w:r w:rsidRPr="00353AE1">
              <w:rPr>
                <w:rFonts w:asciiTheme="minorBidi" w:eastAsiaTheme="minorHAnsi" w:hAnsiTheme="minorBidi"/>
                <w:noProof/>
                <w:color w:val="1F4E79" w:themeColor="accent5" w:themeShade="80"/>
              </w:rPr>
              <w:drawing>
                <wp:inline distT="0" distB="0" distL="0" distR="0" wp14:anchorId="47119B44" wp14:editId="097E61DD">
                  <wp:extent cx="3652838" cy="2281238"/>
                  <wp:effectExtent l="0" t="0" r="5080" b="5080"/>
                  <wp:docPr id="22" name="Chart 22">
                    <a:extLst xmlns:a="http://schemas.openxmlformats.org/drawingml/2006/main">
                      <a:ext uri="{FF2B5EF4-FFF2-40B4-BE49-F238E27FC236}">
                        <a16:creationId xmlns:a16="http://schemas.microsoft.com/office/drawing/2014/main" id="{65E0EC53-D136-4240-82F6-5096B7F16A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395" w:type="dxa"/>
            <w:vMerge/>
          </w:tcPr>
          <w:p w14:paraId="6399395D" w14:textId="77777777" w:rsidR="00353AE1" w:rsidRPr="00353AE1" w:rsidRDefault="00353AE1" w:rsidP="00353AE1">
            <w:pPr>
              <w:rPr>
                <w:rFonts w:asciiTheme="minorBidi" w:eastAsiaTheme="minorHAnsi" w:hAnsiTheme="minorBidi"/>
                <w:color w:val="1F4E79" w:themeColor="accent5" w:themeShade="80"/>
              </w:rPr>
            </w:pPr>
          </w:p>
        </w:tc>
      </w:tr>
    </w:tbl>
    <w:p w14:paraId="471B71AB" w14:textId="77777777" w:rsidR="00353AE1" w:rsidRPr="00353AE1" w:rsidRDefault="00353AE1" w:rsidP="00353AE1">
      <w:pPr>
        <w:spacing w:before="0" w:after="0"/>
        <w:rPr>
          <w:rFonts w:asciiTheme="minorBidi" w:eastAsiaTheme="minorHAnsi" w:hAnsiTheme="minorBidi" w:cstheme="minorBidi"/>
          <w:color w:val="1F4E79" w:themeColor="accent5" w:themeShade="80"/>
          <w:szCs w:val="24"/>
          <w:lang w:eastAsia="en-US"/>
        </w:rPr>
      </w:pPr>
      <w:r w:rsidRPr="00353AE1">
        <w:rPr>
          <w:rFonts w:asciiTheme="minorBidi" w:eastAsiaTheme="minorHAnsi" w:hAnsiTheme="minorBidi" w:cstheme="minorBidi"/>
          <w:color w:val="1F4E79" w:themeColor="accent5" w:themeShade="80"/>
          <w:szCs w:val="24"/>
          <w:lang w:eastAsia="en-US"/>
        </w:rPr>
        <w:br w:type="page"/>
      </w:r>
    </w:p>
    <w:p w14:paraId="02E48265" w14:textId="77777777" w:rsidR="00353AE1" w:rsidRPr="00353AE1" w:rsidRDefault="00353AE1" w:rsidP="00353AE1">
      <w:pPr>
        <w:spacing w:before="0" w:after="0"/>
        <w:rPr>
          <w:rFonts w:ascii="Arial" w:eastAsiaTheme="minorHAnsi" w:hAnsi="Arial" w:cs="Arial"/>
          <w:color w:val="1F4E79" w:themeColor="accent5" w:themeShade="80"/>
          <w:szCs w:val="24"/>
          <w:lang w:eastAsia="en-US"/>
        </w:rPr>
      </w:pPr>
      <w:r w:rsidRPr="00353AE1">
        <w:rPr>
          <w:rFonts w:ascii="Arial" w:eastAsiaTheme="minorHAnsi" w:hAnsi="Arial" w:cs="Arial"/>
          <w:color w:val="1F4E79" w:themeColor="accent5" w:themeShade="80"/>
          <w:sz w:val="56"/>
          <w:szCs w:val="56"/>
          <w:lang w:eastAsia="en-US"/>
        </w:rPr>
        <w:lastRenderedPageBreak/>
        <w:t>Customer (Online Services)</w:t>
      </w:r>
    </w:p>
    <w:tbl>
      <w:tblPr>
        <w:tblStyle w:val="TableGrid1"/>
        <w:tblW w:w="10632"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Look w:val="04A0" w:firstRow="1" w:lastRow="0" w:firstColumn="1" w:lastColumn="0" w:noHBand="0" w:noVBand="1"/>
      </w:tblPr>
      <w:tblGrid>
        <w:gridCol w:w="6237"/>
        <w:gridCol w:w="4395"/>
      </w:tblGrid>
      <w:tr w:rsidR="00353AE1" w:rsidRPr="00353AE1" w14:paraId="69A70909" w14:textId="77777777" w:rsidTr="00B26970">
        <w:tc>
          <w:tcPr>
            <w:tcW w:w="6237" w:type="dxa"/>
            <w:shd w:val="clear" w:color="auto" w:fill="1F4E79" w:themeFill="accent5" w:themeFillShade="80"/>
            <w:vAlign w:val="center"/>
          </w:tcPr>
          <w:p w14:paraId="136B04EE" w14:textId="77777777" w:rsidR="00353AE1" w:rsidRPr="00353AE1" w:rsidRDefault="00353AE1" w:rsidP="00353AE1">
            <w:pPr>
              <w:jc w:val="center"/>
              <w:rPr>
                <w:rFonts w:ascii="Arial" w:eastAsiaTheme="minorHAnsi" w:hAnsi="Arial" w:cs="Arial"/>
                <w:b/>
                <w:bCs/>
                <w:color w:val="FFFFFF" w:themeColor="background1"/>
              </w:rPr>
            </w:pPr>
            <w:r w:rsidRPr="00353AE1">
              <w:rPr>
                <w:rFonts w:ascii="Arial" w:eastAsiaTheme="minorHAnsi" w:hAnsi="Arial" w:cs="Arial"/>
                <w:b/>
                <w:bCs/>
                <w:color w:val="FFFFFF" w:themeColor="background1"/>
              </w:rPr>
              <w:t>Performance</w:t>
            </w:r>
          </w:p>
        </w:tc>
        <w:tc>
          <w:tcPr>
            <w:tcW w:w="4395" w:type="dxa"/>
            <w:shd w:val="clear" w:color="auto" w:fill="1F4E79" w:themeFill="accent5" w:themeFillShade="80"/>
            <w:vAlign w:val="center"/>
          </w:tcPr>
          <w:p w14:paraId="0BA8E6B3" w14:textId="77777777" w:rsidR="00353AE1" w:rsidRPr="00353AE1" w:rsidRDefault="00353AE1" w:rsidP="00353AE1">
            <w:pPr>
              <w:jc w:val="center"/>
              <w:rPr>
                <w:rFonts w:ascii="Arial" w:eastAsiaTheme="minorHAnsi" w:hAnsi="Arial" w:cs="Arial"/>
                <w:b/>
                <w:bCs/>
                <w:color w:val="FFFFFF" w:themeColor="background1"/>
              </w:rPr>
            </w:pPr>
            <w:r w:rsidRPr="00353AE1">
              <w:rPr>
                <w:rFonts w:ascii="Arial" w:eastAsiaTheme="minorHAnsi" w:hAnsi="Arial" w:cs="Arial"/>
                <w:b/>
                <w:bCs/>
                <w:color w:val="FFFFFF" w:themeColor="background1"/>
              </w:rPr>
              <w:t>Progress</w:t>
            </w:r>
          </w:p>
        </w:tc>
      </w:tr>
      <w:tr w:rsidR="00353AE1" w:rsidRPr="00353AE1" w14:paraId="682C7B18" w14:textId="77777777" w:rsidTr="00B26970">
        <w:tc>
          <w:tcPr>
            <w:tcW w:w="6237" w:type="dxa"/>
          </w:tcPr>
          <w:p w14:paraId="48129E52" w14:textId="77777777" w:rsidR="00353AE1" w:rsidRPr="00353AE1" w:rsidRDefault="00353AE1" w:rsidP="00353AE1">
            <w:pPr>
              <w:jc w:val="center"/>
              <w:rPr>
                <w:rFonts w:asciiTheme="minorBidi" w:eastAsiaTheme="minorHAnsi" w:hAnsiTheme="minorBidi"/>
                <w:noProof/>
                <w:color w:val="1F4E79" w:themeColor="accent5" w:themeShade="80"/>
              </w:rPr>
            </w:pPr>
            <w:r w:rsidRPr="00353AE1">
              <w:rPr>
                <w:rFonts w:asciiTheme="minorBidi" w:eastAsiaTheme="minorHAnsi" w:hAnsiTheme="minorBidi"/>
                <w:noProof/>
                <w:color w:val="1F4E79" w:themeColor="accent5" w:themeShade="80"/>
              </w:rPr>
              <w:drawing>
                <wp:inline distT="0" distB="0" distL="0" distR="0" wp14:anchorId="507D0CD0" wp14:editId="686163DF">
                  <wp:extent cx="3652838" cy="2281238"/>
                  <wp:effectExtent l="0" t="0" r="5080" b="5080"/>
                  <wp:docPr id="8" name="Chart 8">
                    <a:extLst xmlns:a="http://schemas.openxmlformats.org/drawingml/2006/main">
                      <a:ext uri="{FF2B5EF4-FFF2-40B4-BE49-F238E27FC236}">
                        <a16:creationId xmlns:a16="http://schemas.microsoft.com/office/drawing/2014/main" id="{13B19A09-3E20-4E55-9291-D67FF40630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395" w:type="dxa"/>
          </w:tcPr>
          <w:p w14:paraId="0D5099E4" w14:textId="77777777" w:rsidR="00353AE1" w:rsidRPr="00353AE1" w:rsidRDefault="00353AE1" w:rsidP="00353AE1">
            <w:pPr>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The numbers of Facebook fans and Twitter followers have risen to their highest levels to date. This is partly due to the increased usage in March 2020 with the international coronavirus pandemic but also with the continued growth of social media as a key method of communication.</w:t>
            </w:r>
          </w:p>
        </w:tc>
      </w:tr>
      <w:tr w:rsidR="00353AE1" w:rsidRPr="00353AE1" w14:paraId="6D7DC877" w14:textId="77777777" w:rsidTr="00B26970">
        <w:tc>
          <w:tcPr>
            <w:tcW w:w="6237" w:type="dxa"/>
          </w:tcPr>
          <w:p w14:paraId="0D7B3B90" w14:textId="77777777" w:rsidR="00353AE1" w:rsidRPr="00353AE1" w:rsidRDefault="00353AE1" w:rsidP="00353AE1">
            <w:pPr>
              <w:jc w:val="center"/>
              <w:rPr>
                <w:rFonts w:asciiTheme="minorBidi" w:eastAsiaTheme="minorHAnsi" w:hAnsiTheme="minorBidi"/>
                <w:noProof/>
                <w:color w:val="1F4E79" w:themeColor="accent5" w:themeShade="80"/>
              </w:rPr>
            </w:pPr>
            <w:r w:rsidRPr="00353AE1">
              <w:rPr>
                <w:rFonts w:asciiTheme="minorBidi" w:eastAsiaTheme="minorHAnsi" w:hAnsiTheme="minorBidi"/>
                <w:noProof/>
                <w:color w:val="1F4E79" w:themeColor="accent5" w:themeShade="80"/>
              </w:rPr>
              <w:drawing>
                <wp:inline distT="0" distB="0" distL="0" distR="0" wp14:anchorId="7B4159D2" wp14:editId="151FB824">
                  <wp:extent cx="3652838" cy="2281238"/>
                  <wp:effectExtent l="0" t="0" r="5080" b="5080"/>
                  <wp:docPr id="24" name="Chart 24">
                    <a:extLst xmlns:a="http://schemas.openxmlformats.org/drawingml/2006/main">
                      <a:ext uri="{FF2B5EF4-FFF2-40B4-BE49-F238E27FC236}">
                        <a16:creationId xmlns:a16="http://schemas.microsoft.com/office/drawing/2014/main" id="{BB8D593A-611E-4A00-BB9E-1A179047DA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395" w:type="dxa"/>
          </w:tcPr>
          <w:p w14:paraId="4BA8AFBF" w14:textId="77777777" w:rsidR="00353AE1" w:rsidRPr="00353AE1" w:rsidRDefault="00353AE1" w:rsidP="00353AE1">
            <w:pPr>
              <w:shd w:val="clear" w:color="auto" w:fill="FFFFFF"/>
              <w:spacing w:before="0" w:after="0"/>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In October 2019 the council’s new website was launched introducing a less complicated structure and easier online journey for the customer.  This also included the introduction of the new MyAccount and new online services.</w:t>
            </w:r>
          </w:p>
          <w:p w14:paraId="216B0137" w14:textId="77777777" w:rsidR="00353AE1" w:rsidRPr="00353AE1" w:rsidRDefault="00353AE1" w:rsidP="00353AE1">
            <w:pPr>
              <w:shd w:val="clear" w:color="auto" w:fill="FFFFFF"/>
              <w:spacing w:before="0" w:after="0"/>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 </w:t>
            </w:r>
          </w:p>
          <w:p w14:paraId="211A51C1" w14:textId="77777777" w:rsidR="00353AE1" w:rsidRPr="00353AE1" w:rsidRDefault="00353AE1" w:rsidP="00353AE1">
            <w:pPr>
              <w:shd w:val="clear" w:color="auto" w:fill="FFFFFF"/>
              <w:spacing w:before="0" w:after="0"/>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During this time 3 new online services were made available to the public: Community Alarms, Bulk Uplift and Missed Bulk Uplift which accounts for 2927 online transactions through our new system, 2258 by signed-in users which means they are trackable.</w:t>
            </w:r>
          </w:p>
          <w:p w14:paraId="09BF2A7D" w14:textId="77777777" w:rsidR="00353AE1" w:rsidRPr="00353AE1" w:rsidRDefault="00353AE1" w:rsidP="00353AE1">
            <w:pPr>
              <w:shd w:val="clear" w:color="auto" w:fill="FFFFFF"/>
              <w:spacing w:before="0" w:after="0"/>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 </w:t>
            </w:r>
          </w:p>
          <w:p w14:paraId="05CDBAEE" w14:textId="77777777" w:rsidR="00353AE1" w:rsidRPr="00353AE1" w:rsidRDefault="00353AE1" w:rsidP="00353AE1">
            <w:pPr>
              <w:shd w:val="clear" w:color="auto" w:fill="FFFFFF"/>
              <w:spacing w:before="0" w:after="0"/>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The number of online transactions has steadily increased this year, even though we streamlined general contacts online and implemented ‘web chat’ throughout the site.   We should see a further increase in online transactions over the next year as new services are added.</w:t>
            </w:r>
          </w:p>
          <w:p w14:paraId="4088F4CF" w14:textId="77777777" w:rsidR="00353AE1" w:rsidRPr="00353AE1" w:rsidRDefault="00353AE1" w:rsidP="00353AE1">
            <w:pPr>
              <w:shd w:val="clear" w:color="auto" w:fill="FFFFFF"/>
              <w:spacing w:before="0" w:after="0"/>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 </w:t>
            </w:r>
          </w:p>
          <w:p w14:paraId="61247374" w14:textId="77777777" w:rsidR="00353AE1" w:rsidRPr="00353AE1" w:rsidRDefault="00353AE1" w:rsidP="00353AE1">
            <w:pPr>
              <w:shd w:val="clear" w:color="auto" w:fill="FFFFFF"/>
              <w:spacing w:before="0" w:after="0"/>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 xml:space="preserve">In this time the old </w:t>
            </w:r>
            <w:proofErr w:type="spellStart"/>
            <w:r w:rsidRPr="00353AE1">
              <w:rPr>
                <w:rFonts w:ascii="Arial" w:eastAsiaTheme="minorHAnsi" w:hAnsi="Arial" w:cs="Arial"/>
                <w:color w:val="1F4E79" w:themeColor="accent5" w:themeShade="80"/>
              </w:rPr>
              <w:t>FifeDirect</w:t>
            </w:r>
            <w:proofErr w:type="spellEnd"/>
            <w:r w:rsidRPr="00353AE1">
              <w:rPr>
                <w:rFonts w:ascii="Arial" w:eastAsiaTheme="minorHAnsi" w:hAnsi="Arial" w:cs="Arial"/>
                <w:color w:val="1F4E79" w:themeColor="accent5" w:themeShade="80"/>
              </w:rPr>
              <w:t xml:space="preserve"> account was still available to customers so these figures are the combination of this and the new MyAccount. </w:t>
            </w:r>
          </w:p>
          <w:p w14:paraId="4E6E0334" w14:textId="77777777" w:rsidR="00353AE1" w:rsidRPr="00353AE1" w:rsidRDefault="00353AE1" w:rsidP="00353AE1">
            <w:pPr>
              <w:shd w:val="clear" w:color="auto" w:fill="FFFFFF"/>
              <w:spacing w:before="0" w:after="0"/>
              <w:rPr>
                <w:rFonts w:ascii="Arial" w:eastAsia="Times New Roman" w:hAnsi="Arial" w:cs="Arial"/>
                <w:color w:val="1F4E79"/>
              </w:rPr>
            </w:pPr>
          </w:p>
        </w:tc>
      </w:tr>
    </w:tbl>
    <w:p w14:paraId="0D8070A0" w14:textId="77777777" w:rsidR="00353AE1" w:rsidRPr="00353AE1" w:rsidRDefault="00353AE1" w:rsidP="00353AE1">
      <w:pPr>
        <w:spacing w:before="0" w:after="0"/>
        <w:rPr>
          <w:rFonts w:asciiTheme="minorBidi" w:eastAsiaTheme="minorHAnsi" w:hAnsiTheme="minorBidi" w:cstheme="minorBidi"/>
          <w:color w:val="1F4E79" w:themeColor="accent5" w:themeShade="80"/>
          <w:sz w:val="56"/>
          <w:szCs w:val="56"/>
          <w:lang w:eastAsia="en-US"/>
        </w:rPr>
      </w:pPr>
    </w:p>
    <w:p w14:paraId="641A40B9" w14:textId="77777777" w:rsidR="00353AE1" w:rsidRPr="00353AE1" w:rsidRDefault="00353AE1" w:rsidP="00353AE1">
      <w:pPr>
        <w:spacing w:before="0" w:after="0"/>
        <w:rPr>
          <w:rFonts w:ascii="Arial" w:eastAsiaTheme="minorHAnsi" w:hAnsi="Arial" w:cs="Arial"/>
          <w:color w:val="1F4E79" w:themeColor="accent5" w:themeShade="80"/>
          <w:szCs w:val="24"/>
          <w:lang w:eastAsia="en-US"/>
        </w:rPr>
      </w:pPr>
      <w:r w:rsidRPr="00353AE1">
        <w:rPr>
          <w:rFonts w:ascii="Arial" w:eastAsiaTheme="minorHAnsi" w:hAnsi="Arial" w:cs="Arial"/>
          <w:color w:val="1F4E79" w:themeColor="accent5" w:themeShade="80"/>
          <w:sz w:val="56"/>
          <w:szCs w:val="56"/>
          <w:lang w:eastAsia="en-US"/>
        </w:rPr>
        <w:lastRenderedPageBreak/>
        <w:t>Customer (Welfare Fund)</w:t>
      </w:r>
    </w:p>
    <w:tbl>
      <w:tblPr>
        <w:tblStyle w:val="TableGrid1"/>
        <w:tblW w:w="10632"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Look w:val="04A0" w:firstRow="1" w:lastRow="0" w:firstColumn="1" w:lastColumn="0" w:noHBand="0" w:noVBand="1"/>
      </w:tblPr>
      <w:tblGrid>
        <w:gridCol w:w="6237"/>
        <w:gridCol w:w="4395"/>
      </w:tblGrid>
      <w:tr w:rsidR="00353AE1" w:rsidRPr="00353AE1" w14:paraId="4D90E7C4" w14:textId="77777777" w:rsidTr="00B26970">
        <w:tc>
          <w:tcPr>
            <w:tcW w:w="6237" w:type="dxa"/>
            <w:shd w:val="clear" w:color="auto" w:fill="1F4E79" w:themeFill="accent5" w:themeFillShade="80"/>
            <w:vAlign w:val="center"/>
          </w:tcPr>
          <w:p w14:paraId="5E31D418" w14:textId="77777777" w:rsidR="00353AE1" w:rsidRPr="00353AE1" w:rsidRDefault="00353AE1" w:rsidP="00353AE1">
            <w:pPr>
              <w:jc w:val="center"/>
              <w:rPr>
                <w:rFonts w:ascii="Arial" w:eastAsiaTheme="minorHAnsi" w:hAnsi="Arial" w:cs="Arial"/>
                <w:b/>
                <w:bCs/>
                <w:color w:val="FFFFFF" w:themeColor="background1"/>
              </w:rPr>
            </w:pPr>
            <w:r w:rsidRPr="00353AE1">
              <w:rPr>
                <w:rFonts w:ascii="Arial" w:eastAsiaTheme="minorHAnsi" w:hAnsi="Arial" w:cs="Arial"/>
                <w:b/>
                <w:bCs/>
                <w:color w:val="FFFFFF" w:themeColor="background1"/>
              </w:rPr>
              <w:t>Performance</w:t>
            </w:r>
          </w:p>
        </w:tc>
        <w:tc>
          <w:tcPr>
            <w:tcW w:w="4395" w:type="dxa"/>
            <w:shd w:val="clear" w:color="auto" w:fill="1F4E79" w:themeFill="accent5" w:themeFillShade="80"/>
            <w:vAlign w:val="center"/>
          </w:tcPr>
          <w:p w14:paraId="38A28339" w14:textId="77777777" w:rsidR="00353AE1" w:rsidRPr="00353AE1" w:rsidRDefault="00353AE1" w:rsidP="00353AE1">
            <w:pPr>
              <w:jc w:val="center"/>
              <w:rPr>
                <w:rFonts w:ascii="Arial" w:eastAsiaTheme="minorHAnsi" w:hAnsi="Arial" w:cs="Arial"/>
                <w:b/>
                <w:bCs/>
                <w:color w:val="FFFFFF" w:themeColor="background1"/>
              </w:rPr>
            </w:pPr>
            <w:r w:rsidRPr="00353AE1">
              <w:rPr>
                <w:rFonts w:ascii="Arial" w:eastAsiaTheme="minorHAnsi" w:hAnsi="Arial" w:cs="Arial"/>
                <w:b/>
                <w:bCs/>
                <w:color w:val="FFFFFF" w:themeColor="background1"/>
              </w:rPr>
              <w:t>Progress</w:t>
            </w:r>
          </w:p>
        </w:tc>
      </w:tr>
      <w:tr w:rsidR="00353AE1" w:rsidRPr="00353AE1" w14:paraId="5DB33024" w14:textId="77777777" w:rsidTr="00B26970">
        <w:tc>
          <w:tcPr>
            <w:tcW w:w="6237" w:type="dxa"/>
          </w:tcPr>
          <w:p w14:paraId="4B181DAC" w14:textId="77777777" w:rsidR="00353AE1" w:rsidRPr="00353AE1" w:rsidRDefault="00353AE1" w:rsidP="00353AE1">
            <w:pPr>
              <w:jc w:val="center"/>
              <w:rPr>
                <w:rFonts w:asciiTheme="minorBidi" w:eastAsiaTheme="minorHAnsi" w:hAnsiTheme="minorBidi"/>
                <w:noProof/>
                <w:color w:val="1F4E79" w:themeColor="accent5" w:themeShade="80"/>
              </w:rPr>
            </w:pPr>
            <w:r w:rsidRPr="00353AE1">
              <w:rPr>
                <w:rFonts w:asciiTheme="minorBidi" w:eastAsiaTheme="minorHAnsi" w:hAnsiTheme="minorBidi"/>
                <w:noProof/>
                <w:color w:val="1F4E79" w:themeColor="accent5" w:themeShade="80"/>
              </w:rPr>
              <w:drawing>
                <wp:inline distT="0" distB="0" distL="0" distR="0" wp14:anchorId="7CE7F173" wp14:editId="6926C7B4">
                  <wp:extent cx="3652520" cy="4114800"/>
                  <wp:effectExtent l="0" t="0" r="5080" b="0"/>
                  <wp:docPr id="21" name="Chart 21">
                    <a:extLst xmlns:a="http://schemas.openxmlformats.org/drawingml/2006/main">
                      <a:ext uri="{FF2B5EF4-FFF2-40B4-BE49-F238E27FC236}">
                        <a16:creationId xmlns:a16="http://schemas.microsoft.com/office/drawing/2014/main" id="{A8684318-C93A-4B3E-A124-08BD257D0C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395" w:type="dxa"/>
          </w:tcPr>
          <w:p w14:paraId="773736A8" w14:textId="77777777" w:rsidR="00353AE1" w:rsidRPr="00353AE1" w:rsidRDefault="00353AE1" w:rsidP="00353AE1">
            <w:pPr>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 xml:space="preserve">The average processing time for Crisis Grants continues to adhere to the Scottish Governments timescale of next working day for a decision. Crisis Grants provide crucial support to vulnerable people in a disaster or emergency situation. </w:t>
            </w:r>
          </w:p>
          <w:p w14:paraId="1C38CFCF" w14:textId="77777777" w:rsidR="00353AE1" w:rsidRPr="00353AE1" w:rsidRDefault="00353AE1" w:rsidP="00353AE1">
            <w:pPr>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 xml:space="preserve">In 2017/18, the number of Crisis Grant applications received was 13,091. This figure increased significantly in 2018/19 to 19,549 with a further increase in 2019/20 to 27,606. This is primarily due to the impacts of Welfare Reform. </w:t>
            </w:r>
          </w:p>
          <w:p w14:paraId="4A88E694" w14:textId="77777777" w:rsidR="00353AE1" w:rsidRPr="00353AE1" w:rsidRDefault="00353AE1" w:rsidP="00353AE1">
            <w:pPr>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 xml:space="preserve">The increase in Crisis Grants has had an adverse effect on the time taken to process Community Care Grants. </w:t>
            </w:r>
          </w:p>
          <w:p w14:paraId="0102A651" w14:textId="77777777" w:rsidR="00353AE1" w:rsidRPr="00353AE1" w:rsidRDefault="00353AE1" w:rsidP="00353AE1">
            <w:pPr>
              <w:rPr>
                <w:rFonts w:asciiTheme="minorBidi" w:eastAsiaTheme="minorHAnsi" w:hAnsiTheme="minorBidi"/>
                <w:color w:val="1F4E79"/>
              </w:rPr>
            </w:pPr>
            <w:r w:rsidRPr="00353AE1">
              <w:rPr>
                <w:rFonts w:ascii="Arial" w:eastAsiaTheme="minorHAnsi" w:hAnsi="Arial" w:cs="Arial"/>
                <w:color w:val="1F4E79" w:themeColor="accent5" w:themeShade="80"/>
              </w:rPr>
              <w:t>In addition, the number of Community Care Grants received has also seen a small increase from 3658 in 2017/18 to 4259 in 2018/19 and in 2019/20 3939 applications were received, this has continued to stretch service resources</w:t>
            </w:r>
          </w:p>
        </w:tc>
      </w:tr>
    </w:tbl>
    <w:p w14:paraId="3E4AB031" w14:textId="77777777" w:rsidR="00353AE1" w:rsidRPr="00353AE1" w:rsidRDefault="00353AE1" w:rsidP="00353AE1">
      <w:pPr>
        <w:spacing w:before="0" w:after="0"/>
        <w:rPr>
          <w:rFonts w:asciiTheme="minorBidi" w:eastAsiaTheme="minorHAnsi" w:hAnsiTheme="minorBidi" w:cstheme="minorBidi"/>
          <w:color w:val="1F4E79" w:themeColor="accent5" w:themeShade="80"/>
          <w:sz w:val="56"/>
          <w:szCs w:val="56"/>
          <w:lang w:eastAsia="en-US"/>
        </w:rPr>
      </w:pPr>
      <w:bookmarkStart w:id="2" w:name="_Hlk14170694"/>
      <w:bookmarkStart w:id="3" w:name="_Hlk14170914"/>
    </w:p>
    <w:p w14:paraId="5256284F" w14:textId="77777777" w:rsidR="00353AE1" w:rsidRPr="00353AE1" w:rsidRDefault="00353AE1" w:rsidP="00353AE1">
      <w:pPr>
        <w:spacing w:before="0" w:after="0"/>
        <w:rPr>
          <w:rFonts w:asciiTheme="minorBidi" w:eastAsiaTheme="minorHAnsi" w:hAnsiTheme="minorBidi" w:cstheme="minorBidi"/>
          <w:color w:val="1F4E79" w:themeColor="accent5" w:themeShade="80"/>
          <w:sz w:val="56"/>
          <w:szCs w:val="56"/>
          <w:lang w:eastAsia="en-US"/>
        </w:rPr>
      </w:pPr>
    </w:p>
    <w:p w14:paraId="4E5536BD" w14:textId="77777777" w:rsidR="00353AE1" w:rsidRPr="00353AE1" w:rsidRDefault="00353AE1" w:rsidP="00353AE1">
      <w:pPr>
        <w:spacing w:before="0" w:after="0"/>
        <w:rPr>
          <w:rFonts w:asciiTheme="minorBidi" w:eastAsiaTheme="minorHAnsi" w:hAnsiTheme="minorBidi" w:cstheme="minorBidi"/>
          <w:color w:val="1F4E79" w:themeColor="accent5" w:themeShade="80"/>
          <w:sz w:val="56"/>
          <w:szCs w:val="56"/>
          <w:lang w:eastAsia="en-US"/>
        </w:rPr>
      </w:pPr>
    </w:p>
    <w:p w14:paraId="3621DAE9" w14:textId="77777777" w:rsidR="00353AE1" w:rsidRPr="00353AE1" w:rsidRDefault="00353AE1" w:rsidP="00353AE1">
      <w:pPr>
        <w:spacing w:before="0" w:after="0"/>
        <w:rPr>
          <w:rFonts w:asciiTheme="minorBidi" w:eastAsiaTheme="minorHAnsi" w:hAnsiTheme="minorBidi" w:cstheme="minorBidi"/>
          <w:color w:val="1F4E79" w:themeColor="accent5" w:themeShade="80"/>
          <w:sz w:val="56"/>
          <w:szCs w:val="56"/>
          <w:lang w:eastAsia="en-US"/>
        </w:rPr>
      </w:pPr>
    </w:p>
    <w:p w14:paraId="4BD7E5D9" w14:textId="77777777" w:rsidR="00353AE1" w:rsidRPr="00353AE1" w:rsidRDefault="00353AE1" w:rsidP="00353AE1">
      <w:pPr>
        <w:spacing w:before="0" w:after="0"/>
        <w:rPr>
          <w:rFonts w:asciiTheme="minorBidi" w:eastAsiaTheme="minorHAnsi" w:hAnsiTheme="minorBidi" w:cstheme="minorBidi"/>
          <w:color w:val="1F4E79" w:themeColor="accent5" w:themeShade="80"/>
          <w:sz w:val="56"/>
          <w:szCs w:val="56"/>
          <w:lang w:eastAsia="en-US"/>
        </w:rPr>
      </w:pPr>
    </w:p>
    <w:p w14:paraId="3499A16E" w14:textId="77777777" w:rsidR="00353AE1" w:rsidRPr="00353AE1" w:rsidRDefault="00353AE1" w:rsidP="00353AE1">
      <w:pPr>
        <w:spacing w:before="0" w:after="0"/>
        <w:rPr>
          <w:rFonts w:asciiTheme="minorBidi" w:eastAsiaTheme="minorHAnsi" w:hAnsiTheme="minorBidi" w:cstheme="minorBidi"/>
          <w:color w:val="1F4E79" w:themeColor="accent5" w:themeShade="80"/>
          <w:sz w:val="56"/>
          <w:szCs w:val="56"/>
          <w:lang w:eastAsia="en-US"/>
        </w:rPr>
      </w:pPr>
    </w:p>
    <w:p w14:paraId="04D2CC83" w14:textId="77777777" w:rsidR="00353AE1" w:rsidRPr="00353AE1" w:rsidRDefault="00353AE1" w:rsidP="00353AE1">
      <w:pPr>
        <w:spacing w:before="0" w:after="0"/>
        <w:rPr>
          <w:rFonts w:asciiTheme="minorBidi" w:eastAsiaTheme="minorHAnsi" w:hAnsiTheme="minorBidi" w:cstheme="minorBidi"/>
          <w:color w:val="1F4E79" w:themeColor="accent5" w:themeShade="80"/>
          <w:sz w:val="56"/>
          <w:szCs w:val="56"/>
          <w:lang w:eastAsia="en-US"/>
        </w:rPr>
      </w:pPr>
    </w:p>
    <w:p w14:paraId="25FC5F03" w14:textId="77777777" w:rsidR="00353AE1" w:rsidRPr="00353AE1" w:rsidRDefault="00353AE1" w:rsidP="00353AE1">
      <w:pPr>
        <w:spacing w:before="0" w:after="0"/>
        <w:rPr>
          <w:rFonts w:asciiTheme="minorBidi" w:eastAsiaTheme="minorHAnsi" w:hAnsiTheme="minorBidi" w:cstheme="minorBidi"/>
          <w:color w:val="1F4E79" w:themeColor="accent5" w:themeShade="80"/>
          <w:sz w:val="56"/>
          <w:szCs w:val="56"/>
          <w:lang w:eastAsia="en-US"/>
        </w:rPr>
      </w:pPr>
    </w:p>
    <w:p w14:paraId="5DD5AA03" w14:textId="77777777" w:rsidR="00353AE1" w:rsidRPr="00353AE1" w:rsidRDefault="00353AE1" w:rsidP="00353AE1">
      <w:pPr>
        <w:spacing w:before="0" w:after="0"/>
        <w:rPr>
          <w:rFonts w:asciiTheme="minorBidi" w:eastAsiaTheme="minorHAnsi" w:hAnsiTheme="minorBidi" w:cstheme="minorBidi"/>
          <w:color w:val="1F4E79" w:themeColor="accent5" w:themeShade="80"/>
          <w:sz w:val="56"/>
          <w:szCs w:val="56"/>
          <w:lang w:eastAsia="en-US"/>
        </w:rPr>
      </w:pPr>
    </w:p>
    <w:p w14:paraId="2E9C3811" w14:textId="77777777" w:rsidR="00353AE1" w:rsidRPr="00353AE1" w:rsidRDefault="00353AE1" w:rsidP="00353AE1">
      <w:pPr>
        <w:spacing w:before="0" w:after="0"/>
        <w:rPr>
          <w:rFonts w:ascii="Arial" w:eastAsiaTheme="minorHAnsi" w:hAnsi="Arial" w:cs="Arial"/>
          <w:color w:val="1F4E79" w:themeColor="accent5" w:themeShade="80"/>
          <w:szCs w:val="24"/>
          <w:lang w:eastAsia="en-US"/>
        </w:rPr>
      </w:pPr>
      <w:r w:rsidRPr="00353AE1">
        <w:rPr>
          <w:rFonts w:ascii="Arial" w:eastAsiaTheme="minorHAnsi" w:hAnsi="Arial" w:cs="Arial"/>
          <w:color w:val="1F4E79" w:themeColor="accent5" w:themeShade="80"/>
          <w:sz w:val="56"/>
          <w:szCs w:val="56"/>
          <w:lang w:eastAsia="en-US"/>
        </w:rPr>
        <w:lastRenderedPageBreak/>
        <w:t>Customer (Customer Service Centres)</w:t>
      </w:r>
    </w:p>
    <w:tbl>
      <w:tblPr>
        <w:tblStyle w:val="TableGrid1"/>
        <w:tblW w:w="10632"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Look w:val="04A0" w:firstRow="1" w:lastRow="0" w:firstColumn="1" w:lastColumn="0" w:noHBand="0" w:noVBand="1"/>
      </w:tblPr>
      <w:tblGrid>
        <w:gridCol w:w="6237"/>
        <w:gridCol w:w="4395"/>
      </w:tblGrid>
      <w:tr w:rsidR="00353AE1" w:rsidRPr="00353AE1" w14:paraId="68A3FDAE" w14:textId="77777777" w:rsidTr="00B26970">
        <w:tc>
          <w:tcPr>
            <w:tcW w:w="6237" w:type="dxa"/>
            <w:shd w:val="clear" w:color="auto" w:fill="1F4E79" w:themeFill="accent5" w:themeFillShade="80"/>
            <w:vAlign w:val="center"/>
          </w:tcPr>
          <w:p w14:paraId="3A1FB4A6" w14:textId="77777777" w:rsidR="00353AE1" w:rsidRPr="00353AE1" w:rsidRDefault="00353AE1" w:rsidP="00353AE1">
            <w:pPr>
              <w:jc w:val="center"/>
              <w:rPr>
                <w:rFonts w:ascii="Arial" w:eastAsiaTheme="minorHAnsi" w:hAnsi="Arial" w:cs="Arial"/>
                <w:b/>
                <w:bCs/>
                <w:color w:val="FFFFFF" w:themeColor="background1"/>
              </w:rPr>
            </w:pPr>
            <w:r w:rsidRPr="00353AE1">
              <w:rPr>
                <w:rFonts w:ascii="Arial" w:eastAsiaTheme="minorHAnsi" w:hAnsi="Arial" w:cs="Arial"/>
                <w:b/>
                <w:bCs/>
                <w:color w:val="FFFFFF" w:themeColor="background1"/>
              </w:rPr>
              <w:t>Performance</w:t>
            </w:r>
          </w:p>
        </w:tc>
        <w:tc>
          <w:tcPr>
            <w:tcW w:w="4395" w:type="dxa"/>
            <w:shd w:val="clear" w:color="auto" w:fill="1F4E79" w:themeFill="accent5" w:themeFillShade="80"/>
            <w:vAlign w:val="center"/>
          </w:tcPr>
          <w:p w14:paraId="6D62214A" w14:textId="77777777" w:rsidR="00353AE1" w:rsidRPr="00353AE1" w:rsidRDefault="00353AE1" w:rsidP="00353AE1">
            <w:pPr>
              <w:jc w:val="center"/>
              <w:rPr>
                <w:rFonts w:ascii="Arial" w:eastAsiaTheme="minorHAnsi" w:hAnsi="Arial" w:cs="Arial"/>
                <w:b/>
                <w:bCs/>
                <w:color w:val="FFFFFF" w:themeColor="background1"/>
              </w:rPr>
            </w:pPr>
            <w:r w:rsidRPr="00353AE1">
              <w:rPr>
                <w:rFonts w:ascii="Arial" w:eastAsiaTheme="minorHAnsi" w:hAnsi="Arial" w:cs="Arial"/>
                <w:b/>
                <w:bCs/>
                <w:color w:val="FFFFFF" w:themeColor="background1"/>
              </w:rPr>
              <w:t>Progress</w:t>
            </w:r>
          </w:p>
        </w:tc>
      </w:tr>
      <w:tr w:rsidR="00353AE1" w:rsidRPr="00353AE1" w14:paraId="4911512B" w14:textId="77777777" w:rsidTr="00B26970">
        <w:tc>
          <w:tcPr>
            <w:tcW w:w="6237" w:type="dxa"/>
          </w:tcPr>
          <w:p w14:paraId="7647E854" w14:textId="77777777" w:rsidR="00353AE1" w:rsidRPr="00353AE1" w:rsidRDefault="00353AE1" w:rsidP="00353AE1">
            <w:pPr>
              <w:jc w:val="center"/>
              <w:rPr>
                <w:rFonts w:asciiTheme="minorBidi" w:eastAsiaTheme="minorHAnsi" w:hAnsiTheme="minorBidi"/>
                <w:noProof/>
                <w:color w:val="1F4E79" w:themeColor="accent5" w:themeShade="80"/>
              </w:rPr>
            </w:pPr>
            <w:r w:rsidRPr="00353AE1">
              <w:rPr>
                <w:rFonts w:asciiTheme="minorBidi" w:eastAsiaTheme="minorHAnsi" w:hAnsiTheme="minorBidi"/>
                <w:noProof/>
                <w:color w:val="1F4E79" w:themeColor="accent5" w:themeShade="80"/>
              </w:rPr>
              <w:drawing>
                <wp:inline distT="0" distB="0" distL="0" distR="0" wp14:anchorId="0FC83935" wp14:editId="0F47608D">
                  <wp:extent cx="3657600" cy="2271713"/>
                  <wp:effectExtent l="0" t="0" r="0" b="14605"/>
                  <wp:docPr id="27" name="Chart 27">
                    <a:extLst xmlns:a="http://schemas.openxmlformats.org/drawingml/2006/main">
                      <a:ext uri="{FF2B5EF4-FFF2-40B4-BE49-F238E27FC236}">
                        <a16:creationId xmlns:a16="http://schemas.microsoft.com/office/drawing/2014/main" id="{73381088-23FC-478F-9886-1D0A0EE143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395" w:type="dxa"/>
          </w:tcPr>
          <w:p w14:paraId="3FA8E2D7" w14:textId="77777777" w:rsidR="00353AE1" w:rsidRPr="00353AE1" w:rsidRDefault="00353AE1" w:rsidP="00353AE1">
            <w:pPr>
              <w:shd w:val="clear" w:color="auto" w:fill="FFFFFF"/>
              <w:spacing w:before="0" w:after="0"/>
              <w:textAlignment w:val="baseline"/>
              <w:rPr>
                <w:rFonts w:ascii="Arial" w:eastAsiaTheme="minorHAnsi" w:hAnsi="Arial" w:cs="Arial"/>
                <w:color w:val="1F4E79" w:themeColor="accent5" w:themeShade="80"/>
                <w:sz w:val="22"/>
                <w:szCs w:val="22"/>
              </w:rPr>
            </w:pPr>
            <w:r w:rsidRPr="00353AE1">
              <w:rPr>
                <w:rFonts w:ascii="Arial" w:eastAsiaTheme="minorHAnsi" w:hAnsi="Arial" w:cs="Arial"/>
                <w:color w:val="1F4E79" w:themeColor="accent5" w:themeShade="80"/>
                <w:sz w:val="22"/>
                <w:szCs w:val="22"/>
              </w:rPr>
              <w:t>There was a marked reduction in visitors to Customer Service Centres.</w:t>
            </w:r>
          </w:p>
          <w:p w14:paraId="4D13238D" w14:textId="77777777" w:rsidR="00353AE1" w:rsidRPr="00353AE1" w:rsidRDefault="00353AE1" w:rsidP="00353AE1">
            <w:pPr>
              <w:shd w:val="clear" w:color="auto" w:fill="FFFFFF"/>
              <w:spacing w:before="0" w:after="0"/>
              <w:textAlignment w:val="baseline"/>
              <w:rPr>
                <w:rFonts w:ascii="Arial" w:eastAsiaTheme="minorHAnsi" w:hAnsi="Arial" w:cs="Arial"/>
                <w:color w:val="1F4E79" w:themeColor="accent5" w:themeShade="80"/>
                <w:sz w:val="22"/>
                <w:szCs w:val="22"/>
              </w:rPr>
            </w:pPr>
          </w:p>
          <w:p w14:paraId="7247C311" w14:textId="77777777" w:rsidR="00353AE1" w:rsidRPr="00353AE1" w:rsidRDefault="00353AE1" w:rsidP="00353AE1">
            <w:pPr>
              <w:shd w:val="clear" w:color="auto" w:fill="FFFFFF"/>
              <w:spacing w:before="0" w:after="0"/>
              <w:textAlignment w:val="baseline"/>
              <w:rPr>
                <w:rFonts w:ascii="Arial" w:eastAsiaTheme="minorHAnsi" w:hAnsi="Arial" w:cs="Arial"/>
                <w:color w:val="1F4E79" w:themeColor="accent5" w:themeShade="80"/>
                <w:sz w:val="22"/>
                <w:szCs w:val="22"/>
              </w:rPr>
            </w:pPr>
            <w:r w:rsidRPr="00353AE1">
              <w:rPr>
                <w:rFonts w:ascii="Arial" w:eastAsiaTheme="minorHAnsi" w:hAnsi="Arial" w:cs="Arial"/>
                <w:color w:val="1F4E79" w:themeColor="accent5" w:themeShade="80"/>
                <w:sz w:val="22"/>
                <w:szCs w:val="22"/>
              </w:rPr>
              <w:t>In 18/19 there were 38,109 appointments and 297,925 general transactions.</w:t>
            </w:r>
          </w:p>
          <w:p w14:paraId="46136421" w14:textId="77777777" w:rsidR="00353AE1" w:rsidRPr="00353AE1" w:rsidRDefault="00353AE1" w:rsidP="00353AE1">
            <w:pPr>
              <w:shd w:val="clear" w:color="auto" w:fill="FFFFFF"/>
              <w:spacing w:before="0" w:after="0"/>
              <w:textAlignment w:val="baseline"/>
              <w:rPr>
                <w:rFonts w:ascii="Arial" w:eastAsiaTheme="minorHAnsi" w:hAnsi="Arial" w:cs="Arial"/>
                <w:color w:val="1F4E79" w:themeColor="accent5" w:themeShade="80"/>
                <w:sz w:val="22"/>
                <w:szCs w:val="22"/>
              </w:rPr>
            </w:pPr>
          </w:p>
          <w:p w14:paraId="70F510B0" w14:textId="77777777" w:rsidR="00353AE1" w:rsidRPr="00353AE1" w:rsidRDefault="00353AE1" w:rsidP="00353AE1">
            <w:pPr>
              <w:shd w:val="clear" w:color="auto" w:fill="FFFFFF"/>
              <w:spacing w:before="0" w:after="0"/>
              <w:textAlignment w:val="baseline"/>
              <w:rPr>
                <w:rFonts w:ascii="Arial" w:eastAsiaTheme="minorHAnsi" w:hAnsi="Arial" w:cs="Arial"/>
                <w:color w:val="1F4E79" w:themeColor="accent5" w:themeShade="80"/>
                <w:sz w:val="22"/>
                <w:szCs w:val="22"/>
              </w:rPr>
            </w:pPr>
            <w:r w:rsidRPr="00353AE1">
              <w:rPr>
                <w:rFonts w:ascii="Arial" w:eastAsiaTheme="minorHAnsi" w:hAnsi="Arial" w:cs="Arial"/>
                <w:color w:val="1F4E79" w:themeColor="accent5" w:themeShade="80"/>
                <w:sz w:val="22"/>
                <w:szCs w:val="22"/>
              </w:rPr>
              <w:t>In 19/20 this reduced to 35,504 appointments and 259,731 general transactions</w:t>
            </w:r>
          </w:p>
          <w:p w14:paraId="048E33D1" w14:textId="77777777" w:rsidR="00353AE1" w:rsidRPr="00353AE1" w:rsidRDefault="00353AE1" w:rsidP="00353AE1">
            <w:pPr>
              <w:shd w:val="clear" w:color="auto" w:fill="FFFFFF"/>
              <w:spacing w:before="0" w:after="0"/>
              <w:textAlignment w:val="baseline"/>
              <w:rPr>
                <w:rFonts w:ascii="Arial" w:eastAsiaTheme="minorHAnsi" w:hAnsi="Arial" w:cs="Arial"/>
                <w:color w:val="1F4E79" w:themeColor="accent5" w:themeShade="80"/>
                <w:sz w:val="22"/>
                <w:szCs w:val="22"/>
              </w:rPr>
            </w:pPr>
          </w:p>
          <w:p w14:paraId="5E668069" w14:textId="77777777" w:rsidR="00353AE1" w:rsidRPr="00353AE1" w:rsidRDefault="00353AE1" w:rsidP="00353AE1">
            <w:pPr>
              <w:shd w:val="clear" w:color="auto" w:fill="FFFFFF"/>
              <w:spacing w:before="0" w:after="0"/>
              <w:textAlignment w:val="baseline"/>
              <w:rPr>
                <w:rFonts w:ascii="Arial" w:eastAsiaTheme="minorHAnsi" w:hAnsi="Arial" w:cs="Arial"/>
                <w:color w:val="1F4E79" w:themeColor="accent5" w:themeShade="80"/>
                <w:sz w:val="22"/>
                <w:szCs w:val="22"/>
              </w:rPr>
            </w:pPr>
            <w:r w:rsidRPr="00353AE1">
              <w:rPr>
                <w:rFonts w:ascii="Arial" w:eastAsiaTheme="minorHAnsi" w:hAnsi="Arial" w:cs="Arial"/>
                <w:color w:val="1F4E79" w:themeColor="accent5" w:themeShade="80"/>
                <w:sz w:val="22"/>
                <w:szCs w:val="22"/>
              </w:rPr>
              <w:t>Therefore, appointments down 7% year-on-year with general transactions</w:t>
            </w:r>
          </w:p>
          <w:p w14:paraId="1D5931C9" w14:textId="77777777" w:rsidR="00353AE1" w:rsidRPr="00353AE1" w:rsidRDefault="00353AE1" w:rsidP="00353AE1">
            <w:pPr>
              <w:shd w:val="clear" w:color="auto" w:fill="FFFFFF"/>
              <w:spacing w:before="0" w:after="0"/>
              <w:textAlignment w:val="baseline"/>
              <w:rPr>
                <w:rFonts w:ascii="Arial" w:eastAsiaTheme="minorHAnsi" w:hAnsi="Arial" w:cs="Arial"/>
                <w:color w:val="1F4E79" w:themeColor="accent5" w:themeShade="80"/>
                <w:sz w:val="22"/>
                <w:szCs w:val="22"/>
              </w:rPr>
            </w:pPr>
            <w:r w:rsidRPr="00353AE1">
              <w:rPr>
                <w:rFonts w:ascii="Arial" w:eastAsiaTheme="minorHAnsi" w:hAnsi="Arial" w:cs="Arial"/>
                <w:color w:val="1F4E79" w:themeColor="accent5" w:themeShade="80"/>
                <w:sz w:val="22"/>
                <w:szCs w:val="22"/>
              </w:rPr>
              <w:t>down 13% year-on-year.</w:t>
            </w:r>
          </w:p>
          <w:p w14:paraId="01D7A63E" w14:textId="77777777" w:rsidR="00353AE1" w:rsidRPr="00353AE1" w:rsidRDefault="00353AE1" w:rsidP="00353AE1">
            <w:pPr>
              <w:rPr>
                <w:rFonts w:ascii="Arial" w:eastAsiaTheme="minorHAnsi" w:hAnsi="Arial" w:cs="Arial"/>
                <w:color w:val="1F4E79"/>
                <w:sz w:val="22"/>
                <w:szCs w:val="22"/>
              </w:rPr>
            </w:pPr>
          </w:p>
        </w:tc>
      </w:tr>
      <w:tr w:rsidR="00353AE1" w:rsidRPr="00353AE1" w14:paraId="51E7CDE3" w14:textId="77777777" w:rsidTr="00B26970">
        <w:tc>
          <w:tcPr>
            <w:tcW w:w="6237" w:type="dxa"/>
          </w:tcPr>
          <w:p w14:paraId="3863C4C0" w14:textId="77777777" w:rsidR="00353AE1" w:rsidRPr="00353AE1" w:rsidRDefault="00353AE1" w:rsidP="00353AE1">
            <w:pPr>
              <w:jc w:val="center"/>
              <w:rPr>
                <w:rFonts w:asciiTheme="minorBidi" w:eastAsiaTheme="minorHAnsi" w:hAnsiTheme="minorBidi"/>
                <w:noProof/>
                <w:color w:val="1F4E79" w:themeColor="accent5" w:themeShade="80"/>
              </w:rPr>
            </w:pPr>
            <w:r w:rsidRPr="00353AE1">
              <w:rPr>
                <w:rFonts w:asciiTheme="minorBidi" w:eastAsiaTheme="minorHAnsi" w:hAnsiTheme="minorBidi"/>
                <w:color w:val="1F4E79" w:themeColor="accent5" w:themeShade="80"/>
                <w:sz w:val="56"/>
                <w:szCs w:val="56"/>
              </w:rPr>
              <w:br w:type="page"/>
            </w:r>
            <w:r w:rsidRPr="00353AE1">
              <w:rPr>
                <w:rFonts w:asciiTheme="minorBidi" w:eastAsiaTheme="minorHAnsi" w:hAnsiTheme="minorBidi"/>
                <w:noProof/>
                <w:color w:val="1F4E79" w:themeColor="accent5" w:themeShade="80"/>
              </w:rPr>
              <w:drawing>
                <wp:inline distT="0" distB="0" distL="0" distR="0" wp14:anchorId="404FC0D6" wp14:editId="4EA5B3BF">
                  <wp:extent cx="3652838" cy="2281238"/>
                  <wp:effectExtent l="0" t="0" r="5080" b="5080"/>
                  <wp:docPr id="28" name="Chart 28">
                    <a:extLst xmlns:a="http://schemas.openxmlformats.org/drawingml/2006/main">
                      <a:ext uri="{FF2B5EF4-FFF2-40B4-BE49-F238E27FC236}">
                        <a16:creationId xmlns:a16="http://schemas.microsoft.com/office/drawing/2014/main" id="{5AC3B141-9E91-44F9-B80A-0B819D963B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395" w:type="dxa"/>
          </w:tcPr>
          <w:p w14:paraId="667FDA55" w14:textId="77777777" w:rsidR="00353AE1" w:rsidRPr="00353AE1" w:rsidRDefault="00353AE1" w:rsidP="00353AE1">
            <w:pPr>
              <w:rPr>
                <w:rFonts w:ascii="Arial" w:eastAsiaTheme="minorHAnsi" w:hAnsi="Arial" w:cs="Arial"/>
                <w:color w:val="1F4E79"/>
                <w:sz w:val="22"/>
                <w:szCs w:val="22"/>
              </w:rPr>
            </w:pPr>
            <w:r w:rsidRPr="00353AE1">
              <w:rPr>
                <w:rFonts w:ascii="Arial" w:eastAsiaTheme="minorHAnsi" w:hAnsi="Arial" w:cs="Arial"/>
                <w:color w:val="1F4E79" w:themeColor="accent5" w:themeShade="80"/>
                <w:sz w:val="22"/>
                <w:szCs w:val="22"/>
              </w:rPr>
              <w:t>Our accuracy of input continues to remain high, exceeding the National Records Scotland target of 96% for multi-disciplined offices.</w:t>
            </w:r>
          </w:p>
        </w:tc>
      </w:tr>
      <w:tr w:rsidR="00353AE1" w:rsidRPr="00353AE1" w14:paraId="12BAECE0" w14:textId="77777777" w:rsidTr="00B26970">
        <w:tc>
          <w:tcPr>
            <w:tcW w:w="6237" w:type="dxa"/>
          </w:tcPr>
          <w:p w14:paraId="44D26398" w14:textId="77777777" w:rsidR="00353AE1" w:rsidRPr="00353AE1" w:rsidRDefault="00353AE1" w:rsidP="00353AE1">
            <w:pPr>
              <w:jc w:val="center"/>
              <w:rPr>
                <w:rFonts w:asciiTheme="minorBidi" w:eastAsiaTheme="minorHAnsi" w:hAnsiTheme="minorBidi"/>
                <w:noProof/>
                <w:color w:val="1F4E79" w:themeColor="accent5" w:themeShade="80"/>
              </w:rPr>
            </w:pPr>
            <w:r w:rsidRPr="00353AE1">
              <w:rPr>
                <w:rFonts w:asciiTheme="minorBidi" w:eastAsiaTheme="minorHAnsi" w:hAnsiTheme="minorBidi"/>
                <w:noProof/>
                <w:color w:val="1F4E79" w:themeColor="accent5" w:themeShade="80"/>
              </w:rPr>
              <w:drawing>
                <wp:inline distT="0" distB="0" distL="0" distR="0" wp14:anchorId="45ED96B4" wp14:editId="46BB5BF2">
                  <wp:extent cx="3652838" cy="2281238"/>
                  <wp:effectExtent l="0" t="0" r="5080" b="5080"/>
                  <wp:docPr id="29" name="Chart 29">
                    <a:extLst xmlns:a="http://schemas.openxmlformats.org/drawingml/2006/main">
                      <a:ext uri="{FF2B5EF4-FFF2-40B4-BE49-F238E27FC236}">
                        <a16:creationId xmlns:a16="http://schemas.microsoft.com/office/drawing/2014/main" id="{A46E3410-6041-40CA-BB1B-43F5B83049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395" w:type="dxa"/>
          </w:tcPr>
          <w:p w14:paraId="564387CC" w14:textId="77777777" w:rsidR="00353AE1" w:rsidRPr="00353AE1" w:rsidRDefault="00353AE1" w:rsidP="00353AE1">
            <w:pPr>
              <w:rPr>
                <w:rFonts w:ascii="Arial" w:eastAsiaTheme="minorHAnsi" w:hAnsi="Arial" w:cs="Arial"/>
                <w:color w:val="1F4E79" w:themeColor="accent5" w:themeShade="80"/>
                <w:sz w:val="22"/>
                <w:szCs w:val="22"/>
              </w:rPr>
            </w:pPr>
            <w:r w:rsidRPr="00353AE1">
              <w:rPr>
                <w:rFonts w:ascii="Arial" w:eastAsiaTheme="minorHAnsi" w:hAnsi="Arial" w:cs="Arial"/>
                <w:color w:val="1F4E79" w:themeColor="accent5" w:themeShade="80"/>
                <w:sz w:val="22"/>
                <w:szCs w:val="22"/>
              </w:rPr>
              <w:t>A link to a short online survey is emailed automatically to customers 4 weeks after their case is logged.</w:t>
            </w:r>
          </w:p>
          <w:p w14:paraId="77BD852F" w14:textId="77777777" w:rsidR="00353AE1" w:rsidRPr="00353AE1" w:rsidRDefault="00353AE1" w:rsidP="00353AE1">
            <w:pPr>
              <w:rPr>
                <w:rFonts w:ascii="Arial" w:eastAsiaTheme="minorHAnsi" w:hAnsi="Arial" w:cs="Arial"/>
                <w:color w:val="1F4E79" w:themeColor="accent5" w:themeShade="80"/>
                <w:sz w:val="22"/>
                <w:szCs w:val="22"/>
              </w:rPr>
            </w:pPr>
            <w:r w:rsidRPr="00353AE1">
              <w:rPr>
                <w:rFonts w:ascii="Arial" w:eastAsiaTheme="minorHAnsi" w:hAnsi="Arial" w:cs="Arial"/>
                <w:color w:val="1F4E79" w:themeColor="accent5" w:themeShade="80"/>
                <w:sz w:val="22"/>
                <w:szCs w:val="22"/>
              </w:rPr>
              <w:t xml:space="preserve">The automated distribution of this short customer survey to large numbers of customers is generating a high level of response. By linking up to Lagan, feedback is based on real transactions.  </w:t>
            </w:r>
          </w:p>
          <w:p w14:paraId="3CAB4161" w14:textId="77777777" w:rsidR="00353AE1" w:rsidRPr="00353AE1" w:rsidRDefault="00353AE1" w:rsidP="00353AE1">
            <w:pPr>
              <w:rPr>
                <w:rFonts w:ascii="Arial" w:eastAsiaTheme="minorHAnsi" w:hAnsi="Arial" w:cs="Arial"/>
                <w:color w:val="1F4E79" w:themeColor="accent5" w:themeShade="80"/>
                <w:sz w:val="22"/>
                <w:szCs w:val="22"/>
              </w:rPr>
            </w:pPr>
            <w:r w:rsidRPr="00353AE1">
              <w:rPr>
                <w:rFonts w:ascii="Arial" w:eastAsiaTheme="minorHAnsi" w:hAnsi="Arial" w:cs="Arial"/>
                <w:color w:val="1F4E79" w:themeColor="accent5" w:themeShade="80"/>
                <w:sz w:val="22"/>
                <w:szCs w:val="22"/>
              </w:rPr>
              <w:t>Services are making real improvements in service delivery. Work with Roads and Network Management for example, has seen an improvement in the quality of responses.</w:t>
            </w:r>
          </w:p>
          <w:p w14:paraId="10F7EFE5" w14:textId="77777777" w:rsidR="00353AE1" w:rsidRPr="00353AE1" w:rsidRDefault="00353AE1" w:rsidP="00353AE1">
            <w:pPr>
              <w:spacing w:before="0" w:after="200" w:line="276" w:lineRule="auto"/>
              <w:rPr>
                <w:rFonts w:ascii="Arial" w:eastAsiaTheme="minorHAnsi" w:hAnsi="Arial" w:cs="Arial"/>
                <w:color w:val="1F4E79" w:themeColor="accent5" w:themeShade="80"/>
                <w:sz w:val="22"/>
                <w:szCs w:val="22"/>
              </w:rPr>
            </w:pPr>
            <w:r w:rsidRPr="00353AE1">
              <w:rPr>
                <w:rFonts w:ascii="Arial" w:eastAsiaTheme="minorHAnsi" w:hAnsi="Arial" w:cs="Arial"/>
                <w:color w:val="1F4E79" w:themeColor="accent5" w:themeShade="80"/>
                <w:sz w:val="22"/>
                <w:szCs w:val="22"/>
              </w:rPr>
              <w:t>Overall satisfaction has dropped slightly for Fife Council but has increased on 19/20 for COS and remains consistently high at 84%.</w:t>
            </w:r>
          </w:p>
        </w:tc>
      </w:tr>
    </w:tbl>
    <w:p w14:paraId="281E0832" w14:textId="77777777" w:rsidR="00353AE1" w:rsidRPr="00353AE1" w:rsidRDefault="00353AE1" w:rsidP="00353AE1">
      <w:pPr>
        <w:rPr>
          <w:rFonts w:ascii="Arial" w:eastAsiaTheme="minorHAnsi" w:hAnsi="Arial" w:cs="Arial"/>
          <w:color w:val="1F4E79" w:themeColor="accent5" w:themeShade="80"/>
          <w:sz w:val="56"/>
          <w:szCs w:val="56"/>
          <w:lang w:eastAsia="en-US"/>
        </w:rPr>
      </w:pPr>
      <w:r w:rsidRPr="00353AE1">
        <w:rPr>
          <w:rFonts w:ascii="Arial" w:eastAsiaTheme="minorHAnsi" w:hAnsi="Arial" w:cs="Arial"/>
          <w:color w:val="1F4E79" w:themeColor="accent5" w:themeShade="80"/>
          <w:sz w:val="56"/>
          <w:szCs w:val="56"/>
          <w:lang w:eastAsia="en-US"/>
        </w:rPr>
        <w:lastRenderedPageBreak/>
        <w:t>People</w:t>
      </w:r>
    </w:p>
    <w:tbl>
      <w:tblPr>
        <w:tblStyle w:val="TableGrid1"/>
        <w:tblW w:w="10632"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237"/>
        <w:gridCol w:w="4395"/>
      </w:tblGrid>
      <w:tr w:rsidR="00353AE1" w:rsidRPr="00353AE1" w14:paraId="3E5243BB" w14:textId="77777777" w:rsidTr="00B26970">
        <w:tc>
          <w:tcPr>
            <w:tcW w:w="6237" w:type="dxa"/>
            <w:shd w:val="clear" w:color="auto" w:fill="1F4E79" w:themeFill="accent5" w:themeFillShade="80"/>
            <w:vAlign w:val="center"/>
          </w:tcPr>
          <w:bookmarkEnd w:id="2"/>
          <w:p w14:paraId="232D3032" w14:textId="77777777" w:rsidR="00353AE1" w:rsidRPr="00353AE1" w:rsidRDefault="00353AE1" w:rsidP="00353AE1">
            <w:pPr>
              <w:jc w:val="center"/>
              <w:rPr>
                <w:rFonts w:ascii="Arial" w:eastAsiaTheme="minorHAnsi" w:hAnsi="Arial" w:cs="Arial"/>
                <w:b/>
                <w:bCs/>
                <w:color w:val="FFFFFF" w:themeColor="background1"/>
              </w:rPr>
            </w:pPr>
            <w:r w:rsidRPr="00353AE1">
              <w:rPr>
                <w:rFonts w:ascii="Arial" w:eastAsiaTheme="minorHAnsi" w:hAnsi="Arial" w:cs="Arial"/>
                <w:b/>
                <w:bCs/>
                <w:color w:val="FFFFFF" w:themeColor="background1"/>
              </w:rPr>
              <w:t>Performance</w:t>
            </w:r>
          </w:p>
        </w:tc>
        <w:tc>
          <w:tcPr>
            <w:tcW w:w="4395" w:type="dxa"/>
            <w:shd w:val="clear" w:color="auto" w:fill="1F4E79" w:themeFill="accent5" w:themeFillShade="80"/>
            <w:vAlign w:val="center"/>
          </w:tcPr>
          <w:p w14:paraId="179EB353" w14:textId="77777777" w:rsidR="00353AE1" w:rsidRPr="00353AE1" w:rsidRDefault="00353AE1" w:rsidP="00353AE1">
            <w:pPr>
              <w:jc w:val="center"/>
              <w:rPr>
                <w:rFonts w:ascii="Arial" w:eastAsiaTheme="minorHAnsi" w:hAnsi="Arial" w:cs="Arial"/>
                <w:b/>
                <w:bCs/>
                <w:color w:val="FFFFFF" w:themeColor="background1"/>
              </w:rPr>
            </w:pPr>
            <w:r w:rsidRPr="00353AE1">
              <w:rPr>
                <w:rFonts w:ascii="Arial" w:eastAsiaTheme="minorHAnsi" w:hAnsi="Arial" w:cs="Arial"/>
                <w:b/>
                <w:bCs/>
                <w:color w:val="FFFFFF" w:themeColor="background1"/>
              </w:rPr>
              <w:t>Progress</w:t>
            </w:r>
          </w:p>
        </w:tc>
      </w:tr>
      <w:tr w:rsidR="00353AE1" w:rsidRPr="00353AE1" w14:paraId="3EA5CCAC" w14:textId="77777777" w:rsidTr="00B26970">
        <w:tc>
          <w:tcPr>
            <w:tcW w:w="6237" w:type="dxa"/>
          </w:tcPr>
          <w:p w14:paraId="74FD28D5" w14:textId="77777777" w:rsidR="00353AE1" w:rsidRPr="00353AE1" w:rsidRDefault="00353AE1" w:rsidP="00353AE1">
            <w:pPr>
              <w:jc w:val="center"/>
              <w:rPr>
                <w:rFonts w:asciiTheme="minorBidi" w:eastAsiaTheme="minorHAnsi" w:hAnsiTheme="minorBidi"/>
                <w:color w:val="1F4E79" w:themeColor="accent5" w:themeShade="80"/>
              </w:rPr>
            </w:pPr>
            <w:r w:rsidRPr="00353AE1">
              <w:rPr>
                <w:rFonts w:asciiTheme="minorBidi" w:eastAsiaTheme="minorHAnsi" w:hAnsiTheme="minorBidi"/>
                <w:noProof/>
                <w:color w:val="1F4E79" w:themeColor="accent5" w:themeShade="80"/>
              </w:rPr>
              <w:drawing>
                <wp:inline distT="0" distB="0" distL="0" distR="0" wp14:anchorId="1CC3239D" wp14:editId="053A0991">
                  <wp:extent cx="3652838" cy="2281238"/>
                  <wp:effectExtent l="0" t="0" r="5080" b="5080"/>
                  <wp:docPr id="11" name="Chart 11">
                    <a:extLst xmlns:a="http://schemas.openxmlformats.org/drawingml/2006/main">
                      <a:ext uri="{FF2B5EF4-FFF2-40B4-BE49-F238E27FC236}">
                        <a16:creationId xmlns:a16="http://schemas.microsoft.com/office/drawing/2014/main" id="{169A2DDB-3BA2-4E5C-B917-D0E21634EB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395" w:type="dxa"/>
            <w:vMerge w:val="restart"/>
          </w:tcPr>
          <w:p w14:paraId="2F1473A8" w14:textId="77777777" w:rsidR="00353AE1" w:rsidRPr="00353AE1" w:rsidRDefault="00353AE1" w:rsidP="00353AE1">
            <w:pPr>
              <w:rPr>
                <w:rFonts w:ascii="Arial" w:eastAsiaTheme="minorHAnsi" w:hAnsi="Arial" w:cs="Arial"/>
                <w:color w:val="1F4E79"/>
              </w:rPr>
            </w:pPr>
            <w:r w:rsidRPr="00353AE1">
              <w:rPr>
                <w:rFonts w:ascii="Arial" w:eastAsiaTheme="minorHAnsi" w:hAnsi="Arial" w:cs="Arial"/>
                <w:color w:val="1F4E79"/>
              </w:rPr>
              <w:t>As a service we continue to work with our staffing cohort to manage attendance and we have seen a gradual improvement in 19/20.</w:t>
            </w:r>
          </w:p>
        </w:tc>
      </w:tr>
      <w:tr w:rsidR="00353AE1" w:rsidRPr="00353AE1" w14:paraId="064875CA" w14:textId="77777777" w:rsidTr="00B26970">
        <w:tc>
          <w:tcPr>
            <w:tcW w:w="6237" w:type="dxa"/>
          </w:tcPr>
          <w:p w14:paraId="79A9B7C0" w14:textId="77777777" w:rsidR="00353AE1" w:rsidRPr="00353AE1" w:rsidRDefault="00353AE1" w:rsidP="00353AE1">
            <w:pPr>
              <w:jc w:val="center"/>
              <w:rPr>
                <w:rFonts w:asciiTheme="minorBidi" w:eastAsiaTheme="minorHAnsi" w:hAnsiTheme="minorBidi"/>
                <w:color w:val="1F4E79" w:themeColor="accent5" w:themeShade="80"/>
              </w:rPr>
            </w:pPr>
            <w:r w:rsidRPr="00353AE1">
              <w:rPr>
                <w:rFonts w:asciiTheme="minorBidi" w:eastAsiaTheme="minorHAnsi" w:hAnsiTheme="minorBidi"/>
                <w:noProof/>
                <w:color w:val="1F4E79" w:themeColor="accent5" w:themeShade="80"/>
              </w:rPr>
              <w:drawing>
                <wp:inline distT="0" distB="0" distL="0" distR="0" wp14:anchorId="1E8DB6C0" wp14:editId="3DA8AAA2">
                  <wp:extent cx="3652838" cy="2281238"/>
                  <wp:effectExtent l="0" t="0" r="5080" b="5080"/>
                  <wp:docPr id="12" name="Chart 12">
                    <a:extLst xmlns:a="http://schemas.openxmlformats.org/drawingml/2006/main">
                      <a:ext uri="{FF2B5EF4-FFF2-40B4-BE49-F238E27FC236}">
                        <a16:creationId xmlns:a16="http://schemas.microsoft.com/office/drawing/2014/main" id="{5B2CC079-24E8-416A-B411-4055F9CA22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395" w:type="dxa"/>
            <w:vMerge/>
          </w:tcPr>
          <w:p w14:paraId="7EFB35B6" w14:textId="77777777" w:rsidR="00353AE1" w:rsidRPr="00353AE1" w:rsidRDefault="00353AE1" w:rsidP="00353AE1">
            <w:pPr>
              <w:rPr>
                <w:rFonts w:asciiTheme="minorBidi" w:eastAsiaTheme="minorHAnsi" w:hAnsiTheme="minorBidi"/>
                <w:color w:val="1F4E79"/>
              </w:rPr>
            </w:pPr>
          </w:p>
        </w:tc>
      </w:tr>
      <w:tr w:rsidR="00353AE1" w:rsidRPr="00353AE1" w14:paraId="6A6B0AA5" w14:textId="77777777" w:rsidTr="00B26970">
        <w:tc>
          <w:tcPr>
            <w:tcW w:w="6237" w:type="dxa"/>
          </w:tcPr>
          <w:p w14:paraId="24DB84CD" w14:textId="77777777" w:rsidR="00353AE1" w:rsidRPr="00353AE1" w:rsidRDefault="00353AE1" w:rsidP="00353AE1">
            <w:pPr>
              <w:jc w:val="center"/>
              <w:rPr>
                <w:rFonts w:asciiTheme="minorBidi" w:eastAsiaTheme="minorHAnsi" w:hAnsiTheme="minorBidi"/>
                <w:color w:val="1F4E79" w:themeColor="accent5" w:themeShade="80"/>
              </w:rPr>
            </w:pPr>
            <w:r w:rsidRPr="00353AE1">
              <w:rPr>
                <w:rFonts w:asciiTheme="minorBidi" w:eastAsiaTheme="minorHAnsi" w:hAnsiTheme="minorBidi"/>
                <w:noProof/>
                <w:color w:val="1F4E79" w:themeColor="accent5" w:themeShade="80"/>
              </w:rPr>
              <w:drawing>
                <wp:inline distT="0" distB="0" distL="0" distR="0" wp14:anchorId="0AA6DC40" wp14:editId="3E5C3D18">
                  <wp:extent cx="3652838" cy="2281238"/>
                  <wp:effectExtent l="0" t="0" r="5080" b="5080"/>
                  <wp:docPr id="15" name="Chart 15">
                    <a:extLst xmlns:a="http://schemas.openxmlformats.org/drawingml/2006/main">
                      <a:ext uri="{FF2B5EF4-FFF2-40B4-BE49-F238E27FC236}">
                        <a16:creationId xmlns:a16="http://schemas.microsoft.com/office/drawing/2014/main" id="{C0E71F9C-0072-497E-A62F-F06C8DC166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395" w:type="dxa"/>
            <w:vMerge/>
          </w:tcPr>
          <w:p w14:paraId="14826BB7" w14:textId="77777777" w:rsidR="00353AE1" w:rsidRPr="00353AE1" w:rsidRDefault="00353AE1" w:rsidP="00353AE1">
            <w:pPr>
              <w:rPr>
                <w:rFonts w:asciiTheme="minorBidi" w:eastAsiaTheme="minorHAnsi" w:hAnsiTheme="minorBidi"/>
                <w:color w:val="1F4E79" w:themeColor="accent5" w:themeShade="80"/>
              </w:rPr>
            </w:pPr>
          </w:p>
        </w:tc>
      </w:tr>
    </w:tbl>
    <w:p w14:paraId="27843A81" w14:textId="77777777" w:rsidR="00353AE1" w:rsidRPr="00353AE1" w:rsidRDefault="00353AE1" w:rsidP="00353AE1">
      <w:pPr>
        <w:spacing w:before="0" w:after="0"/>
        <w:rPr>
          <w:rFonts w:asciiTheme="minorBidi" w:eastAsiaTheme="minorHAnsi" w:hAnsiTheme="minorBidi" w:cstheme="minorBidi"/>
          <w:color w:val="1F4E79" w:themeColor="accent5" w:themeShade="80"/>
          <w:szCs w:val="24"/>
          <w:lang w:eastAsia="en-US"/>
        </w:rPr>
      </w:pPr>
    </w:p>
    <w:p w14:paraId="16C5232F" w14:textId="77777777" w:rsidR="00353AE1" w:rsidRPr="00353AE1" w:rsidRDefault="00353AE1" w:rsidP="00353AE1">
      <w:pPr>
        <w:spacing w:before="0" w:after="0"/>
        <w:rPr>
          <w:rFonts w:asciiTheme="minorBidi" w:eastAsiaTheme="minorHAnsi" w:hAnsiTheme="minorBidi" w:cstheme="minorBidi"/>
          <w:color w:val="1F4E79" w:themeColor="accent5" w:themeShade="80"/>
          <w:szCs w:val="24"/>
          <w:lang w:eastAsia="en-US"/>
        </w:rPr>
      </w:pPr>
    </w:p>
    <w:p w14:paraId="23E37E05" w14:textId="77777777" w:rsidR="00353AE1" w:rsidRPr="00353AE1" w:rsidRDefault="00353AE1" w:rsidP="00353AE1">
      <w:pPr>
        <w:spacing w:before="0" w:after="0"/>
        <w:rPr>
          <w:rFonts w:asciiTheme="minorBidi" w:eastAsiaTheme="minorHAnsi" w:hAnsiTheme="minorBidi" w:cstheme="minorBidi"/>
          <w:color w:val="1F4E79" w:themeColor="accent5" w:themeShade="80"/>
          <w:szCs w:val="24"/>
          <w:lang w:eastAsia="en-US"/>
        </w:rPr>
      </w:pPr>
    </w:p>
    <w:p w14:paraId="69664547" w14:textId="77777777" w:rsidR="00353AE1" w:rsidRPr="00353AE1" w:rsidRDefault="00353AE1" w:rsidP="00353AE1">
      <w:pPr>
        <w:spacing w:before="0" w:after="0"/>
        <w:rPr>
          <w:rFonts w:asciiTheme="minorBidi" w:eastAsiaTheme="minorHAnsi" w:hAnsiTheme="minorBidi" w:cstheme="minorBidi"/>
          <w:color w:val="1F4E79" w:themeColor="accent5" w:themeShade="80"/>
          <w:szCs w:val="24"/>
          <w:lang w:eastAsia="en-US"/>
        </w:rPr>
      </w:pPr>
    </w:p>
    <w:p w14:paraId="137CAF3B" w14:textId="77777777" w:rsidR="00353AE1" w:rsidRPr="00353AE1" w:rsidRDefault="00353AE1" w:rsidP="00353AE1">
      <w:pPr>
        <w:spacing w:before="0" w:after="0"/>
        <w:rPr>
          <w:rFonts w:asciiTheme="minorBidi" w:eastAsiaTheme="minorHAnsi" w:hAnsiTheme="minorBidi" w:cstheme="minorBidi"/>
          <w:color w:val="1F4E79" w:themeColor="accent5" w:themeShade="80"/>
          <w:szCs w:val="24"/>
          <w:lang w:eastAsia="en-US"/>
        </w:rPr>
      </w:pPr>
    </w:p>
    <w:p w14:paraId="315B1645" w14:textId="77777777" w:rsidR="00353AE1" w:rsidRPr="00353AE1" w:rsidRDefault="00353AE1" w:rsidP="00353AE1">
      <w:pPr>
        <w:spacing w:before="0" w:after="0"/>
        <w:rPr>
          <w:rFonts w:asciiTheme="minorBidi" w:eastAsiaTheme="minorHAnsi" w:hAnsiTheme="minorBidi" w:cstheme="minorBidi"/>
          <w:color w:val="1F4E79" w:themeColor="accent5" w:themeShade="80"/>
          <w:szCs w:val="24"/>
          <w:lang w:eastAsia="en-US"/>
        </w:rPr>
      </w:pPr>
    </w:p>
    <w:p w14:paraId="3EF5E478" w14:textId="77777777" w:rsidR="00353AE1" w:rsidRPr="00353AE1" w:rsidRDefault="00353AE1" w:rsidP="00353AE1">
      <w:pPr>
        <w:rPr>
          <w:rFonts w:ascii="Arial" w:eastAsiaTheme="minorHAnsi" w:hAnsi="Arial" w:cs="Arial"/>
          <w:color w:val="1F4E79" w:themeColor="accent5" w:themeShade="80"/>
          <w:sz w:val="56"/>
          <w:szCs w:val="56"/>
          <w:lang w:eastAsia="en-US"/>
        </w:rPr>
      </w:pPr>
      <w:bookmarkStart w:id="4" w:name="_Hlk14182278"/>
      <w:bookmarkEnd w:id="3"/>
      <w:r w:rsidRPr="00353AE1">
        <w:rPr>
          <w:rFonts w:ascii="Arial" w:eastAsiaTheme="minorHAnsi" w:hAnsi="Arial" w:cs="Arial"/>
          <w:color w:val="1F4E79" w:themeColor="accent5" w:themeShade="80"/>
          <w:sz w:val="56"/>
          <w:szCs w:val="56"/>
          <w:lang w:eastAsia="en-US"/>
        </w:rPr>
        <w:lastRenderedPageBreak/>
        <w:t>Responsiveness (Contact Centre)</w:t>
      </w:r>
    </w:p>
    <w:tbl>
      <w:tblPr>
        <w:tblStyle w:val="TableGrid1"/>
        <w:tblW w:w="15027"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379"/>
        <w:gridCol w:w="4253"/>
        <w:gridCol w:w="4395"/>
      </w:tblGrid>
      <w:tr w:rsidR="00353AE1" w:rsidRPr="00353AE1" w14:paraId="31CEB43F" w14:textId="77777777" w:rsidTr="00B26970">
        <w:trPr>
          <w:gridAfter w:val="1"/>
          <w:wAfter w:w="4395" w:type="dxa"/>
        </w:trPr>
        <w:tc>
          <w:tcPr>
            <w:tcW w:w="6379" w:type="dxa"/>
            <w:shd w:val="clear" w:color="auto" w:fill="1F4E79" w:themeFill="accent5" w:themeFillShade="80"/>
            <w:vAlign w:val="center"/>
          </w:tcPr>
          <w:p w14:paraId="7A4AA948" w14:textId="77777777" w:rsidR="00353AE1" w:rsidRPr="00353AE1" w:rsidRDefault="00353AE1" w:rsidP="00353AE1">
            <w:pPr>
              <w:jc w:val="center"/>
              <w:rPr>
                <w:rFonts w:ascii="Arial" w:eastAsiaTheme="minorHAnsi" w:hAnsi="Arial" w:cs="Arial"/>
                <w:b/>
                <w:bCs/>
                <w:color w:val="FFFFFF" w:themeColor="background1"/>
              </w:rPr>
            </w:pPr>
            <w:bookmarkStart w:id="5" w:name="_Hlk14171017"/>
            <w:bookmarkEnd w:id="4"/>
            <w:r w:rsidRPr="00353AE1">
              <w:rPr>
                <w:rFonts w:ascii="Arial" w:eastAsiaTheme="minorHAnsi" w:hAnsi="Arial" w:cs="Arial"/>
                <w:b/>
                <w:bCs/>
                <w:color w:val="FFFFFF" w:themeColor="background1"/>
              </w:rPr>
              <w:t>Performance</w:t>
            </w:r>
          </w:p>
        </w:tc>
        <w:tc>
          <w:tcPr>
            <w:tcW w:w="4253" w:type="dxa"/>
            <w:shd w:val="clear" w:color="auto" w:fill="1F4E79" w:themeFill="accent5" w:themeFillShade="80"/>
            <w:vAlign w:val="center"/>
          </w:tcPr>
          <w:p w14:paraId="1D4D1942" w14:textId="77777777" w:rsidR="00353AE1" w:rsidRPr="00353AE1" w:rsidRDefault="00353AE1" w:rsidP="00353AE1">
            <w:pPr>
              <w:jc w:val="center"/>
              <w:rPr>
                <w:rFonts w:ascii="Arial" w:eastAsiaTheme="minorHAnsi" w:hAnsi="Arial" w:cs="Arial"/>
                <w:b/>
                <w:bCs/>
                <w:color w:val="FFFFFF" w:themeColor="background1"/>
              </w:rPr>
            </w:pPr>
            <w:r w:rsidRPr="00353AE1">
              <w:rPr>
                <w:rFonts w:ascii="Arial" w:eastAsiaTheme="minorHAnsi" w:hAnsi="Arial" w:cs="Arial"/>
                <w:b/>
                <w:bCs/>
                <w:color w:val="FFFFFF" w:themeColor="background1"/>
              </w:rPr>
              <w:t>Progress</w:t>
            </w:r>
          </w:p>
        </w:tc>
      </w:tr>
      <w:bookmarkEnd w:id="5"/>
      <w:tr w:rsidR="00353AE1" w:rsidRPr="00353AE1" w14:paraId="78B3F9FA" w14:textId="77777777" w:rsidTr="00B26970">
        <w:tc>
          <w:tcPr>
            <w:tcW w:w="6379" w:type="dxa"/>
          </w:tcPr>
          <w:p w14:paraId="61E5A25C" w14:textId="77777777" w:rsidR="00353AE1" w:rsidRPr="00353AE1" w:rsidRDefault="00353AE1" w:rsidP="00353AE1">
            <w:pPr>
              <w:jc w:val="center"/>
              <w:rPr>
                <w:rFonts w:asciiTheme="minorBidi" w:eastAsiaTheme="minorHAnsi" w:hAnsiTheme="minorBidi"/>
                <w:color w:val="1F4E79" w:themeColor="accent5" w:themeShade="80"/>
              </w:rPr>
            </w:pPr>
            <w:r w:rsidRPr="00353AE1">
              <w:rPr>
                <w:rFonts w:asciiTheme="minorBidi" w:eastAsiaTheme="minorHAnsi" w:hAnsiTheme="minorBidi"/>
                <w:noProof/>
                <w:color w:val="1F4E79" w:themeColor="accent5" w:themeShade="80"/>
              </w:rPr>
              <w:drawing>
                <wp:inline distT="0" distB="0" distL="0" distR="0" wp14:anchorId="73A0A43F" wp14:editId="74C9FF9E">
                  <wp:extent cx="3619500" cy="1890713"/>
                  <wp:effectExtent l="0" t="0" r="0" b="14605"/>
                  <wp:docPr id="16" name="Chart 16">
                    <a:extLst xmlns:a="http://schemas.openxmlformats.org/drawingml/2006/main">
                      <a:ext uri="{FF2B5EF4-FFF2-40B4-BE49-F238E27FC236}">
                        <a16:creationId xmlns:a16="http://schemas.microsoft.com/office/drawing/2014/main" id="{8D51D60D-C5F9-4C10-8B62-D2BE3D7BC8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08DCEF4" w14:textId="77777777" w:rsidR="00353AE1" w:rsidRPr="00353AE1" w:rsidRDefault="00353AE1" w:rsidP="00353AE1">
            <w:pPr>
              <w:jc w:val="center"/>
              <w:rPr>
                <w:rFonts w:asciiTheme="minorBidi" w:eastAsiaTheme="minorHAnsi" w:hAnsiTheme="minorBidi"/>
                <w:color w:val="1F4E79" w:themeColor="accent5" w:themeShade="80"/>
              </w:rPr>
            </w:pPr>
            <w:r w:rsidRPr="00353AE1">
              <w:rPr>
                <w:rFonts w:asciiTheme="minorBidi" w:eastAsiaTheme="minorHAnsi" w:hAnsiTheme="minorBidi"/>
                <w:noProof/>
                <w:color w:val="1F4E79" w:themeColor="accent5" w:themeShade="80"/>
              </w:rPr>
              <w:drawing>
                <wp:inline distT="0" distB="0" distL="0" distR="0" wp14:anchorId="04603E9F" wp14:editId="7B4F14BA">
                  <wp:extent cx="3500436" cy="1895475"/>
                  <wp:effectExtent l="0" t="0" r="5080" b="9525"/>
                  <wp:docPr id="17" name="Chart 17">
                    <a:extLst xmlns:a="http://schemas.openxmlformats.org/drawingml/2006/main">
                      <a:ext uri="{FF2B5EF4-FFF2-40B4-BE49-F238E27FC236}">
                        <a16:creationId xmlns:a16="http://schemas.microsoft.com/office/drawing/2014/main" id="{1B58A255-F611-4EF8-ABD4-23E837333D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4B9FAAA" w14:textId="77777777" w:rsidR="00353AE1" w:rsidRPr="00353AE1" w:rsidRDefault="00353AE1" w:rsidP="00353AE1">
            <w:pPr>
              <w:jc w:val="center"/>
              <w:rPr>
                <w:rFonts w:asciiTheme="minorBidi" w:eastAsiaTheme="minorHAnsi" w:hAnsiTheme="minorBidi"/>
                <w:color w:val="1F4E79" w:themeColor="accent5" w:themeShade="80"/>
              </w:rPr>
            </w:pPr>
            <w:r w:rsidRPr="00353AE1">
              <w:rPr>
                <w:rFonts w:asciiTheme="minorBidi" w:eastAsiaTheme="minorHAnsi" w:hAnsiTheme="minorBidi"/>
                <w:noProof/>
                <w:color w:val="1F4E79" w:themeColor="accent5" w:themeShade="80"/>
              </w:rPr>
              <w:drawing>
                <wp:inline distT="0" distB="0" distL="0" distR="0" wp14:anchorId="23DB21E7" wp14:editId="28B057FC">
                  <wp:extent cx="3600450" cy="1885950"/>
                  <wp:effectExtent l="0" t="0" r="0" b="0"/>
                  <wp:docPr id="18" name="Chart 18">
                    <a:extLst xmlns:a="http://schemas.openxmlformats.org/drawingml/2006/main">
                      <a:ext uri="{FF2B5EF4-FFF2-40B4-BE49-F238E27FC236}">
                        <a16:creationId xmlns:a16="http://schemas.microsoft.com/office/drawing/2014/main" id="{DE89C4F2-789D-4A2F-80E4-43568A7892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DD22FA2" w14:textId="77777777" w:rsidR="00353AE1" w:rsidRPr="00353AE1" w:rsidRDefault="00353AE1" w:rsidP="00353AE1">
            <w:pPr>
              <w:jc w:val="center"/>
              <w:rPr>
                <w:rFonts w:asciiTheme="minorBidi" w:eastAsiaTheme="minorHAnsi" w:hAnsiTheme="minorBidi"/>
                <w:color w:val="1F4E79" w:themeColor="accent5" w:themeShade="80"/>
              </w:rPr>
            </w:pPr>
            <w:r w:rsidRPr="00353AE1">
              <w:rPr>
                <w:rFonts w:asciiTheme="minorBidi" w:eastAsiaTheme="minorHAnsi" w:hAnsiTheme="minorBidi"/>
                <w:noProof/>
                <w:color w:val="1F4E79" w:themeColor="accent5" w:themeShade="80"/>
              </w:rPr>
              <w:drawing>
                <wp:inline distT="0" distB="0" distL="0" distR="0" wp14:anchorId="102C39D0" wp14:editId="0BB29D2F">
                  <wp:extent cx="3590924" cy="1895475"/>
                  <wp:effectExtent l="0" t="0" r="10160" b="9525"/>
                  <wp:docPr id="23" name="Chart 23">
                    <a:extLst xmlns:a="http://schemas.openxmlformats.org/drawingml/2006/main">
                      <a:ext uri="{FF2B5EF4-FFF2-40B4-BE49-F238E27FC236}">
                        <a16:creationId xmlns:a16="http://schemas.microsoft.com/office/drawing/2014/main" id="{B018CF34-57DE-479A-84FC-996A721B8B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37A5EEE" w14:textId="77777777" w:rsidR="00353AE1" w:rsidRPr="00353AE1" w:rsidRDefault="00353AE1" w:rsidP="00353AE1">
            <w:pPr>
              <w:jc w:val="center"/>
              <w:rPr>
                <w:rFonts w:asciiTheme="minorBidi" w:eastAsiaTheme="minorHAnsi" w:hAnsiTheme="minorBidi"/>
                <w:color w:val="1F4E79" w:themeColor="accent5" w:themeShade="80"/>
              </w:rPr>
            </w:pPr>
          </w:p>
        </w:tc>
        <w:tc>
          <w:tcPr>
            <w:tcW w:w="4253" w:type="dxa"/>
          </w:tcPr>
          <w:p w14:paraId="0898745B" w14:textId="77777777" w:rsidR="00353AE1" w:rsidRPr="00353AE1" w:rsidRDefault="00353AE1" w:rsidP="00353AE1">
            <w:pPr>
              <w:rPr>
                <w:rFonts w:ascii="Arial" w:eastAsiaTheme="minorHAnsi" w:hAnsi="Arial" w:cs="Arial"/>
                <w:color w:val="1F4E79" w:themeColor="accent5" w:themeShade="80"/>
                <w:sz w:val="22"/>
                <w:szCs w:val="22"/>
              </w:rPr>
            </w:pPr>
            <w:r w:rsidRPr="00353AE1">
              <w:rPr>
                <w:rFonts w:ascii="Arial" w:eastAsiaTheme="minorHAnsi" w:hAnsi="Arial" w:cs="Arial"/>
                <w:color w:val="1F4E79" w:themeColor="accent5" w:themeShade="80"/>
                <w:sz w:val="22"/>
                <w:szCs w:val="22"/>
              </w:rPr>
              <w:t>The Centre workforce is deployed where the need is greatest.  This means ensuring there is weekend and nightshift cover, answering all Community Alarm calls, making sure the Social Work group is resourced and bolstering the Scottish Welfare Fund team.  This is a balancing act, but it is crucial that more vulnerable customers get the service they need.</w:t>
            </w:r>
          </w:p>
          <w:p w14:paraId="5BB47AC2" w14:textId="77777777" w:rsidR="00353AE1" w:rsidRPr="00353AE1" w:rsidRDefault="00353AE1" w:rsidP="00353AE1">
            <w:pPr>
              <w:rPr>
                <w:rFonts w:ascii="Arial" w:eastAsiaTheme="minorHAnsi" w:hAnsi="Arial" w:cs="Arial"/>
                <w:color w:val="1F4E79" w:themeColor="accent5" w:themeShade="80"/>
                <w:sz w:val="22"/>
                <w:szCs w:val="22"/>
              </w:rPr>
            </w:pPr>
            <w:r w:rsidRPr="00353AE1">
              <w:rPr>
                <w:rFonts w:ascii="Arial" w:eastAsiaTheme="minorHAnsi" w:hAnsi="Arial" w:cs="Arial"/>
                <w:color w:val="1F4E79" w:themeColor="accent5" w:themeShade="80"/>
                <w:sz w:val="22"/>
                <w:szCs w:val="22"/>
              </w:rPr>
              <w:t xml:space="preserve">The contact centre work closely with the </w:t>
            </w:r>
            <w:proofErr w:type="spellStart"/>
            <w:r w:rsidRPr="00353AE1">
              <w:rPr>
                <w:rFonts w:ascii="Arial" w:eastAsiaTheme="minorHAnsi" w:hAnsi="Arial" w:cs="Arial"/>
                <w:color w:val="1F4E79" w:themeColor="accent5" w:themeShade="80"/>
                <w:sz w:val="22"/>
                <w:szCs w:val="22"/>
              </w:rPr>
              <w:t>webteam</w:t>
            </w:r>
            <w:proofErr w:type="spellEnd"/>
            <w:r w:rsidRPr="00353AE1">
              <w:rPr>
                <w:rFonts w:ascii="Arial" w:eastAsiaTheme="minorHAnsi" w:hAnsi="Arial" w:cs="Arial"/>
                <w:color w:val="1F4E79" w:themeColor="accent5" w:themeShade="80"/>
                <w:sz w:val="22"/>
                <w:szCs w:val="22"/>
              </w:rPr>
              <w:t xml:space="preserve"> to ensure customers can access good quality online information as we continue to encourage customers to conduct their business with the council digitally, focusing a telephone presence where customer need it the most</w:t>
            </w:r>
          </w:p>
          <w:p w14:paraId="35D64B0E" w14:textId="77777777" w:rsidR="00353AE1" w:rsidRPr="00353AE1" w:rsidRDefault="00353AE1" w:rsidP="00353AE1">
            <w:pPr>
              <w:rPr>
                <w:rFonts w:ascii="Arial" w:eastAsiaTheme="minorHAnsi" w:hAnsi="Arial" w:cs="Arial"/>
                <w:color w:val="1F4E79" w:themeColor="accent5" w:themeShade="80"/>
                <w:sz w:val="22"/>
                <w:szCs w:val="22"/>
              </w:rPr>
            </w:pPr>
            <w:r w:rsidRPr="00353AE1">
              <w:rPr>
                <w:rFonts w:ascii="Arial" w:eastAsiaTheme="minorHAnsi" w:hAnsi="Arial" w:cs="Arial"/>
                <w:color w:val="1F4E79" w:themeColor="accent5" w:themeShade="80"/>
                <w:sz w:val="22"/>
                <w:szCs w:val="22"/>
              </w:rPr>
              <w:t>During 2019/20 we have introduced webchat into the general team (environment, transportation, registration) within the Contact Centre and this is proving to be a popular and efficient channel. Webchat will continue to be rolled out to more teams during 2020/21. 7000+ webchats have been dealt with since it launched.</w:t>
            </w:r>
          </w:p>
          <w:p w14:paraId="790A251C" w14:textId="77777777" w:rsidR="00353AE1" w:rsidRPr="00353AE1" w:rsidRDefault="00353AE1" w:rsidP="00353AE1">
            <w:pPr>
              <w:rPr>
                <w:rFonts w:ascii="Arial" w:eastAsiaTheme="minorHAnsi" w:hAnsi="Arial" w:cs="Arial"/>
                <w:color w:val="1F4E79" w:themeColor="accent5" w:themeShade="80"/>
                <w:sz w:val="22"/>
                <w:szCs w:val="22"/>
              </w:rPr>
            </w:pPr>
            <w:r w:rsidRPr="00353AE1">
              <w:rPr>
                <w:rFonts w:ascii="Arial" w:eastAsiaTheme="minorHAnsi" w:hAnsi="Arial" w:cs="Arial"/>
                <w:color w:val="1F4E79" w:themeColor="accent5" w:themeShade="80"/>
                <w:sz w:val="22"/>
                <w:szCs w:val="22"/>
              </w:rPr>
              <w:t>Strong performance on the 'out of hours' line continues. This provides support to a number of key services.</w:t>
            </w:r>
          </w:p>
          <w:p w14:paraId="153E98E3" w14:textId="77777777" w:rsidR="00353AE1" w:rsidRPr="00353AE1" w:rsidRDefault="00353AE1" w:rsidP="00353AE1">
            <w:pPr>
              <w:rPr>
                <w:rFonts w:ascii="Arial" w:eastAsiaTheme="minorHAnsi" w:hAnsi="Arial" w:cs="Arial"/>
                <w:color w:val="1F4E79" w:themeColor="accent5" w:themeShade="80"/>
                <w:sz w:val="22"/>
                <w:szCs w:val="22"/>
              </w:rPr>
            </w:pPr>
            <w:r w:rsidRPr="00353AE1">
              <w:rPr>
                <w:rFonts w:ascii="Arial" w:eastAsiaTheme="minorHAnsi" w:hAnsi="Arial" w:cs="Arial"/>
                <w:color w:val="1F4E79" w:themeColor="accent5" w:themeShade="80"/>
                <w:sz w:val="22"/>
                <w:szCs w:val="22"/>
              </w:rPr>
              <w:t>The Repairs Centre remains a success as the team now also do scheduling of tradesmen and this is giving customers a better overall service. However, the answer rate still remains a challenge. Quarter 4 of 19/20 had an answer rate of 88% so much of the improvements that were put in place were beginning to work.</w:t>
            </w:r>
          </w:p>
          <w:p w14:paraId="1D7BFDBB" w14:textId="77777777" w:rsidR="00353AE1" w:rsidRPr="00353AE1" w:rsidRDefault="00353AE1" w:rsidP="00353AE1">
            <w:pPr>
              <w:rPr>
                <w:rFonts w:ascii="Arial" w:eastAsiaTheme="minorHAnsi" w:hAnsi="Arial" w:cs="Arial"/>
                <w:color w:val="1F4E79" w:themeColor="accent5" w:themeShade="80"/>
                <w:sz w:val="22"/>
                <w:szCs w:val="22"/>
              </w:rPr>
            </w:pPr>
            <w:r w:rsidRPr="00353AE1">
              <w:rPr>
                <w:rFonts w:ascii="Arial" w:eastAsiaTheme="minorHAnsi" w:hAnsi="Arial" w:cs="Arial"/>
                <w:color w:val="1F4E79" w:themeColor="accent5" w:themeShade="80"/>
                <w:sz w:val="22"/>
                <w:szCs w:val="22"/>
              </w:rPr>
              <w:t>The Social Work line continues to perform well. It is also worth noting that 30% of enquiries for this team come via e-mail. Call answering this year to date is 87.8% (it functioned throughout lockdown).</w:t>
            </w:r>
          </w:p>
        </w:tc>
        <w:tc>
          <w:tcPr>
            <w:tcW w:w="4395" w:type="dxa"/>
          </w:tcPr>
          <w:p w14:paraId="38C1AA6D" w14:textId="77777777" w:rsidR="00353AE1" w:rsidRPr="00353AE1" w:rsidRDefault="00353AE1" w:rsidP="00353AE1">
            <w:pPr>
              <w:spacing w:before="0" w:after="0"/>
              <w:rPr>
                <w:rFonts w:asciiTheme="minorBidi" w:eastAsiaTheme="minorHAnsi" w:hAnsiTheme="minorBidi"/>
                <w:color w:val="1F4E79" w:themeColor="accent5" w:themeShade="80"/>
              </w:rPr>
            </w:pPr>
          </w:p>
        </w:tc>
      </w:tr>
    </w:tbl>
    <w:p w14:paraId="2B89D89E" w14:textId="77777777" w:rsidR="00353AE1" w:rsidRPr="00353AE1" w:rsidRDefault="00353AE1" w:rsidP="00353AE1">
      <w:pPr>
        <w:rPr>
          <w:rFonts w:ascii="Arial" w:eastAsiaTheme="minorHAnsi" w:hAnsi="Arial" w:cs="Arial"/>
          <w:color w:val="1F4E79" w:themeColor="accent5" w:themeShade="80"/>
          <w:szCs w:val="24"/>
          <w:lang w:eastAsia="en-US"/>
        </w:rPr>
      </w:pPr>
      <w:r w:rsidRPr="00353AE1">
        <w:rPr>
          <w:rFonts w:ascii="Arial" w:eastAsiaTheme="minorHAnsi" w:hAnsi="Arial" w:cs="Arial"/>
          <w:color w:val="1F4E79" w:themeColor="accent5" w:themeShade="80"/>
          <w:sz w:val="56"/>
          <w:szCs w:val="56"/>
          <w:lang w:eastAsia="en-US"/>
        </w:rPr>
        <w:lastRenderedPageBreak/>
        <w:t>Responsiveness (Information Requests)</w:t>
      </w:r>
    </w:p>
    <w:tbl>
      <w:tblPr>
        <w:tblStyle w:val="TableGrid1"/>
        <w:tblW w:w="10632"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237"/>
        <w:gridCol w:w="141"/>
        <w:gridCol w:w="4254"/>
      </w:tblGrid>
      <w:tr w:rsidR="00353AE1" w:rsidRPr="00353AE1" w14:paraId="6B006333" w14:textId="77777777" w:rsidTr="00B26970">
        <w:tc>
          <w:tcPr>
            <w:tcW w:w="6378" w:type="dxa"/>
            <w:gridSpan w:val="2"/>
            <w:shd w:val="clear" w:color="auto" w:fill="1F4E79" w:themeFill="accent5" w:themeFillShade="80"/>
            <w:vAlign w:val="center"/>
          </w:tcPr>
          <w:p w14:paraId="6247F558" w14:textId="77777777" w:rsidR="00353AE1" w:rsidRPr="00353AE1" w:rsidRDefault="00353AE1" w:rsidP="00353AE1">
            <w:pPr>
              <w:jc w:val="center"/>
              <w:rPr>
                <w:rFonts w:ascii="Arial" w:eastAsiaTheme="minorHAnsi" w:hAnsi="Arial" w:cs="Arial"/>
                <w:b/>
                <w:bCs/>
                <w:color w:val="FFFFFF" w:themeColor="background1"/>
              </w:rPr>
            </w:pPr>
            <w:r w:rsidRPr="00353AE1">
              <w:rPr>
                <w:rFonts w:ascii="Arial" w:eastAsiaTheme="minorHAnsi" w:hAnsi="Arial" w:cs="Arial"/>
                <w:b/>
                <w:bCs/>
                <w:color w:val="FFFFFF" w:themeColor="background1"/>
              </w:rPr>
              <w:t>Performance</w:t>
            </w:r>
          </w:p>
        </w:tc>
        <w:tc>
          <w:tcPr>
            <w:tcW w:w="4254" w:type="dxa"/>
            <w:shd w:val="clear" w:color="auto" w:fill="1F4E79" w:themeFill="accent5" w:themeFillShade="80"/>
            <w:vAlign w:val="center"/>
          </w:tcPr>
          <w:p w14:paraId="7D9C29E6" w14:textId="77777777" w:rsidR="00353AE1" w:rsidRPr="00353AE1" w:rsidRDefault="00353AE1" w:rsidP="00353AE1">
            <w:pPr>
              <w:jc w:val="center"/>
              <w:rPr>
                <w:rFonts w:ascii="Arial" w:eastAsiaTheme="minorHAnsi" w:hAnsi="Arial" w:cs="Arial"/>
                <w:b/>
                <w:bCs/>
                <w:color w:val="FFFFFF" w:themeColor="background1"/>
              </w:rPr>
            </w:pPr>
            <w:r w:rsidRPr="00353AE1">
              <w:rPr>
                <w:rFonts w:ascii="Arial" w:eastAsiaTheme="minorHAnsi" w:hAnsi="Arial" w:cs="Arial"/>
                <w:b/>
                <w:bCs/>
                <w:color w:val="FFFFFF" w:themeColor="background1"/>
              </w:rPr>
              <w:t>Progress</w:t>
            </w:r>
          </w:p>
        </w:tc>
      </w:tr>
      <w:tr w:rsidR="00353AE1" w:rsidRPr="00353AE1" w14:paraId="744715F5" w14:textId="77777777" w:rsidTr="00B26970">
        <w:trPr>
          <w:trHeight w:val="207"/>
        </w:trPr>
        <w:tc>
          <w:tcPr>
            <w:tcW w:w="6237" w:type="dxa"/>
          </w:tcPr>
          <w:p w14:paraId="08EA851B" w14:textId="77777777" w:rsidR="00353AE1" w:rsidRPr="00353AE1" w:rsidRDefault="00353AE1" w:rsidP="00353AE1">
            <w:pPr>
              <w:jc w:val="center"/>
              <w:rPr>
                <w:rFonts w:asciiTheme="minorBidi" w:eastAsiaTheme="minorHAnsi" w:hAnsiTheme="minorBidi"/>
                <w:noProof/>
                <w:color w:val="1F4E79" w:themeColor="accent5" w:themeShade="80"/>
              </w:rPr>
            </w:pPr>
            <w:r w:rsidRPr="00353AE1">
              <w:rPr>
                <w:rFonts w:asciiTheme="minorBidi" w:eastAsiaTheme="minorHAnsi" w:hAnsiTheme="minorBidi"/>
                <w:noProof/>
                <w:color w:val="1F4E79" w:themeColor="accent5" w:themeShade="80"/>
              </w:rPr>
              <w:drawing>
                <wp:inline distT="0" distB="0" distL="0" distR="0" wp14:anchorId="5E44C586" wp14:editId="0F5AA164">
                  <wp:extent cx="3652838" cy="1900238"/>
                  <wp:effectExtent l="0" t="0" r="5080" b="5080"/>
                  <wp:docPr id="2" name="Chart 2">
                    <a:extLst xmlns:a="http://schemas.openxmlformats.org/drawingml/2006/main">
                      <a:ext uri="{FF2B5EF4-FFF2-40B4-BE49-F238E27FC236}">
                        <a16:creationId xmlns:a16="http://schemas.microsoft.com/office/drawing/2014/main" id="{1DDA2D33-8D38-4CA4-9767-60035869BC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8010DBD" w14:textId="77777777" w:rsidR="00353AE1" w:rsidRPr="00353AE1" w:rsidRDefault="00353AE1" w:rsidP="00353AE1">
            <w:pPr>
              <w:jc w:val="center"/>
              <w:rPr>
                <w:rFonts w:asciiTheme="minorBidi" w:eastAsiaTheme="minorHAnsi" w:hAnsiTheme="minorBidi"/>
                <w:noProof/>
                <w:color w:val="1F4E79" w:themeColor="accent5" w:themeShade="80"/>
              </w:rPr>
            </w:pPr>
          </w:p>
          <w:p w14:paraId="4B78D697" w14:textId="77777777" w:rsidR="00353AE1" w:rsidRPr="00353AE1" w:rsidRDefault="00353AE1" w:rsidP="00353AE1">
            <w:pPr>
              <w:jc w:val="center"/>
              <w:rPr>
                <w:rFonts w:asciiTheme="minorBidi" w:eastAsiaTheme="minorHAnsi" w:hAnsiTheme="minorBidi"/>
                <w:noProof/>
                <w:color w:val="1F4E79" w:themeColor="accent5" w:themeShade="80"/>
              </w:rPr>
            </w:pPr>
            <w:r w:rsidRPr="00353AE1">
              <w:rPr>
                <w:rFonts w:asciiTheme="minorBidi" w:eastAsiaTheme="minorHAnsi" w:hAnsiTheme="minorBidi"/>
                <w:noProof/>
                <w:color w:val="1F4E79" w:themeColor="accent5" w:themeShade="80"/>
              </w:rPr>
              <w:drawing>
                <wp:inline distT="0" distB="0" distL="0" distR="0" wp14:anchorId="22EE2889" wp14:editId="2595D3E2">
                  <wp:extent cx="3657600" cy="1905000"/>
                  <wp:effectExtent l="0" t="0" r="0" b="0"/>
                  <wp:docPr id="4" name="Chart 4">
                    <a:extLst xmlns:a="http://schemas.openxmlformats.org/drawingml/2006/main">
                      <a:ext uri="{FF2B5EF4-FFF2-40B4-BE49-F238E27FC236}">
                        <a16:creationId xmlns:a16="http://schemas.microsoft.com/office/drawing/2014/main" id="{D6A321B4-F8CF-4443-9312-936BCDF95B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5CD2AE8" w14:textId="77777777" w:rsidR="00353AE1" w:rsidRPr="00353AE1" w:rsidRDefault="00353AE1" w:rsidP="00353AE1">
            <w:pPr>
              <w:jc w:val="center"/>
              <w:rPr>
                <w:rFonts w:asciiTheme="minorBidi" w:eastAsiaTheme="minorHAnsi" w:hAnsiTheme="minorBidi"/>
                <w:noProof/>
                <w:color w:val="1F4E79" w:themeColor="accent5" w:themeShade="80"/>
              </w:rPr>
            </w:pPr>
            <w:r w:rsidRPr="00353AE1">
              <w:rPr>
                <w:rFonts w:asciiTheme="minorBidi" w:eastAsiaTheme="minorHAnsi" w:hAnsiTheme="minorBidi"/>
                <w:noProof/>
                <w:color w:val="1F4E79" w:themeColor="accent5" w:themeShade="80"/>
              </w:rPr>
              <w:drawing>
                <wp:inline distT="0" distB="0" distL="0" distR="0" wp14:anchorId="7FEE3CD8" wp14:editId="71A13010">
                  <wp:extent cx="3652837" cy="1914525"/>
                  <wp:effectExtent l="0" t="0" r="5080" b="9525"/>
                  <wp:docPr id="5" name="Chart 5">
                    <a:extLst xmlns:a="http://schemas.openxmlformats.org/drawingml/2006/main">
                      <a:ext uri="{FF2B5EF4-FFF2-40B4-BE49-F238E27FC236}">
                        <a16:creationId xmlns:a16="http://schemas.microsoft.com/office/drawing/2014/main" id="{0C9F386C-AE15-47C1-A6AD-AF1CE188C6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AF3EE21" w14:textId="77777777" w:rsidR="00353AE1" w:rsidRPr="00353AE1" w:rsidRDefault="00353AE1" w:rsidP="00353AE1">
            <w:pPr>
              <w:jc w:val="center"/>
              <w:rPr>
                <w:rFonts w:asciiTheme="minorBidi" w:eastAsiaTheme="minorHAnsi" w:hAnsiTheme="minorBidi"/>
                <w:noProof/>
                <w:color w:val="1F4E79" w:themeColor="accent5" w:themeShade="80"/>
              </w:rPr>
            </w:pPr>
          </w:p>
        </w:tc>
        <w:tc>
          <w:tcPr>
            <w:tcW w:w="4395" w:type="dxa"/>
            <w:gridSpan w:val="2"/>
          </w:tcPr>
          <w:p w14:paraId="5B035EE6" w14:textId="77777777" w:rsidR="00353AE1" w:rsidRPr="00353AE1" w:rsidRDefault="00353AE1" w:rsidP="00353AE1">
            <w:pPr>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Each type of requests remains high and Subject Access Requests (SAR) continue to rise. Performance has improved slightly on last year for all regimes. However, the expectation from the regulating bodies is 95% performance, therefore further work is required to be carried out to improve timescales.</w:t>
            </w:r>
          </w:p>
          <w:p w14:paraId="2B5C8183" w14:textId="77777777" w:rsidR="00353AE1" w:rsidRPr="00353AE1" w:rsidRDefault="00353AE1" w:rsidP="00353AE1">
            <w:pPr>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 </w:t>
            </w:r>
          </w:p>
          <w:p w14:paraId="16E13DE8" w14:textId="77777777" w:rsidR="00353AE1" w:rsidRPr="00353AE1" w:rsidRDefault="00353AE1" w:rsidP="00353AE1">
            <w:pPr>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All types of requests can be complex, and requests can contain multiple questions requiring information from multiple services.  SAR requests remain the most time consuming and excessive information continues to be held by services, which requires cleansing prior to work beginning on reviewing the information to be provided.</w:t>
            </w:r>
          </w:p>
          <w:p w14:paraId="5A10B36A" w14:textId="77777777" w:rsidR="00353AE1" w:rsidRPr="00353AE1" w:rsidRDefault="00353AE1" w:rsidP="00353AE1">
            <w:pPr>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 </w:t>
            </w:r>
          </w:p>
          <w:p w14:paraId="4DBFC3F2" w14:textId="77777777" w:rsidR="00353AE1" w:rsidRPr="00353AE1" w:rsidRDefault="00353AE1" w:rsidP="00353AE1">
            <w:pPr>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An outcome of the review of the service which was carried out provided the Information Request &amp; Management Team with 2 additional Information Assistants.  Their main duties are to provide support to the Information Specialists and manage other types of DPA requests and the less complex Freedom of Information (FOI) and Environmental Information Regulation (EIR) requests.</w:t>
            </w:r>
          </w:p>
          <w:p w14:paraId="50CCFDF8" w14:textId="77777777" w:rsidR="00353AE1" w:rsidRPr="00353AE1" w:rsidRDefault="00353AE1" w:rsidP="00353AE1">
            <w:pPr>
              <w:rPr>
                <w:rFonts w:asciiTheme="minorBidi" w:eastAsiaTheme="minorHAnsi" w:hAnsiTheme="minorBidi"/>
                <w:color w:val="1F4E79" w:themeColor="accent5" w:themeShade="80"/>
              </w:rPr>
            </w:pPr>
          </w:p>
          <w:p w14:paraId="6337F1E0" w14:textId="77777777" w:rsidR="00353AE1" w:rsidRPr="00353AE1" w:rsidRDefault="00353AE1" w:rsidP="00353AE1">
            <w:pPr>
              <w:rPr>
                <w:rFonts w:asciiTheme="minorBidi" w:eastAsiaTheme="minorHAnsi" w:hAnsiTheme="minorBidi"/>
                <w:color w:val="1F4E79" w:themeColor="accent5" w:themeShade="80"/>
              </w:rPr>
            </w:pPr>
          </w:p>
        </w:tc>
      </w:tr>
    </w:tbl>
    <w:p w14:paraId="6622544F" w14:textId="77777777" w:rsidR="00353AE1" w:rsidRPr="00353AE1" w:rsidRDefault="00353AE1" w:rsidP="00353AE1">
      <w:pPr>
        <w:spacing w:before="0" w:after="0"/>
        <w:rPr>
          <w:rFonts w:asciiTheme="minorBidi" w:eastAsiaTheme="minorHAnsi" w:hAnsiTheme="minorBidi" w:cstheme="minorBidi"/>
          <w:color w:val="1F4E79" w:themeColor="accent5" w:themeShade="80"/>
          <w:szCs w:val="24"/>
          <w:lang w:eastAsia="en-US"/>
        </w:rPr>
      </w:pPr>
    </w:p>
    <w:p w14:paraId="4E0941BA" w14:textId="77777777" w:rsidR="00353AE1" w:rsidRPr="00353AE1" w:rsidRDefault="00353AE1" w:rsidP="00353AE1">
      <w:pPr>
        <w:spacing w:before="0" w:after="0"/>
        <w:rPr>
          <w:rFonts w:asciiTheme="minorBidi" w:eastAsiaTheme="minorHAnsi" w:hAnsiTheme="minorBidi" w:cstheme="minorBidi"/>
          <w:color w:val="1F4E79" w:themeColor="accent5" w:themeShade="80"/>
          <w:szCs w:val="24"/>
          <w:lang w:eastAsia="en-US"/>
        </w:rPr>
      </w:pPr>
    </w:p>
    <w:p w14:paraId="542B4D0B" w14:textId="77777777" w:rsidR="00353AE1" w:rsidRPr="00353AE1" w:rsidRDefault="00353AE1" w:rsidP="00353AE1">
      <w:pPr>
        <w:spacing w:before="0" w:after="0"/>
        <w:rPr>
          <w:rFonts w:asciiTheme="minorBidi" w:eastAsiaTheme="minorHAnsi" w:hAnsiTheme="minorBidi" w:cstheme="minorBidi"/>
          <w:color w:val="1F4E79" w:themeColor="accent5" w:themeShade="80"/>
          <w:szCs w:val="24"/>
          <w:lang w:eastAsia="en-US"/>
        </w:rPr>
      </w:pPr>
    </w:p>
    <w:p w14:paraId="1C377BFC" w14:textId="77777777" w:rsidR="00353AE1" w:rsidRPr="00353AE1" w:rsidRDefault="00353AE1" w:rsidP="00353AE1">
      <w:pPr>
        <w:spacing w:before="0" w:after="0"/>
        <w:rPr>
          <w:rFonts w:asciiTheme="minorBidi" w:eastAsiaTheme="minorHAnsi" w:hAnsiTheme="minorBidi" w:cstheme="minorBidi"/>
          <w:color w:val="1F4E79" w:themeColor="accent5" w:themeShade="80"/>
          <w:szCs w:val="24"/>
          <w:lang w:eastAsia="en-US"/>
        </w:rPr>
      </w:pPr>
    </w:p>
    <w:p w14:paraId="179C35FC" w14:textId="77777777" w:rsidR="00353AE1" w:rsidRPr="00353AE1" w:rsidRDefault="00353AE1" w:rsidP="00353AE1">
      <w:pPr>
        <w:spacing w:before="0" w:after="0"/>
        <w:rPr>
          <w:rFonts w:asciiTheme="minorBidi" w:eastAsiaTheme="minorHAnsi" w:hAnsiTheme="minorBidi" w:cstheme="minorBidi"/>
          <w:color w:val="1F4E79" w:themeColor="accent5" w:themeShade="80"/>
          <w:szCs w:val="24"/>
          <w:lang w:eastAsia="en-US"/>
        </w:rPr>
      </w:pPr>
    </w:p>
    <w:p w14:paraId="5ECFCA4E" w14:textId="77777777" w:rsidR="00353AE1" w:rsidRPr="00353AE1" w:rsidRDefault="00353AE1" w:rsidP="00353AE1">
      <w:pPr>
        <w:spacing w:before="0" w:after="0"/>
        <w:rPr>
          <w:rFonts w:asciiTheme="minorBidi" w:eastAsiaTheme="minorHAnsi" w:hAnsiTheme="minorBidi" w:cstheme="minorBidi"/>
          <w:color w:val="1F4E79" w:themeColor="accent5" w:themeShade="80"/>
          <w:szCs w:val="24"/>
          <w:lang w:eastAsia="en-US"/>
        </w:rPr>
      </w:pPr>
    </w:p>
    <w:p w14:paraId="6490F04B" w14:textId="77777777" w:rsidR="00353AE1" w:rsidRPr="00353AE1" w:rsidRDefault="00353AE1" w:rsidP="00353AE1">
      <w:pPr>
        <w:spacing w:before="0" w:after="0"/>
        <w:rPr>
          <w:rFonts w:asciiTheme="minorBidi" w:eastAsiaTheme="minorHAnsi" w:hAnsiTheme="minorBidi" w:cstheme="minorBidi"/>
          <w:color w:val="1F4E79" w:themeColor="accent5" w:themeShade="80"/>
          <w:szCs w:val="24"/>
          <w:lang w:eastAsia="en-US"/>
        </w:rPr>
      </w:pPr>
    </w:p>
    <w:p w14:paraId="275F64E9" w14:textId="77777777" w:rsidR="00353AE1" w:rsidRPr="00353AE1" w:rsidRDefault="00353AE1" w:rsidP="00353AE1">
      <w:pPr>
        <w:spacing w:before="0" w:after="0"/>
        <w:rPr>
          <w:rFonts w:asciiTheme="minorBidi" w:eastAsiaTheme="minorHAnsi" w:hAnsiTheme="minorBidi" w:cstheme="minorBidi"/>
          <w:color w:val="1F4E79" w:themeColor="accent5" w:themeShade="80"/>
          <w:szCs w:val="24"/>
          <w:lang w:eastAsia="en-US"/>
        </w:rPr>
      </w:pPr>
    </w:p>
    <w:p w14:paraId="4A597FBB" w14:textId="77777777" w:rsidR="00353AE1" w:rsidRPr="00353AE1" w:rsidRDefault="00353AE1" w:rsidP="00353AE1">
      <w:pPr>
        <w:rPr>
          <w:rFonts w:ascii="Arial" w:eastAsiaTheme="minorHAnsi" w:hAnsi="Arial" w:cs="Arial"/>
          <w:color w:val="1F4E79" w:themeColor="accent5" w:themeShade="80"/>
          <w:szCs w:val="24"/>
          <w:lang w:eastAsia="en-US"/>
        </w:rPr>
      </w:pPr>
      <w:r w:rsidRPr="00353AE1">
        <w:rPr>
          <w:rFonts w:ascii="Arial" w:eastAsiaTheme="minorHAnsi" w:hAnsi="Arial" w:cs="Arial"/>
          <w:color w:val="1F4E79" w:themeColor="accent5" w:themeShade="80"/>
          <w:sz w:val="56"/>
          <w:szCs w:val="56"/>
          <w:lang w:eastAsia="en-US"/>
        </w:rPr>
        <w:lastRenderedPageBreak/>
        <w:t>Responsiveness (Revenues)</w:t>
      </w:r>
    </w:p>
    <w:tbl>
      <w:tblPr>
        <w:tblStyle w:val="TableGrid1"/>
        <w:tblW w:w="10632"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237"/>
        <w:gridCol w:w="141"/>
        <w:gridCol w:w="4254"/>
      </w:tblGrid>
      <w:tr w:rsidR="00353AE1" w:rsidRPr="00353AE1" w14:paraId="40A75EF1" w14:textId="77777777" w:rsidTr="00B26970">
        <w:tc>
          <w:tcPr>
            <w:tcW w:w="6378" w:type="dxa"/>
            <w:gridSpan w:val="2"/>
            <w:shd w:val="clear" w:color="auto" w:fill="1F4E79" w:themeFill="accent5" w:themeFillShade="80"/>
            <w:vAlign w:val="center"/>
          </w:tcPr>
          <w:p w14:paraId="66860685" w14:textId="77777777" w:rsidR="00353AE1" w:rsidRPr="00353AE1" w:rsidRDefault="00353AE1" w:rsidP="00353AE1">
            <w:pPr>
              <w:jc w:val="center"/>
              <w:rPr>
                <w:rFonts w:ascii="Arial" w:eastAsiaTheme="minorHAnsi" w:hAnsi="Arial" w:cs="Arial"/>
                <w:b/>
                <w:bCs/>
                <w:color w:val="FFFFFF" w:themeColor="background1"/>
              </w:rPr>
            </w:pPr>
            <w:r w:rsidRPr="00353AE1">
              <w:rPr>
                <w:rFonts w:ascii="Arial" w:eastAsiaTheme="minorHAnsi" w:hAnsi="Arial" w:cs="Arial"/>
                <w:b/>
                <w:bCs/>
                <w:color w:val="FFFFFF" w:themeColor="background1"/>
              </w:rPr>
              <w:t>Performance</w:t>
            </w:r>
          </w:p>
        </w:tc>
        <w:tc>
          <w:tcPr>
            <w:tcW w:w="4254" w:type="dxa"/>
            <w:shd w:val="clear" w:color="auto" w:fill="1F4E79" w:themeFill="accent5" w:themeFillShade="80"/>
            <w:vAlign w:val="center"/>
          </w:tcPr>
          <w:p w14:paraId="3EB4FEFF" w14:textId="77777777" w:rsidR="00353AE1" w:rsidRPr="00353AE1" w:rsidRDefault="00353AE1" w:rsidP="00353AE1">
            <w:pPr>
              <w:jc w:val="center"/>
              <w:rPr>
                <w:rFonts w:ascii="Arial" w:eastAsiaTheme="minorHAnsi" w:hAnsi="Arial" w:cs="Arial"/>
                <w:b/>
                <w:bCs/>
                <w:color w:val="FFFFFF" w:themeColor="background1"/>
              </w:rPr>
            </w:pPr>
            <w:r w:rsidRPr="00353AE1">
              <w:rPr>
                <w:rFonts w:ascii="Arial" w:eastAsiaTheme="minorHAnsi" w:hAnsi="Arial" w:cs="Arial"/>
                <w:b/>
                <w:bCs/>
                <w:color w:val="FFFFFF" w:themeColor="background1"/>
              </w:rPr>
              <w:t>Progress</w:t>
            </w:r>
          </w:p>
        </w:tc>
      </w:tr>
      <w:tr w:rsidR="00353AE1" w:rsidRPr="00353AE1" w14:paraId="2601CEBD" w14:textId="77777777" w:rsidTr="00B26970">
        <w:tc>
          <w:tcPr>
            <w:tcW w:w="6237" w:type="dxa"/>
            <w:shd w:val="clear" w:color="auto" w:fill="auto"/>
          </w:tcPr>
          <w:p w14:paraId="6FF22960" w14:textId="77777777" w:rsidR="00353AE1" w:rsidRPr="00353AE1" w:rsidRDefault="00353AE1" w:rsidP="00353AE1">
            <w:pPr>
              <w:jc w:val="center"/>
              <w:rPr>
                <w:rFonts w:asciiTheme="minorBidi" w:eastAsiaTheme="minorHAnsi" w:hAnsiTheme="minorBidi"/>
                <w:noProof/>
                <w:color w:val="1F4E79" w:themeColor="accent5" w:themeShade="80"/>
              </w:rPr>
            </w:pPr>
            <w:r w:rsidRPr="00353AE1">
              <w:rPr>
                <w:rFonts w:asciiTheme="minorBidi" w:eastAsiaTheme="minorHAnsi" w:hAnsiTheme="minorBidi"/>
                <w:noProof/>
                <w:color w:val="1F4E79" w:themeColor="accent5" w:themeShade="80"/>
              </w:rPr>
              <w:drawing>
                <wp:inline distT="0" distB="0" distL="0" distR="0" wp14:anchorId="4FBDD0EB" wp14:editId="4004B1FF">
                  <wp:extent cx="3652838" cy="2281238"/>
                  <wp:effectExtent l="0" t="0" r="5080" b="5080"/>
                  <wp:docPr id="10" name="Chart 10">
                    <a:extLst xmlns:a="http://schemas.openxmlformats.org/drawingml/2006/main">
                      <a:ext uri="{FF2B5EF4-FFF2-40B4-BE49-F238E27FC236}">
                        <a16:creationId xmlns:a16="http://schemas.microsoft.com/office/drawing/2014/main" id="{EE735B68-6FCF-42E0-8AFA-220BE5916C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395" w:type="dxa"/>
            <w:gridSpan w:val="2"/>
          </w:tcPr>
          <w:p w14:paraId="382A424F" w14:textId="77777777" w:rsidR="00353AE1" w:rsidRPr="00353AE1" w:rsidRDefault="00353AE1" w:rsidP="00353AE1">
            <w:pPr>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The average time to process new claims is reducing and this is because of the increased use of automation and the reduction in Housing Benefit workload due to the introduction of Universal Credit.  As a result, resources have been reallocated to new tasks including rent recovery and assisting Universal Credit claimants as well as some staff taking voluntary redundancy.</w:t>
            </w:r>
          </w:p>
          <w:p w14:paraId="483EA30C" w14:textId="77777777" w:rsidR="00353AE1" w:rsidRPr="00353AE1" w:rsidRDefault="00353AE1" w:rsidP="00353AE1">
            <w:pPr>
              <w:spacing w:before="0" w:after="0"/>
              <w:rPr>
                <w:rFonts w:ascii="Arial" w:eastAsiaTheme="minorHAnsi" w:hAnsi="Arial" w:cs="Arial"/>
                <w:noProof/>
                <w:color w:val="1F4E79" w:themeColor="accent5" w:themeShade="80"/>
              </w:rPr>
            </w:pPr>
          </w:p>
        </w:tc>
      </w:tr>
      <w:tr w:rsidR="00353AE1" w:rsidRPr="00353AE1" w14:paraId="3C5AC160" w14:textId="77777777" w:rsidTr="00B26970">
        <w:tc>
          <w:tcPr>
            <w:tcW w:w="6237" w:type="dxa"/>
            <w:shd w:val="clear" w:color="auto" w:fill="auto"/>
          </w:tcPr>
          <w:p w14:paraId="2E64F829" w14:textId="77777777" w:rsidR="00353AE1" w:rsidRPr="00353AE1" w:rsidRDefault="00353AE1" w:rsidP="00353AE1">
            <w:pPr>
              <w:jc w:val="center"/>
              <w:rPr>
                <w:rFonts w:asciiTheme="minorBidi" w:eastAsiaTheme="minorHAnsi" w:hAnsiTheme="minorBidi"/>
                <w:noProof/>
                <w:color w:val="1F4E79" w:themeColor="accent5" w:themeShade="80"/>
              </w:rPr>
            </w:pPr>
            <w:r w:rsidRPr="00353AE1">
              <w:rPr>
                <w:rFonts w:asciiTheme="minorBidi" w:eastAsiaTheme="minorHAnsi" w:hAnsiTheme="minorBidi"/>
                <w:noProof/>
                <w:color w:val="1F4E79" w:themeColor="accent5" w:themeShade="80"/>
              </w:rPr>
              <w:drawing>
                <wp:inline distT="0" distB="0" distL="0" distR="0" wp14:anchorId="0F2D4953" wp14:editId="5762A5C8">
                  <wp:extent cx="3652520" cy="3276600"/>
                  <wp:effectExtent l="0" t="0" r="5080" b="0"/>
                  <wp:docPr id="25" name="Chart 25">
                    <a:extLst xmlns:a="http://schemas.openxmlformats.org/drawingml/2006/main">
                      <a:ext uri="{FF2B5EF4-FFF2-40B4-BE49-F238E27FC236}">
                        <a16:creationId xmlns:a16="http://schemas.microsoft.com/office/drawing/2014/main" id="{952259CF-F88D-4AD9-B494-AB4890570A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395" w:type="dxa"/>
            <w:gridSpan w:val="2"/>
            <w:shd w:val="clear" w:color="auto" w:fill="auto"/>
          </w:tcPr>
          <w:p w14:paraId="72910C04" w14:textId="77777777" w:rsidR="00353AE1" w:rsidRPr="00353AE1" w:rsidRDefault="00353AE1" w:rsidP="00353AE1">
            <w:pPr>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The Council Tax collected over the year has fallen slightly and this is partly due to the impact of Universal Credit. The Revenue Service recognises the challenges and has put in place measures to maintain and improve the collection rate such as:</w:t>
            </w:r>
          </w:p>
          <w:p w14:paraId="4186EE76" w14:textId="77777777" w:rsidR="00353AE1" w:rsidRPr="00353AE1" w:rsidRDefault="00353AE1" w:rsidP="00353AE1">
            <w:pPr>
              <w:numPr>
                <w:ilvl w:val="0"/>
                <w:numId w:val="30"/>
              </w:numPr>
              <w:contextualSpacing/>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 xml:space="preserve">Direct Debit and online take up campaign, </w:t>
            </w:r>
          </w:p>
          <w:p w14:paraId="70770C31" w14:textId="77777777" w:rsidR="00353AE1" w:rsidRPr="00353AE1" w:rsidRDefault="00353AE1" w:rsidP="00353AE1">
            <w:pPr>
              <w:numPr>
                <w:ilvl w:val="0"/>
                <w:numId w:val="30"/>
              </w:numPr>
              <w:contextualSpacing/>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Corporate approach to debt collection</w:t>
            </w:r>
          </w:p>
          <w:p w14:paraId="221BA026" w14:textId="77777777" w:rsidR="00353AE1" w:rsidRPr="00353AE1" w:rsidRDefault="00353AE1" w:rsidP="00353AE1">
            <w:pPr>
              <w:numPr>
                <w:ilvl w:val="0"/>
                <w:numId w:val="30"/>
              </w:numPr>
              <w:contextualSpacing/>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 xml:space="preserve">Streamline process for applying for direct payments </w:t>
            </w:r>
          </w:p>
          <w:p w14:paraId="18DB9E76" w14:textId="77777777" w:rsidR="00353AE1" w:rsidRPr="00353AE1" w:rsidRDefault="00353AE1" w:rsidP="00353AE1">
            <w:pPr>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Working with CARF to support those having difficulty paying their Council Tax.</w:t>
            </w:r>
          </w:p>
        </w:tc>
      </w:tr>
      <w:tr w:rsidR="00353AE1" w:rsidRPr="00353AE1" w14:paraId="7E46C276" w14:textId="77777777" w:rsidTr="00B26970">
        <w:tc>
          <w:tcPr>
            <w:tcW w:w="6237" w:type="dxa"/>
            <w:shd w:val="clear" w:color="auto" w:fill="auto"/>
          </w:tcPr>
          <w:p w14:paraId="00B955AC" w14:textId="77777777" w:rsidR="00353AE1" w:rsidRPr="00353AE1" w:rsidRDefault="00353AE1" w:rsidP="00353AE1">
            <w:pPr>
              <w:jc w:val="center"/>
              <w:rPr>
                <w:rFonts w:asciiTheme="minorBidi" w:eastAsiaTheme="minorHAnsi" w:hAnsiTheme="minorBidi"/>
                <w:noProof/>
                <w:color w:val="1F4E79" w:themeColor="accent5" w:themeShade="80"/>
              </w:rPr>
            </w:pPr>
            <w:r w:rsidRPr="00353AE1">
              <w:rPr>
                <w:rFonts w:asciiTheme="minorBidi" w:eastAsiaTheme="minorHAnsi" w:hAnsiTheme="minorBidi"/>
                <w:noProof/>
                <w:color w:val="1F4E79" w:themeColor="accent5" w:themeShade="80"/>
              </w:rPr>
              <w:drawing>
                <wp:inline distT="0" distB="0" distL="0" distR="0" wp14:anchorId="7E7EBF12" wp14:editId="5F751870">
                  <wp:extent cx="3643313" cy="2290763"/>
                  <wp:effectExtent l="0" t="0" r="14605" b="14605"/>
                  <wp:docPr id="26" name="Chart 26">
                    <a:extLst xmlns:a="http://schemas.openxmlformats.org/drawingml/2006/main">
                      <a:ext uri="{FF2B5EF4-FFF2-40B4-BE49-F238E27FC236}">
                        <a16:creationId xmlns:a16="http://schemas.microsoft.com/office/drawing/2014/main" id="{612D69B4-2742-4B51-9AAF-6060D7949B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395" w:type="dxa"/>
            <w:gridSpan w:val="2"/>
            <w:shd w:val="clear" w:color="auto" w:fill="auto"/>
          </w:tcPr>
          <w:p w14:paraId="61185A22" w14:textId="77777777" w:rsidR="00353AE1" w:rsidRPr="00353AE1" w:rsidRDefault="00353AE1" w:rsidP="00353AE1">
            <w:pPr>
              <w:rPr>
                <w:rFonts w:ascii="Arial" w:eastAsiaTheme="minorHAnsi" w:hAnsi="Arial" w:cs="Arial"/>
                <w:color w:val="1F4E79" w:themeColor="accent5" w:themeShade="80"/>
              </w:rPr>
            </w:pPr>
            <w:r w:rsidRPr="00353AE1">
              <w:rPr>
                <w:rFonts w:ascii="Arial" w:eastAsiaTheme="minorHAnsi" w:hAnsi="Arial" w:cs="Arial"/>
                <w:color w:val="1F4E79" w:themeColor="accent5" w:themeShade="80"/>
              </w:rPr>
              <w:t>Council Tax collection over a 3-year period remains stable regardless of the current difficult economic climate. The team continually promote payment by direct debit and this impacts favourably on the 3 year collection rate.</w:t>
            </w:r>
          </w:p>
        </w:tc>
      </w:tr>
    </w:tbl>
    <w:p w14:paraId="0F31D40F" w14:textId="05A0F2CF" w:rsidR="00353AE1" w:rsidRDefault="00353AE1" w:rsidP="008B7AEF">
      <w:pPr>
        <w:spacing w:before="0" w:after="0"/>
        <w:rPr>
          <w:szCs w:val="24"/>
        </w:rPr>
      </w:pPr>
    </w:p>
    <w:tbl>
      <w:tblPr>
        <w:tblW w:w="9780" w:type="dxa"/>
        <w:tblInd w:w="-142" w:type="dxa"/>
        <w:tblLook w:val="04A0" w:firstRow="1" w:lastRow="0" w:firstColumn="1" w:lastColumn="0" w:noHBand="0" w:noVBand="1"/>
      </w:tblPr>
      <w:tblGrid>
        <w:gridCol w:w="1523"/>
        <w:gridCol w:w="1567"/>
        <w:gridCol w:w="1482"/>
        <w:gridCol w:w="106"/>
        <w:gridCol w:w="1564"/>
        <w:gridCol w:w="1568"/>
        <w:gridCol w:w="1970"/>
      </w:tblGrid>
      <w:tr w:rsidR="00F47091" w:rsidRPr="00F47091" w14:paraId="2E094914" w14:textId="77777777" w:rsidTr="00893806">
        <w:trPr>
          <w:trHeight w:val="705"/>
        </w:trPr>
        <w:tc>
          <w:tcPr>
            <w:tcW w:w="9780" w:type="dxa"/>
            <w:gridSpan w:val="7"/>
            <w:tcBorders>
              <w:top w:val="nil"/>
              <w:left w:val="nil"/>
              <w:bottom w:val="nil"/>
              <w:right w:val="nil"/>
            </w:tcBorders>
            <w:shd w:val="clear" w:color="auto" w:fill="auto"/>
            <w:hideMark/>
          </w:tcPr>
          <w:p w14:paraId="3C734ACC" w14:textId="77777777" w:rsidR="00F47091" w:rsidRPr="00F47091" w:rsidRDefault="00F47091" w:rsidP="00F47091">
            <w:pPr>
              <w:spacing w:before="0" w:after="0"/>
              <w:jc w:val="center"/>
              <w:rPr>
                <w:rFonts w:ascii="Arial" w:eastAsia="Times New Roman" w:hAnsi="Arial" w:cs="Arial"/>
                <w:b/>
                <w:bCs/>
                <w:color w:val="000000"/>
                <w:sz w:val="28"/>
                <w:szCs w:val="28"/>
              </w:rPr>
            </w:pPr>
            <w:r w:rsidRPr="00F47091">
              <w:rPr>
                <w:rFonts w:ascii="Arial" w:eastAsia="Times New Roman" w:hAnsi="Arial" w:cs="Arial"/>
                <w:b/>
                <w:bCs/>
                <w:color w:val="000000"/>
                <w:sz w:val="28"/>
                <w:szCs w:val="28"/>
              </w:rPr>
              <w:t>CUSTOMER AND ONLINE SERVICES - NEW ADDITIONAL POSTS CREATED IN 2019/2020 FINANCIAL YEAR (1 APRIL 2019 - 31 MARCH 2020)</w:t>
            </w:r>
          </w:p>
        </w:tc>
      </w:tr>
      <w:tr w:rsidR="00893806" w:rsidRPr="00F47091" w14:paraId="5546A756" w14:textId="77777777" w:rsidTr="00893806">
        <w:trPr>
          <w:trHeight w:val="330"/>
        </w:trPr>
        <w:tc>
          <w:tcPr>
            <w:tcW w:w="1523" w:type="dxa"/>
            <w:tcBorders>
              <w:top w:val="nil"/>
              <w:left w:val="nil"/>
              <w:bottom w:val="nil"/>
              <w:right w:val="nil"/>
            </w:tcBorders>
            <w:shd w:val="clear" w:color="auto" w:fill="auto"/>
            <w:vAlign w:val="bottom"/>
            <w:hideMark/>
          </w:tcPr>
          <w:p w14:paraId="35455D5B" w14:textId="77777777" w:rsidR="00F47091" w:rsidRPr="00F47091" w:rsidRDefault="00F47091" w:rsidP="00F47091">
            <w:pPr>
              <w:spacing w:before="0" w:after="0"/>
              <w:jc w:val="center"/>
              <w:rPr>
                <w:rFonts w:ascii="Arial" w:eastAsia="Times New Roman" w:hAnsi="Arial" w:cs="Arial"/>
                <w:b/>
                <w:bCs/>
                <w:color w:val="000000"/>
                <w:sz w:val="28"/>
                <w:szCs w:val="28"/>
              </w:rPr>
            </w:pPr>
          </w:p>
        </w:tc>
        <w:tc>
          <w:tcPr>
            <w:tcW w:w="1567" w:type="dxa"/>
            <w:tcBorders>
              <w:top w:val="nil"/>
              <w:left w:val="nil"/>
              <w:bottom w:val="nil"/>
              <w:right w:val="nil"/>
            </w:tcBorders>
            <w:shd w:val="clear" w:color="auto" w:fill="auto"/>
            <w:noWrap/>
            <w:vAlign w:val="bottom"/>
            <w:hideMark/>
          </w:tcPr>
          <w:p w14:paraId="411B44C6" w14:textId="77777777" w:rsidR="00F47091" w:rsidRPr="00F47091" w:rsidRDefault="00F47091" w:rsidP="00F47091">
            <w:pPr>
              <w:spacing w:before="0" w:after="0"/>
              <w:rPr>
                <w:rFonts w:ascii="Times New Roman" w:eastAsia="Times New Roman" w:hAnsi="Times New Roman"/>
                <w:sz w:val="20"/>
              </w:rPr>
            </w:pPr>
          </w:p>
        </w:tc>
        <w:tc>
          <w:tcPr>
            <w:tcW w:w="1482" w:type="dxa"/>
            <w:tcBorders>
              <w:top w:val="nil"/>
              <w:left w:val="nil"/>
              <w:bottom w:val="nil"/>
              <w:right w:val="nil"/>
            </w:tcBorders>
            <w:shd w:val="clear" w:color="auto" w:fill="auto"/>
            <w:noWrap/>
            <w:vAlign w:val="bottom"/>
            <w:hideMark/>
          </w:tcPr>
          <w:p w14:paraId="4E2A3C2A" w14:textId="77777777" w:rsidR="00F47091" w:rsidRPr="00F47091" w:rsidRDefault="00F47091" w:rsidP="00F47091">
            <w:pPr>
              <w:spacing w:before="0" w:after="0"/>
              <w:jc w:val="center"/>
              <w:rPr>
                <w:rFonts w:ascii="Times New Roman" w:eastAsia="Times New Roman" w:hAnsi="Times New Roman"/>
                <w:sz w:val="20"/>
              </w:rPr>
            </w:pPr>
          </w:p>
        </w:tc>
        <w:tc>
          <w:tcPr>
            <w:tcW w:w="1670" w:type="dxa"/>
            <w:gridSpan w:val="2"/>
            <w:tcBorders>
              <w:top w:val="nil"/>
              <w:left w:val="nil"/>
              <w:bottom w:val="nil"/>
              <w:right w:val="nil"/>
            </w:tcBorders>
            <w:shd w:val="clear" w:color="auto" w:fill="auto"/>
            <w:noWrap/>
            <w:vAlign w:val="bottom"/>
            <w:hideMark/>
          </w:tcPr>
          <w:p w14:paraId="4553081A" w14:textId="77777777" w:rsidR="00F47091" w:rsidRPr="00F47091" w:rsidRDefault="00F47091" w:rsidP="00F47091">
            <w:pPr>
              <w:spacing w:before="0" w:after="0"/>
              <w:rPr>
                <w:rFonts w:ascii="Times New Roman" w:eastAsia="Times New Roman" w:hAnsi="Times New Roman"/>
                <w:sz w:val="20"/>
              </w:rPr>
            </w:pPr>
          </w:p>
        </w:tc>
        <w:tc>
          <w:tcPr>
            <w:tcW w:w="1568" w:type="dxa"/>
            <w:tcBorders>
              <w:top w:val="nil"/>
              <w:left w:val="nil"/>
              <w:bottom w:val="nil"/>
              <w:right w:val="nil"/>
            </w:tcBorders>
            <w:shd w:val="clear" w:color="auto" w:fill="auto"/>
            <w:noWrap/>
            <w:vAlign w:val="bottom"/>
            <w:hideMark/>
          </w:tcPr>
          <w:p w14:paraId="1D6A960E" w14:textId="77777777" w:rsidR="00F47091" w:rsidRPr="00F47091" w:rsidRDefault="00F47091" w:rsidP="00F47091">
            <w:pPr>
              <w:spacing w:before="0" w:after="0"/>
              <w:rPr>
                <w:rFonts w:ascii="Times New Roman" w:eastAsia="Times New Roman" w:hAnsi="Times New Roman"/>
                <w:sz w:val="20"/>
              </w:rPr>
            </w:pPr>
          </w:p>
        </w:tc>
        <w:tc>
          <w:tcPr>
            <w:tcW w:w="1970" w:type="dxa"/>
            <w:tcBorders>
              <w:top w:val="nil"/>
              <w:left w:val="nil"/>
              <w:bottom w:val="nil"/>
              <w:right w:val="nil"/>
            </w:tcBorders>
            <w:shd w:val="clear" w:color="auto" w:fill="auto"/>
            <w:noWrap/>
            <w:vAlign w:val="bottom"/>
            <w:hideMark/>
          </w:tcPr>
          <w:p w14:paraId="1D0B4AF0" w14:textId="77777777" w:rsidR="00F47091" w:rsidRPr="00F47091" w:rsidRDefault="00F47091" w:rsidP="00F47091">
            <w:pPr>
              <w:spacing w:before="0" w:after="0"/>
              <w:rPr>
                <w:rFonts w:ascii="Times New Roman" w:eastAsia="Times New Roman" w:hAnsi="Times New Roman"/>
                <w:sz w:val="20"/>
              </w:rPr>
            </w:pPr>
          </w:p>
        </w:tc>
      </w:tr>
      <w:tr w:rsidR="00893806" w:rsidRPr="00F47091" w14:paraId="0EEEA5FB" w14:textId="77777777" w:rsidTr="00893806">
        <w:trPr>
          <w:trHeight w:val="945"/>
        </w:trPr>
        <w:tc>
          <w:tcPr>
            <w:tcW w:w="1523" w:type="dxa"/>
            <w:tcBorders>
              <w:top w:val="single" w:sz="8" w:space="0" w:color="auto"/>
              <w:left w:val="single" w:sz="8" w:space="0" w:color="auto"/>
              <w:bottom w:val="nil"/>
              <w:right w:val="single" w:sz="8" w:space="0" w:color="auto"/>
            </w:tcBorders>
            <w:shd w:val="clear" w:color="000000" w:fill="E2EFD9"/>
            <w:vAlign w:val="bottom"/>
            <w:hideMark/>
          </w:tcPr>
          <w:p w14:paraId="128E7965" w14:textId="77777777" w:rsidR="00F47091" w:rsidRPr="00F47091" w:rsidRDefault="00F47091" w:rsidP="00F47091">
            <w:pPr>
              <w:spacing w:before="0" w:after="0"/>
              <w:rPr>
                <w:rFonts w:ascii="Arial" w:eastAsia="Times New Roman" w:hAnsi="Arial" w:cs="Arial"/>
                <w:b/>
                <w:bCs/>
                <w:color w:val="000000"/>
                <w:szCs w:val="24"/>
              </w:rPr>
            </w:pPr>
            <w:r w:rsidRPr="00F47091">
              <w:rPr>
                <w:rFonts w:ascii="Arial" w:eastAsia="Times New Roman" w:hAnsi="Arial" w:cs="Arial"/>
                <w:b/>
                <w:bCs/>
                <w:color w:val="000000"/>
                <w:szCs w:val="24"/>
              </w:rPr>
              <w:t> </w:t>
            </w:r>
          </w:p>
        </w:tc>
        <w:tc>
          <w:tcPr>
            <w:tcW w:w="1567" w:type="dxa"/>
            <w:tcBorders>
              <w:top w:val="single" w:sz="8" w:space="0" w:color="auto"/>
              <w:left w:val="nil"/>
              <w:bottom w:val="nil"/>
              <w:right w:val="single" w:sz="8" w:space="0" w:color="auto"/>
            </w:tcBorders>
            <w:shd w:val="clear" w:color="000000" w:fill="E2EFD9"/>
            <w:hideMark/>
          </w:tcPr>
          <w:p w14:paraId="7ED3C16C" w14:textId="77777777" w:rsidR="00F47091" w:rsidRPr="00F47091" w:rsidRDefault="00F47091" w:rsidP="00F47091">
            <w:pPr>
              <w:spacing w:before="0" w:after="0"/>
              <w:jc w:val="center"/>
              <w:rPr>
                <w:rFonts w:ascii="Arial" w:eastAsia="Times New Roman" w:hAnsi="Arial" w:cs="Arial"/>
                <w:b/>
                <w:bCs/>
                <w:szCs w:val="24"/>
              </w:rPr>
            </w:pPr>
            <w:r w:rsidRPr="00F47091">
              <w:rPr>
                <w:rFonts w:ascii="Arial" w:eastAsia="Times New Roman" w:hAnsi="Arial" w:cs="Arial"/>
                <w:b/>
                <w:bCs/>
                <w:szCs w:val="24"/>
              </w:rPr>
              <w:t>No. of Employees (FTE)</w:t>
            </w:r>
          </w:p>
        </w:tc>
        <w:tc>
          <w:tcPr>
            <w:tcW w:w="1588" w:type="dxa"/>
            <w:gridSpan w:val="2"/>
            <w:tcBorders>
              <w:top w:val="single" w:sz="8" w:space="0" w:color="auto"/>
              <w:left w:val="nil"/>
              <w:bottom w:val="nil"/>
              <w:right w:val="single" w:sz="8" w:space="0" w:color="auto"/>
            </w:tcBorders>
            <w:shd w:val="clear" w:color="000000" w:fill="E2EFD9"/>
            <w:hideMark/>
          </w:tcPr>
          <w:p w14:paraId="1CB0531C" w14:textId="77777777" w:rsidR="00F47091" w:rsidRPr="00F47091" w:rsidRDefault="00F47091" w:rsidP="00F47091">
            <w:pPr>
              <w:spacing w:before="0" w:after="0"/>
              <w:jc w:val="center"/>
              <w:rPr>
                <w:rFonts w:ascii="Arial" w:eastAsia="Times New Roman" w:hAnsi="Arial" w:cs="Arial"/>
                <w:b/>
                <w:bCs/>
                <w:szCs w:val="24"/>
              </w:rPr>
            </w:pPr>
            <w:r w:rsidRPr="00F47091">
              <w:rPr>
                <w:rFonts w:ascii="Arial" w:eastAsia="Times New Roman" w:hAnsi="Arial" w:cs="Arial"/>
                <w:b/>
                <w:bCs/>
                <w:szCs w:val="24"/>
              </w:rPr>
              <w:t>No. of Employees (FTE)</w:t>
            </w:r>
          </w:p>
        </w:tc>
        <w:tc>
          <w:tcPr>
            <w:tcW w:w="1564" w:type="dxa"/>
            <w:tcBorders>
              <w:top w:val="single" w:sz="8" w:space="0" w:color="auto"/>
              <w:left w:val="nil"/>
              <w:bottom w:val="nil"/>
              <w:right w:val="single" w:sz="8" w:space="0" w:color="auto"/>
            </w:tcBorders>
            <w:shd w:val="clear" w:color="000000" w:fill="E2EFD9"/>
            <w:hideMark/>
          </w:tcPr>
          <w:p w14:paraId="33710ADA" w14:textId="77777777" w:rsidR="00F47091" w:rsidRPr="00F47091" w:rsidRDefault="00F47091" w:rsidP="00F47091">
            <w:pPr>
              <w:spacing w:before="0" w:after="0"/>
              <w:jc w:val="center"/>
              <w:rPr>
                <w:rFonts w:ascii="Arial" w:eastAsia="Times New Roman" w:hAnsi="Arial" w:cs="Arial"/>
                <w:b/>
                <w:bCs/>
                <w:szCs w:val="24"/>
              </w:rPr>
            </w:pPr>
            <w:r w:rsidRPr="00F47091">
              <w:rPr>
                <w:rFonts w:ascii="Arial" w:eastAsia="Times New Roman" w:hAnsi="Arial" w:cs="Arial"/>
                <w:b/>
                <w:bCs/>
                <w:szCs w:val="24"/>
              </w:rPr>
              <w:t>No. of Employees (FTE)</w:t>
            </w:r>
          </w:p>
        </w:tc>
        <w:tc>
          <w:tcPr>
            <w:tcW w:w="1568" w:type="dxa"/>
            <w:tcBorders>
              <w:top w:val="single" w:sz="8" w:space="0" w:color="auto"/>
              <w:left w:val="nil"/>
              <w:bottom w:val="nil"/>
              <w:right w:val="single" w:sz="8" w:space="0" w:color="auto"/>
            </w:tcBorders>
            <w:shd w:val="clear" w:color="000000" w:fill="E2EFD9"/>
            <w:hideMark/>
          </w:tcPr>
          <w:p w14:paraId="12BA1115" w14:textId="77777777" w:rsidR="00F47091" w:rsidRPr="00F47091" w:rsidRDefault="00F47091" w:rsidP="00F47091">
            <w:pPr>
              <w:spacing w:before="0" w:after="0"/>
              <w:jc w:val="center"/>
              <w:rPr>
                <w:rFonts w:ascii="Arial" w:eastAsia="Times New Roman" w:hAnsi="Arial" w:cs="Arial"/>
                <w:b/>
                <w:bCs/>
                <w:szCs w:val="24"/>
              </w:rPr>
            </w:pPr>
            <w:r w:rsidRPr="00F47091">
              <w:rPr>
                <w:rFonts w:ascii="Arial" w:eastAsia="Times New Roman" w:hAnsi="Arial" w:cs="Arial"/>
                <w:b/>
                <w:bCs/>
                <w:szCs w:val="24"/>
              </w:rPr>
              <w:t xml:space="preserve">Difference in FTE </w:t>
            </w:r>
            <w:r w:rsidRPr="00F47091">
              <w:rPr>
                <w:rFonts w:ascii="Arial" w:eastAsia="Times New Roman" w:hAnsi="Arial" w:cs="Arial"/>
                <w:b/>
                <w:bCs/>
                <w:szCs w:val="24"/>
              </w:rPr>
              <w:br/>
              <w:t>2019 to 2020</w:t>
            </w:r>
          </w:p>
        </w:tc>
        <w:tc>
          <w:tcPr>
            <w:tcW w:w="1970" w:type="dxa"/>
            <w:tcBorders>
              <w:top w:val="single" w:sz="8" w:space="0" w:color="auto"/>
              <w:left w:val="nil"/>
              <w:bottom w:val="nil"/>
              <w:right w:val="single" w:sz="8" w:space="0" w:color="auto"/>
            </w:tcBorders>
            <w:shd w:val="clear" w:color="000000" w:fill="E2EFD9"/>
            <w:vAlign w:val="bottom"/>
            <w:hideMark/>
          </w:tcPr>
          <w:p w14:paraId="072E1BD6" w14:textId="77777777" w:rsidR="00F47091" w:rsidRPr="00F47091" w:rsidRDefault="00F47091" w:rsidP="00F47091">
            <w:pPr>
              <w:spacing w:before="0" w:after="0"/>
              <w:jc w:val="center"/>
              <w:rPr>
                <w:rFonts w:ascii="Arial" w:eastAsia="Times New Roman" w:hAnsi="Arial" w:cs="Arial"/>
                <w:b/>
                <w:bCs/>
                <w:szCs w:val="24"/>
              </w:rPr>
            </w:pPr>
            <w:r w:rsidRPr="00F47091">
              <w:rPr>
                <w:rFonts w:ascii="Arial" w:eastAsia="Times New Roman" w:hAnsi="Arial" w:cs="Arial"/>
                <w:b/>
                <w:bCs/>
                <w:szCs w:val="24"/>
              </w:rPr>
              <w:t>Notes</w:t>
            </w:r>
          </w:p>
        </w:tc>
      </w:tr>
      <w:tr w:rsidR="00893806" w:rsidRPr="00F47091" w14:paraId="5550B3B7" w14:textId="77777777" w:rsidTr="00893806">
        <w:trPr>
          <w:trHeight w:val="330"/>
        </w:trPr>
        <w:tc>
          <w:tcPr>
            <w:tcW w:w="1523" w:type="dxa"/>
            <w:tcBorders>
              <w:top w:val="nil"/>
              <w:left w:val="single" w:sz="8" w:space="0" w:color="auto"/>
              <w:bottom w:val="single" w:sz="8" w:space="0" w:color="auto"/>
              <w:right w:val="single" w:sz="8" w:space="0" w:color="auto"/>
            </w:tcBorders>
            <w:shd w:val="clear" w:color="000000" w:fill="E2EFD9"/>
            <w:vAlign w:val="bottom"/>
            <w:hideMark/>
          </w:tcPr>
          <w:p w14:paraId="74623B5D" w14:textId="77777777" w:rsidR="00F47091" w:rsidRPr="00F47091" w:rsidRDefault="00F47091" w:rsidP="00F47091">
            <w:pPr>
              <w:spacing w:before="0" w:after="0"/>
              <w:rPr>
                <w:rFonts w:ascii="Arial" w:eastAsia="Times New Roman" w:hAnsi="Arial" w:cs="Arial"/>
                <w:b/>
                <w:bCs/>
                <w:color w:val="000000"/>
                <w:szCs w:val="24"/>
              </w:rPr>
            </w:pPr>
            <w:r w:rsidRPr="00F47091">
              <w:rPr>
                <w:rFonts w:ascii="Arial" w:eastAsia="Times New Roman" w:hAnsi="Arial" w:cs="Arial"/>
                <w:b/>
                <w:bCs/>
                <w:color w:val="000000"/>
                <w:szCs w:val="24"/>
              </w:rPr>
              <w:t>Service</w:t>
            </w:r>
          </w:p>
        </w:tc>
        <w:tc>
          <w:tcPr>
            <w:tcW w:w="1567" w:type="dxa"/>
            <w:tcBorders>
              <w:top w:val="nil"/>
              <w:left w:val="nil"/>
              <w:bottom w:val="single" w:sz="8" w:space="0" w:color="auto"/>
              <w:right w:val="single" w:sz="8" w:space="0" w:color="auto"/>
            </w:tcBorders>
            <w:shd w:val="clear" w:color="000000" w:fill="E2EFD9"/>
            <w:vAlign w:val="bottom"/>
            <w:hideMark/>
          </w:tcPr>
          <w:p w14:paraId="778C4CED" w14:textId="77777777" w:rsidR="00F47091" w:rsidRPr="00F47091" w:rsidRDefault="00F47091" w:rsidP="00F47091">
            <w:pPr>
              <w:spacing w:before="0" w:after="0"/>
              <w:jc w:val="center"/>
              <w:rPr>
                <w:rFonts w:ascii="Arial" w:eastAsia="Times New Roman" w:hAnsi="Arial" w:cs="Arial"/>
                <w:i/>
                <w:iCs/>
                <w:szCs w:val="24"/>
              </w:rPr>
            </w:pPr>
            <w:r w:rsidRPr="00F47091">
              <w:rPr>
                <w:rFonts w:ascii="Arial" w:eastAsia="Times New Roman" w:hAnsi="Arial" w:cs="Arial"/>
                <w:i/>
                <w:iCs/>
                <w:szCs w:val="24"/>
              </w:rPr>
              <w:t>(April 2018)</w:t>
            </w:r>
          </w:p>
        </w:tc>
        <w:tc>
          <w:tcPr>
            <w:tcW w:w="1482" w:type="dxa"/>
            <w:tcBorders>
              <w:top w:val="nil"/>
              <w:left w:val="nil"/>
              <w:bottom w:val="single" w:sz="8" w:space="0" w:color="auto"/>
              <w:right w:val="single" w:sz="8" w:space="0" w:color="auto"/>
            </w:tcBorders>
            <w:shd w:val="clear" w:color="000000" w:fill="E2EFD9"/>
            <w:vAlign w:val="bottom"/>
            <w:hideMark/>
          </w:tcPr>
          <w:p w14:paraId="5C7020E6" w14:textId="77777777" w:rsidR="00F47091" w:rsidRPr="00F47091" w:rsidRDefault="00F47091" w:rsidP="00F47091">
            <w:pPr>
              <w:spacing w:before="0" w:after="0"/>
              <w:jc w:val="center"/>
              <w:rPr>
                <w:rFonts w:ascii="Arial" w:eastAsia="Times New Roman" w:hAnsi="Arial" w:cs="Arial"/>
                <w:i/>
                <w:iCs/>
                <w:szCs w:val="24"/>
              </w:rPr>
            </w:pPr>
            <w:r w:rsidRPr="00F47091">
              <w:rPr>
                <w:rFonts w:ascii="Arial" w:eastAsia="Times New Roman" w:hAnsi="Arial" w:cs="Arial"/>
                <w:i/>
                <w:iCs/>
                <w:szCs w:val="24"/>
              </w:rPr>
              <w:t>(April 2019)</w:t>
            </w:r>
          </w:p>
        </w:tc>
        <w:tc>
          <w:tcPr>
            <w:tcW w:w="1670" w:type="dxa"/>
            <w:gridSpan w:val="2"/>
            <w:tcBorders>
              <w:top w:val="nil"/>
              <w:left w:val="nil"/>
              <w:bottom w:val="single" w:sz="8" w:space="0" w:color="auto"/>
              <w:right w:val="single" w:sz="8" w:space="0" w:color="auto"/>
            </w:tcBorders>
            <w:shd w:val="clear" w:color="000000" w:fill="E2EFD9"/>
            <w:vAlign w:val="bottom"/>
            <w:hideMark/>
          </w:tcPr>
          <w:p w14:paraId="54AAFAAF" w14:textId="77777777" w:rsidR="00F47091" w:rsidRPr="00F47091" w:rsidRDefault="00F47091" w:rsidP="00F47091">
            <w:pPr>
              <w:spacing w:before="0" w:after="0"/>
              <w:jc w:val="center"/>
              <w:rPr>
                <w:rFonts w:ascii="Arial" w:eastAsia="Times New Roman" w:hAnsi="Arial" w:cs="Arial"/>
                <w:i/>
                <w:iCs/>
                <w:szCs w:val="24"/>
              </w:rPr>
            </w:pPr>
            <w:r w:rsidRPr="00F47091">
              <w:rPr>
                <w:rFonts w:ascii="Arial" w:eastAsia="Times New Roman" w:hAnsi="Arial" w:cs="Arial"/>
                <w:i/>
                <w:iCs/>
                <w:szCs w:val="24"/>
              </w:rPr>
              <w:t>(April 2020)</w:t>
            </w:r>
          </w:p>
        </w:tc>
        <w:tc>
          <w:tcPr>
            <w:tcW w:w="1568" w:type="dxa"/>
            <w:tcBorders>
              <w:top w:val="nil"/>
              <w:left w:val="nil"/>
              <w:bottom w:val="single" w:sz="8" w:space="0" w:color="auto"/>
              <w:right w:val="single" w:sz="8" w:space="0" w:color="auto"/>
            </w:tcBorders>
            <w:shd w:val="clear" w:color="000000" w:fill="E2EFD9"/>
            <w:vAlign w:val="bottom"/>
            <w:hideMark/>
          </w:tcPr>
          <w:p w14:paraId="3E5FF154" w14:textId="77777777" w:rsidR="00F47091" w:rsidRPr="00F47091" w:rsidRDefault="00F47091" w:rsidP="00F47091">
            <w:pPr>
              <w:spacing w:before="0" w:after="0"/>
              <w:jc w:val="center"/>
              <w:rPr>
                <w:rFonts w:ascii="Arial" w:eastAsia="Times New Roman" w:hAnsi="Arial" w:cs="Arial"/>
                <w:i/>
                <w:iCs/>
                <w:szCs w:val="24"/>
              </w:rPr>
            </w:pPr>
            <w:r w:rsidRPr="00F47091">
              <w:rPr>
                <w:rFonts w:ascii="Arial" w:eastAsia="Times New Roman" w:hAnsi="Arial" w:cs="Arial"/>
                <w:i/>
                <w:iCs/>
                <w:szCs w:val="24"/>
              </w:rPr>
              <w:t> </w:t>
            </w:r>
          </w:p>
        </w:tc>
        <w:tc>
          <w:tcPr>
            <w:tcW w:w="1970" w:type="dxa"/>
            <w:tcBorders>
              <w:top w:val="nil"/>
              <w:left w:val="nil"/>
              <w:bottom w:val="single" w:sz="8" w:space="0" w:color="auto"/>
              <w:right w:val="single" w:sz="8" w:space="0" w:color="auto"/>
            </w:tcBorders>
            <w:shd w:val="clear" w:color="000000" w:fill="E2EFD9"/>
            <w:vAlign w:val="bottom"/>
            <w:hideMark/>
          </w:tcPr>
          <w:p w14:paraId="01B9F09F" w14:textId="77777777" w:rsidR="00F47091" w:rsidRPr="00F47091" w:rsidRDefault="00F47091" w:rsidP="00F47091">
            <w:pPr>
              <w:spacing w:before="0" w:after="0"/>
              <w:jc w:val="center"/>
              <w:rPr>
                <w:rFonts w:ascii="Arial" w:eastAsia="Times New Roman" w:hAnsi="Arial" w:cs="Arial"/>
                <w:b/>
                <w:bCs/>
                <w:i/>
                <w:iCs/>
                <w:szCs w:val="24"/>
              </w:rPr>
            </w:pPr>
            <w:r w:rsidRPr="00F47091">
              <w:rPr>
                <w:rFonts w:ascii="Arial" w:eastAsia="Times New Roman" w:hAnsi="Arial" w:cs="Arial"/>
                <w:b/>
                <w:bCs/>
                <w:i/>
                <w:iCs/>
                <w:szCs w:val="24"/>
              </w:rPr>
              <w:t> </w:t>
            </w:r>
          </w:p>
        </w:tc>
      </w:tr>
      <w:tr w:rsidR="00893806" w:rsidRPr="00F47091" w14:paraId="305C854D" w14:textId="77777777" w:rsidTr="00893806">
        <w:trPr>
          <w:trHeight w:val="315"/>
        </w:trPr>
        <w:tc>
          <w:tcPr>
            <w:tcW w:w="1523" w:type="dxa"/>
            <w:tcBorders>
              <w:top w:val="nil"/>
              <w:left w:val="single" w:sz="8" w:space="0" w:color="auto"/>
              <w:bottom w:val="single" w:sz="8" w:space="0" w:color="auto"/>
              <w:right w:val="single" w:sz="8" w:space="0" w:color="auto"/>
            </w:tcBorders>
            <w:shd w:val="clear" w:color="000000" w:fill="FFFFFF"/>
            <w:vAlign w:val="center"/>
            <w:hideMark/>
          </w:tcPr>
          <w:p w14:paraId="140B56EA" w14:textId="77777777" w:rsidR="00F47091" w:rsidRPr="00F47091" w:rsidRDefault="00F47091" w:rsidP="00F47091">
            <w:pPr>
              <w:spacing w:before="0" w:after="0"/>
              <w:rPr>
                <w:rFonts w:ascii="Arial" w:eastAsia="Times New Roman" w:hAnsi="Arial" w:cs="Arial"/>
                <w:color w:val="000000"/>
                <w:szCs w:val="24"/>
              </w:rPr>
            </w:pPr>
            <w:r w:rsidRPr="00F47091">
              <w:rPr>
                <w:rFonts w:ascii="Arial" w:eastAsia="Times New Roman" w:hAnsi="Arial" w:cs="Arial"/>
                <w:color w:val="000000"/>
                <w:szCs w:val="24"/>
              </w:rPr>
              <w:t>Exec Director</w:t>
            </w:r>
          </w:p>
        </w:tc>
        <w:tc>
          <w:tcPr>
            <w:tcW w:w="1567" w:type="dxa"/>
            <w:tcBorders>
              <w:top w:val="nil"/>
              <w:left w:val="nil"/>
              <w:bottom w:val="single" w:sz="8" w:space="0" w:color="auto"/>
              <w:right w:val="single" w:sz="8" w:space="0" w:color="auto"/>
            </w:tcBorders>
            <w:shd w:val="clear" w:color="000000" w:fill="FFFFFF"/>
            <w:vAlign w:val="center"/>
            <w:hideMark/>
          </w:tcPr>
          <w:p w14:paraId="12121AEA" w14:textId="77777777" w:rsidR="00F47091" w:rsidRPr="00F47091" w:rsidRDefault="00F47091" w:rsidP="00F47091">
            <w:pPr>
              <w:spacing w:before="0" w:after="0"/>
              <w:jc w:val="right"/>
              <w:rPr>
                <w:rFonts w:ascii="Arial" w:eastAsia="Times New Roman" w:hAnsi="Arial" w:cs="Arial"/>
                <w:szCs w:val="24"/>
              </w:rPr>
            </w:pPr>
            <w:r w:rsidRPr="00F47091">
              <w:rPr>
                <w:rFonts w:ascii="Arial" w:eastAsia="Times New Roman" w:hAnsi="Arial" w:cs="Arial"/>
                <w:szCs w:val="24"/>
              </w:rPr>
              <w:t>1.00</w:t>
            </w:r>
          </w:p>
        </w:tc>
        <w:tc>
          <w:tcPr>
            <w:tcW w:w="1482" w:type="dxa"/>
            <w:tcBorders>
              <w:top w:val="nil"/>
              <w:left w:val="nil"/>
              <w:bottom w:val="single" w:sz="8" w:space="0" w:color="auto"/>
              <w:right w:val="single" w:sz="8" w:space="0" w:color="auto"/>
            </w:tcBorders>
            <w:shd w:val="clear" w:color="000000" w:fill="FFFFFF"/>
            <w:vAlign w:val="center"/>
            <w:hideMark/>
          </w:tcPr>
          <w:p w14:paraId="5B9F368F" w14:textId="77777777" w:rsidR="00F47091" w:rsidRPr="00F47091" w:rsidRDefault="00F47091" w:rsidP="00F47091">
            <w:pPr>
              <w:spacing w:before="0" w:after="0"/>
              <w:jc w:val="right"/>
              <w:rPr>
                <w:rFonts w:ascii="Arial" w:eastAsia="Times New Roman" w:hAnsi="Arial" w:cs="Arial"/>
                <w:szCs w:val="24"/>
              </w:rPr>
            </w:pPr>
            <w:r w:rsidRPr="00F47091">
              <w:rPr>
                <w:rFonts w:ascii="Arial" w:eastAsia="Times New Roman" w:hAnsi="Arial" w:cs="Arial"/>
                <w:szCs w:val="24"/>
              </w:rPr>
              <w:t>1.00</w:t>
            </w:r>
          </w:p>
        </w:tc>
        <w:tc>
          <w:tcPr>
            <w:tcW w:w="1670" w:type="dxa"/>
            <w:gridSpan w:val="2"/>
            <w:tcBorders>
              <w:top w:val="nil"/>
              <w:left w:val="nil"/>
              <w:bottom w:val="single" w:sz="8" w:space="0" w:color="auto"/>
              <w:right w:val="single" w:sz="8" w:space="0" w:color="auto"/>
            </w:tcBorders>
            <w:shd w:val="clear" w:color="000000" w:fill="FFFFFF"/>
            <w:vAlign w:val="center"/>
            <w:hideMark/>
          </w:tcPr>
          <w:p w14:paraId="05FCE498" w14:textId="77777777" w:rsidR="00F47091" w:rsidRPr="00F47091" w:rsidRDefault="00F47091" w:rsidP="00F47091">
            <w:pPr>
              <w:spacing w:before="0" w:after="0"/>
              <w:jc w:val="right"/>
              <w:rPr>
                <w:rFonts w:ascii="Arial" w:eastAsia="Times New Roman" w:hAnsi="Arial" w:cs="Arial"/>
                <w:szCs w:val="24"/>
              </w:rPr>
            </w:pPr>
            <w:r w:rsidRPr="00F47091">
              <w:rPr>
                <w:rFonts w:ascii="Arial" w:eastAsia="Times New Roman" w:hAnsi="Arial" w:cs="Arial"/>
                <w:szCs w:val="24"/>
              </w:rPr>
              <w:t>1.00</w:t>
            </w:r>
          </w:p>
        </w:tc>
        <w:tc>
          <w:tcPr>
            <w:tcW w:w="1568" w:type="dxa"/>
            <w:tcBorders>
              <w:top w:val="nil"/>
              <w:left w:val="nil"/>
              <w:bottom w:val="single" w:sz="8" w:space="0" w:color="auto"/>
              <w:right w:val="single" w:sz="8" w:space="0" w:color="auto"/>
            </w:tcBorders>
            <w:shd w:val="clear" w:color="000000" w:fill="FFFFFF"/>
            <w:vAlign w:val="center"/>
            <w:hideMark/>
          </w:tcPr>
          <w:p w14:paraId="51DA4A20" w14:textId="77777777" w:rsidR="00F47091" w:rsidRPr="00F47091" w:rsidRDefault="00F47091" w:rsidP="00F47091">
            <w:pPr>
              <w:spacing w:before="0" w:after="0"/>
              <w:jc w:val="right"/>
              <w:rPr>
                <w:rFonts w:ascii="Arial" w:eastAsia="Times New Roman" w:hAnsi="Arial" w:cs="Arial"/>
                <w:szCs w:val="24"/>
              </w:rPr>
            </w:pPr>
            <w:r w:rsidRPr="00F47091">
              <w:rPr>
                <w:rFonts w:ascii="Arial" w:eastAsia="Times New Roman" w:hAnsi="Arial" w:cs="Arial"/>
                <w:szCs w:val="24"/>
              </w:rPr>
              <w:t>0.00</w:t>
            </w:r>
          </w:p>
        </w:tc>
        <w:tc>
          <w:tcPr>
            <w:tcW w:w="1970" w:type="dxa"/>
            <w:tcBorders>
              <w:top w:val="nil"/>
              <w:left w:val="nil"/>
              <w:bottom w:val="single" w:sz="8" w:space="0" w:color="auto"/>
              <w:right w:val="single" w:sz="8" w:space="0" w:color="auto"/>
            </w:tcBorders>
            <w:shd w:val="clear" w:color="000000" w:fill="FFFFFF"/>
            <w:vAlign w:val="center"/>
            <w:hideMark/>
          </w:tcPr>
          <w:p w14:paraId="3E5A7C3A" w14:textId="77777777" w:rsidR="00F47091" w:rsidRPr="00F47091" w:rsidRDefault="00F47091" w:rsidP="00F47091">
            <w:pPr>
              <w:spacing w:before="0" w:after="0"/>
              <w:jc w:val="center"/>
              <w:rPr>
                <w:rFonts w:ascii="Arial" w:eastAsia="Times New Roman" w:hAnsi="Arial" w:cs="Arial"/>
                <w:szCs w:val="24"/>
              </w:rPr>
            </w:pPr>
            <w:r w:rsidRPr="00F47091">
              <w:rPr>
                <w:rFonts w:ascii="Arial" w:eastAsia="Times New Roman" w:hAnsi="Arial" w:cs="Arial"/>
                <w:szCs w:val="24"/>
              </w:rPr>
              <w:t> </w:t>
            </w:r>
          </w:p>
        </w:tc>
      </w:tr>
      <w:tr w:rsidR="00893806" w:rsidRPr="00F47091" w14:paraId="42399876" w14:textId="77777777" w:rsidTr="00893806">
        <w:trPr>
          <w:trHeight w:val="315"/>
        </w:trPr>
        <w:tc>
          <w:tcPr>
            <w:tcW w:w="1523" w:type="dxa"/>
            <w:tcBorders>
              <w:top w:val="nil"/>
              <w:left w:val="single" w:sz="8" w:space="0" w:color="auto"/>
              <w:bottom w:val="single" w:sz="8" w:space="0" w:color="auto"/>
              <w:right w:val="single" w:sz="8" w:space="0" w:color="auto"/>
            </w:tcBorders>
            <w:shd w:val="clear" w:color="000000" w:fill="FFFFFF"/>
            <w:vAlign w:val="center"/>
            <w:hideMark/>
          </w:tcPr>
          <w:p w14:paraId="6872B8B5" w14:textId="77777777" w:rsidR="00F47091" w:rsidRPr="00F47091" w:rsidRDefault="00F47091" w:rsidP="00F47091">
            <w:pPr>
              <w:spacing w:before="0" w:after="0"/>
              <w:rPr>
                <w:rFonts w:ascii="Arial" w:eastAsia="Times New Roman" w:hAnsi="Arial" w:cs="Arial"/>
                <w:color w:val="000000"/>
                <w:szCs w:val="24"/>
              </w:rPr>
            </w:pPr>
            <w:r w:rsidRPr="00F47091">
              <w:rPr>
                <w:rFonts w:ascii="Arial" w:eastAsia="Times New Roman" w:hAnsi="Arial" w:cs="Arial"/>
                <w:color w:val="000000"/>
                <w:szCs w:val="24"/>
              </w:rPr>
              <w:t>Customer &amp; Online Services</w:t>
            </w:r>
          </w:p>
        </w:tc>
        <w:tc>
          <w:tcPr>
            <w:tcW w:w="1567" w:type="dxa"/>
            <w:tcBorders>
              <w:top w:val="nil"/>
              <w:left w:val="nil"/>
              <w:bottom w:val="single" w:sz="8" w:space="0" w:color="auto"/>
              <w:right w:val="single" w:sz="8" w:space="0" w:color="auto"/>
            </w:tcBorders>
            <w:shd w:val="clear" w:color="000000" w:fill="FFFFFF"/>
            <w:vAlign w:val="center"/>
            <w:hideMark/>
          </w:tcPr>
          <w:p w14:paraId="1424DA83" w14:textId="77777777" w:rsidR="00F47091" w:rsidRPr="00F47091" w:rsidRDefault="00F47091" w:rsidP="00F47091">
            <w:pPr>
              <w:spacing w:before="0" w:after="0"/>
              <w:jc w:val="right"/>
              <w:rPr>
                <w:rFonts w:ascii="Arial" w:eastAsia="Times New Roman" w:hAnsi="Arial" w:cs="Arial"/>
                <w:szCs w:val="24"/>
              </w:rPr>
            </w:pPr>
            <w:r w:rsidRPr="00F47091">
              <w:rPr>
                <w:rFonts w:ascii="Arial" w:eastAsia="Times New Roman" w:hAnsi="Arial" w:cs="Arial"/>
                <w:szCs w:val="24"/>
              </w:rPr>
              <w:t>291.27</w:t>
            </w:r>
          </w:p>
        </w:tc>
        <w:tc>
          <w:tcPr>
            <w:tcW w:w="1482" w:type="dxa"/>
            <w:tcBorders>
              <w:top w:val="nil"/>
              <w:left w:val="nil"/>
              <w:bottom w:val="single" w:sz="8" w:space="0" w:color="auto"/>
              <w:right w:val="single" w:sz="8" w:space="0" w:color="auto"/>
            </w:tcBorders>
            <w:shd w:val="clear" w:color="000000" w:fill="FFFFFF"/>
            <w:vAlign w:val="center"/>
            <w:hideMark/>
          </w:tcPr>
          <w:p w14:paraId="64DF9680" w14:textId="77777777" w:rsidR="00F47091" w:rsidRPr="00F47091" w:rsidRDefault="00F47091" w:rsidP="00F47091">
            <w:pPr>
              <w:spacing w:before="0" w:after="0"/>
              <w:jc w:val="right"/>
              <w:rPr>
                <w:rFonts w:ascii="Arial" w:eastAsia="Times New Roman" w:hAnsi="Arial" w:cs="Arial"/>
                <w:szCs w:val="24"/>
              </w:rPr>
            </w:pPr>
            <w:r w:rsidRPr="00F47091">
              <w:rPr>
                <w:rFonts w:ascii="Arial" w:eastAsia="Times New Roman" w:hAnsi="Arial" w:cs="Arial"/>
                <w:szCs w:val="24"/>
              </w:rPr>
              <w:t>279.51</w:t>
            </w:r>
          </w:p>
        </w:tc>
        <w:tc>
          <w:tcPr>
            <w:tcW w:w="1670" w:type="dxa"/>
            <w:gridSpan w:val="2"/>
            <w:tcBorders>
              <w:top w:val="nil"/>
              <w:left w:val="nil"/>
              <w:bottom w:val="single" w:sz="8" w:space="0" w:color="auto"/>
              <w:right w:val="single" w:sz="8" w:space="0" w:color="auto"/>
            </w:tcBorders>
            <w:shd w:val="clear" w:color="000000" w:fill="FFFFFF"/>
            <w:vAlign w:val="center"/>
            <w:hideMark/>
          </w:tcPr>
          <w:p w14:paraId="709D8E34" w14:textId="77777777" w:rsidR="00F47091" w:rsidRPr="00F47091" w:rsidRDefault="00F47091" w:rsidP="00F47091">
            <w:pPr>
              <w:spacing w:before="0" w:after="0"/>
              <w:jc w:val="right"/>
              <w:rPr>
                <w:rFonts w:ascii="Arial" w:eastAsia="Times New Roman" w:hAnsi="Arial" w:cs="Arial"/>
                <w:szCs w:val="24"/>
              </w:rPr>
            </w:pPr>
            <w:r w:rsidRPr="00F47091">
              <w:rPr>
                <w:rFonts w:ascii="Arial" w:eastAsia="Times New Roman" w:hAnsi="Arial" w:cs="Arial"/>
                <w:szCs w:val="24"/>
              </w:rPr>
              <w:t>441.48</w:t>
            </w:r>
          </w:p>
        </w:tc>
        <w:tc>
          <w:tcPr>
            <w:tcW w:w="1568" w:type="dxa"/>
            <w:tcBorders>
              <w:top w:val="nil"/>
              <w:left w:val="nil"/>
              <w:bottom w:val="single" w:sz="8" w:space="0" w:color="auto"/>
              <w:right w:val="single" w:sz="8" w:space="0" w:color="auto"/>
            </w:tcBorders>
            <w:shd w:val="clear" w:color="000000" w:fill="FFFFFF"/>
            <w:vAlign w:val="center"/>
            <w:hideMark/>
          </w:tcPr>
          <w:p w14:paraId="67655BB2" w14:textId="77777777" w:rsidR="00F47091" w:rsidRPr="00F47091" w:rsidRDefault="00F47091" w:rsidP="00F47091">
            <w:pPr>
              <w:spacing w:before="0" w:after="0"/>
              <w:jc w:val="right"/>
              <w:rPr>
                <w:rFonts w:ascii="Arial" w:eastAsia="Times New Roman" w:hAnsi="Arial" w:cs="Arial"/>
                <w:szCs w:val="24"/>
              </w:rPr>
            </w:pPr>
            <w:r w:rsidRPr="00F47091">
              <w:rPr>
                <w:rFonts w:ascii="Arial" w:eastAsia="Times New Roman" w:hAnsi="Arial" w:cs="Arial"/>
                <w:szCs w:val="24"/>
              </w:rPr>
              <w:t>161.97</w:t>
            </w:r>
          </w:p>
        </w:tc>
        <w:tc>
          <w:tcPr>
            <w:tcW w:w="1970" w:type="dxa"/>
            <w:tcBorders>
              <w:top w:val="nil"/>
              <w:left w:val="nil"/>
              <w:bottom w:val="single" w:sz="8" w:space="0" w:color="auto"/>
              <w:right w:val="single" w:sz="8" w:space="0" w:color="auto"/>
            </w:tcBorders>
            <w:shd w:val="clear" w:color="000000" w:fill="FFFFFF"/>
            <w:vAlign w:val="center"/>
            <w:hideMark/>
          </w:tcPr>
          <w:p w14:paraId="367BB0C7" w14:textId="77777777" w:rsidR="00F47091" w:rsidRPr="00F47091" w:rsidRDefault="00F47091" w:rsidP="00F47091">
            <w:pPr>
              <w:spacing w:before="0" w:after="0"/>
              <w:jc w:val="center"/>
              <w:rPr>
                <w:rFonts w:ascii="Arial" w:eastAsia="Times New Roman" w:hAnsi="Arial" w:cs="Arial"/>
                <w:szCs w:val="24"/>
              </w:rPr>
            </w:pPr>
            <w:r w:rsidRPr="00F47091">
              <w:rPr>
                <w:rFonts w:ascii="Arial" w:eastAsia="Times New Roman" w:hAnsi="Arial" w:cs="Arial"/>
                <w:szCs w:val="24"/>
              </w:rPr>
              <w:t>1</w:t>
            </w:r>
          </w:p>
        </w:tc>
      </w:tr>
      <w:tr w:rsidR="00893806" w:rsidRPr="00F47091" w14:paraId="34D860F7" w14:textId="77777777" w:rsidTr="00893806">
        <w:trPr>
          <w:trHeight w:val="300"/>
        </w:trPr>
        <w:tc>
          <w:tcPr>
            <w:tcW w:w="1523" w:type="dxa"/>
            <w:tcBorders>
              <w:top w:val="nil"/>
              <w:left w:val="nil"/>
              <w:bottom w:val="nil"/>
              <w:right w:val="nil"/>
            </w:tcBorders>
            <w:shd w:val="clear" w:color="auto" w:fill="auto"/>
            <w:noWrap/>
            <w:vAlign w:val="bottom"/>
            <w:hideMark/>
          </w:tcPr>
          <w:p w14:paraId="369ABC5C" w14:textId="77777777" w:rsidR="00F47091" w:rsidRPr="00F47091" w:rsidRDefault="00F47091" w:rsidP="00F47091">
            <w:pPr>
              <w:spacing w:before="0" w:after="0"/>
              <w:jc w:val="center"/>
              <w:rPr>
                <w:rFonts w:ascii="Arial" w:eastAsia="Times New Roman" w:hAnsi="Arial" w:cs="Arial"/>
                <w:szCs w:val="24"/>
              </w:rPr>
            </w:pPr>
          </w:p>
        </w:tc>
        <w:tc>
          <w:tcPr>
            <w:tcW w:w="1567" w:type="dxa"/>
            <w:tcBorders>
              <w:top w:val="nil"/>
              <w:left w:val="nil"/>
              <w:bottom w:val="nil"/>
              <w:right w:val="nil"/>
            </w:tcBorders>
            <w:shd w:val="clear" w:color="auto" w:fill="auto"/>
            <w:noWrap/>
            <w:vAlign w:val="bottom"/>
            <w:hideMark/>
          </w:tcPr>
          <w:p w14:paraId="6938F8ED" w14:textId="77777777" w:rsidR="00F47091" w:rsidRPr="00F47091" w:rsidRDefault="00F47091" w:rsidP="00F47091">
            <w:pPr>
              <w:spacing w:before="0" w:after="0"/>
              <w:rPr>
                <w:rFonts w:ascii="Times New Roman" w:eastAsia="Times New Roman" w:hAnsi="Times New Roman"/>
                <w:sz w:val="20"/>
              </w:rPr>
            </w:pPr>
          </w:p>
        </w:tc>
        <w:tc>
          <w:tcPr>
            <w:tcW w:w="1482" w:type="dxa"/>
            <w:tcBorders>
              <w:top w:val="nil"/>
              <w:left w:val="nil"/>
              <w:bottom w:val="nil"/>
              <w:right w:val="nil"/>
            </w:tcBorders>
            <w:shd w:val="clear" w:color="auto" w:fill="auto"/>
            <w:noWrap/>
            <w:vAlign w:val="bottom"/>
            <w:hideMark/>
          </w:tcPr>
          <w:p w14:paraId="49B27E54" w14:textId="77777777" w:rsidR="00F47091" w:rsidRPr="00F47091" w:rsidRDefault="00F47091" w:rsidP="00F47091">
            <w:pPr>
              <w:spacing w:before="0" w:after="0"/>
              <w:rPr>
                <w:rFonts w:ascii="Times New Roman" w:eastAsia="Times New Roman" w:hAnsi="Times New Roman"/>
                <w:sz w:val="20"/>
              </w:rPr>
            </w:pPr>
          </w:p>
        </w:tc>
        <w:tc>
          <w:tcPr>
            <w:tcW w:w="1670" w:type="dxa"/>
            <w:gridSpan w:val="2"/>
            <w:tcBorders>
              <w:top w:val="nil"/>
              <w:left w:val="nil"/>
              <w:bottom w:val="nil"/>
              <w:right w:val="nil"/>
            </w:tcBorders>
            <w:shd w:val="clear" w:color="auto" w:fill="auto"/>
            <w:noWrap/>
            <w:vAlign w:val="bottom"/>
            <w:hideMark/>
          </w:tcPr>
          <w:p w14:paraId="5FA53B60" w14:textId="77777777" w:rsidR="00F47091" w:rsidRPr="00F47091" w:rsidRDefault="00F47091" w:rsidP="00F47091">
            <w:pPr>
              <w:spacing w:before="0" w:after="0"/>
              <w:rPr>
                <w:rFonts w:ascii="Times New Roman" w:eastAsia="Times New Roman" w:hAnsi="Times New Roman"/>
                <w:sz w:val="20"/>
              </w:rPr>
            </w:pPr>
          </w:p>
        </w:tc>
        <w:tc>
          <w:tcPr>
            <w:tcW w:w="1568" w:type="dxa"/>
            <w:tcBorders>
              <w:top w:val="nil"/>
              <w:left w:val="nil"/>
              <w:bottom w:val="nil"/>
              <w:right w:val="nil"/>
            </w:tcBorders>
            <w:shd w:val="clear" w:color="auto" w:fill="auto"/>
            <w:noWrap/>
            <w:vAlign w:val="bottom"/>
            <w:hideMark/>
          </w:tcPr>
          <w:p w14:paraId="60E3AA10" w14:textId="77777777" w:rsidR="00F47091" w:rsidRPr="00F47091" w:rsidRDefault="00F47091" w:rsidP="00F47091">
            <w:pPr>
              <w:spacing w:before="0" w:after="0"/>
              <w:rPr>
                <w:rFonts w:ascii="Times New Roman" w:eastAsia="Times New Roman" w:hAnsi="Times New Roman"/>
                <w:sz w:val="20"/>
              </w:rPr>
            </w:pPr>
          </w:p>
        </w:tc>
        <w:tc>
          <w:tcPr>
            <w:tcW w:w="1970" w:type="dxa"/>
            <w:tcBorders>
              <w:top w:val="nil"/>
              <w:left w:val="nil"/>
              <w:bottom w:val="nil"/>
              <w:right w:val="nil"/>
            </w:tcBorders>
            <w:shd w:val="clear" w:color="auto" w:fill="auto"/>
            <w:noWrap/>
            <w:vAlign w:val="bottom"/>
            <w:hideMark/>
          </w:tcPr>
          <w:p w14:paraId="19002000" w14:textId="77777777" w:rsidR="00F47091" w:rsidRPr="00F47091" w:rsidRDefault="00F47091" w:rsidP="00F47091">
            <w:pPr>
              <w:spacing w:before="0" w:after="0"/>
              <w:rPr>
                <w:rFonts w:ascii="Times New Roman" w:eastAsia="Times New Roman" w:hAnsi="Times New Roman"/>
                <w:sz w:val="20"/>
              </w:rPr>
            </w:pPr>
          </w:p>
        </w:tc>
      </w:tr>
      <w:tr w:rsidR="00893806" w:rsidRPr="00F47091" w14:paraId="061819F2" w14:textId="77777777" w:rsidTr="00893806">
        <w:trPr>
          <w:trHeight w:val="315"/>
        </w:trPr>
        <w:tc>
          <w:tcPr>
            <w:tcW w:w="1523" w:type="dxa"/>
            <w:tcBorders>
              <w:top w:val="nil"/>
              <w:left w:val="nil"/>
              <w:bottom w:val="nil"/>
              <w:right w:val="nil"/>
            </w:tcBorders>
            <w:shd w:val="clear" w:color="000000" w:fill="FFFFFF"/>
            <w:vAlign w:val="center"/>
            <w:hideMark/>
          </w:tcPr>
          <w:p w14:paraId="6C0CA9B6" w14:textId="77777777" w:rsidR="00F47091" w:rsidRPr="00F47091" w:rsidRDefault="00F47091" w:rsidP="00F47091">
            <w:pPr>
              <w:spacing w:before="0" w:after="0"/>
              <w:rPr>
                <w:rFonts w:ascii="Arial" w:eastAsia="Times New Roman" w:hAnsi="Arial" w:cs="Arial"/>
                <w:b/>
                <w:bCs/>
                <w:color w:val="000000"/>
                <w:szCs w:val="24"/>
              </w:rPr>
            </w:pPr>
            <w:r w:rsidRPr="00F47091">
              <w:rPr>
                <w:rFonts w:ascii="Arial" w:eastAsia="Times New Roman" w:hAnsi="Arial" w:cs="Arial"/>
                <w:b/>
                <w:bCs/>
                <w:color w:val="000000"/>
                <w:szCs w:val="24"/>
              </w:rPr>
              <w:t>Notes</w:t>
            </w:r>
          </w:p>
        </w:tc>
        <w:tc>
          <w:tcPr>
            <w:tcW w:w="1567" w:type="dxa"/>
            <w:tcBorders>
              <w:top w:val="nil"/>
              <w:left w:val="nil"/>
              <w:bottom w:val="nil"/>
              <w:right w:val="nil"/>
            </w:tcBorders>
            <w:shd w:val="clear" w:color="auto" w:fill="auto"/>
            <w:noWrap/>
            <w:vAlign w:val="bottom"/>
            <w:hideMark/>
          </w:tcPr>
          <w:p w14:paraId="3CD79DFC" w14:textId="77777777" w:rsidR="00F47091" w:rsidRPr="00F47091" w:rsidRDefault="00F47091" w:rsidP="00F47091">
            <w:pPr>
              <w:spacing w:before="0" w:after="0"/>
              <w:rPr>
                <w:rFonts w:ascii="Arial" w:eastAsia="Times New Roman" w:hAnsi="Arial" w:cs="Arial"/>
                <w:b/>
                <w:bCs/>
                <w:color w:val="000000"/>
                <w:szCs w:val="24"/>
              </w:rPr>
            </w:pPr>
          </w:p>
        </w:tc>
        <w:tc>
          <w:tcPr>
            <w:tcW w:w="1482" w:type="dxa"/>
            <w:tcBorders>
              <w:top w:val="nil"/>
              <w:left w:val="nil"/>
              <w:bottom w:val="nil"/>
              <w:right w:val="nil"/>
            </w:tcBorders>
            <w:shd w:val="clear" w:color="auto" w:fill="auto"/>
            <w:noWrap/>
            <w:vAlign w:val="bottom"/>
            <w:hideMark/>
          </w:tcPr>
          <w:p w14:paraId="36D4918F" w14:textId="77777777" w:rsidR="00F47091" w:rsidRPr="00F47091" w:rsidRDefault="00F47091" w:rsidP="00F47091">
            <w:pPr>
              <w:spacing w:before="0" w:after="0"/>
              <w:rPr>
                <w:rFonts w:ascii="Times New Roman" w:eastAsia="Times New Roman" w:hAnsi="Times New Roman"/>
                <w:sz w:val="20"/>
              </w:rPr>
            </w:pPr>
          </w:p>
        </w:tc>
        <w:tc>
          <w:tcPr>
            <w:tcW w:w="1670" w:type="dxa"/>
            <w:gridSpan w:val="2"/>
            <w:tcBorders>
              <w:top w:val="nil"/>
              <w:left w:val="nil"/>
              <w:bottom w:val="nil"/>
              <w:right w:val="nil"/>
            </w:tcBorders>
            <w:shd w:val="clear" w:color="auto" w:fill="auto"/>
            <w:noWrap/>
            <w:vAlign w:val="bottom"/>
            <w:hideMark/>
          </w:tcPr>
          <w:p w14:paraId="13E0D998" w14:textId="77777777" w:rsidR="00F47091" w:rsidRPr="00F47091" w:rsidRDefault="00F47091" w:rsidP="00F47091">
            <w:pPr>
              <w:spacing w:before="0" w:after="0"/>
              <w:rPr>
                <w:rFonts w:ascii="Times New Roman" w:eastAsia="Times New Roman" w:hAnsi="Times New Roman"/>
                <w:sz w:val="20"/>
              </w:rPr>
            </w:pPr>
          </w:p>
        </w:tc>
        <w:tc>
          <w:tcPr>
            <w:tcW w:w="1568" w:type="dxa"/>
            <w:tcBorders>
              <w:top w:val="nil"/>
              <w:left w:val="nil"/>
              <w:bottom w:val="nil"/>
              <w:right w:val="nil"/>
            </w:tcBorders>
            <w:shd w:val="clear" w:color="auto" w:fill="auto"/>
            <w:noWrap/>
            <w:vAlign w:val="bottom"/>
            <w:hideMark/>
          </w:tcPr>
          <w:p w14:paraId="34084A00" w14:textId="77777777" w:rsidR="00F47091" w:rsidRPr="00F47091" w:rsidRDefault="00F47091" w:rsidP="00F47091">
            <w:pPr>
              <w:spacing w:before="0" w:after="0"/>
              <w:rPr>
                <w:rFonts w:ascii="Times New Roman" w:eastAsia="Times New Roman" w:hAnsi="Times New Roman"/>
                <w:sz w:val="20"/>
              </w:rPr>
            </w:pPr>
          </w:p>
        </w:tc>
        <w:tc>
          <w:tcPr>
            <w:tcW w:w="1970" w:type="dxa"/>
            <w:tcBorders>
              <w:top w:val="nil"/>
              <w:left w:val="nil"/>
              <w:bottom w:val="nil"/>
              <w:right w:val="nil"/>
            </w:tcBorders>
            <w:shd w:val="clear" w:color="auto" w:fill="auto"/>
            <w:noWrap/>
            <w:vAlign w:val="bottom"/>
            <w:hideMark/>
          </w:tcPr>
          <w:p w14:paraId="3D0BBB2A" w14:textId="77777777" w:rsidR="00F47091" w:rsidRPr="00F47091" w:rsidRDefault="00F47091" w:rsidP="00F47091">
            <w:pPr>
              <w:spacing w:before="0" w:after="0"/>
              <w:rPr>
                <w:rFonts w:ascii="Times New Roman" w:eastAsia="Times New Roman" w:hAnsi="Times New Roman"/>
                <w:sz w:val="20"/>
              </w:rPr>
            </w:pPr>
          </w:p>
        </w:tc>
      </w:tr>
      <w:tr w:rsidR="00F47091" w:rsidRPr="00F47091" w14:paraId="7AAE0CF9" w14:textId="77777777" w:rsidTr="00893806">
        <w:trPr>
          <w:trHeight w:val="360"/>
        </w:trPr>
        <w:tc>
          <w:tcPr>
            <w:tcW w:w="9780" w:type="dxa"/>
            <w:gridSpan w:val="7"/>
            <w:tcBorders>
              <w:top w:val="nil"/>
              <w:left w:val="nil"/>
              <w:bottom w:val="nil"/>
              <w:right w:val="nil"/>
            </w:tcBorders>
            <w:shd w:val="clear" w:color="000000" w:fill="FFFFFF"/>
            <w:vAlign w:val="center"/>
            <w:hideMark/>
          </w:tcPr>
          <w:p w14:paraId="65A80AAA" w14:textId="77777777" w:rsidR="00F47091" w:rsidRPr="00F47091" w:rsidRDefault="00F47091" w:rsidP="00F47091">
            <w:pPr>
              <w:spacing w:before="0" w:after="0"/>
              <w:rPr>
                <w:rFonts w:ascii="Arial" w:eastAsia="Times New Roman" w:hAnsi="Arial" w:cs="Arial"/>
                <w:color w:val="000000"/>
                <w:szCs w:val="24"/>
              </w:rPr>
            </w:pPr>
            <w:r w:rsidRPr="00F47091">
              <w:rPr>
                <w:rFonts w:ascii="Arial" w:eastAsia="Times New Roman" w:hAnsi="Arial" w:cs="Arial"/>
                <w:color w:val="000000"/>
                <w:szCs w:val="24"/>
              </w:rPr>
              <w:t>1. Revenues moved from Finance to Customer Service Improvement to form the new Customer &amp; Online Service.</w:t>
            </w:r>
          </w:p>
        </w:tc>
      </w:tr>
    </w:tbl>
    <w:p w14:paraId="0A8F9AE3" w14:textId="6D550248" w:rsidR="00353AE1" w:rsidRDefault="00353AE1" w:rsidP="008B7AEF">
      <w:pPr>
        <w:spacing w:before="0" w:after="0"/>
        <w:rPr>
          <w:szCs w:val="24"/>
        </w:rPr>
      </w:pPr>
    </w:p>
    <w:p w14:paraId="71456B1B" w14:textId="0F2ADAD4" w:rsidR="00823AD0" w:rsidRDefault="00823AD0" w:rsidP="008B7AEF">
      <w:pPr>
        <w:spacing w:before="0" w:after="0"/>
        <w:rPr>
          <w:szCs w:val="24"/>
        </w:rPr>
      </w:pPr>
    </w:p>
    <w:p w14:paraId="7A19BFC5" w14:textId="48DED0B7" w:rsidR="00823AD0" w:rsidRDefault="00823AD0" w:rsidP="008B7AEF">
      <w:pPr>
        <w:spacing w:before="0" w:after="0"/>
        <w:rPr>
          <w:szCs w:val="24"/>
        </w:rPr>
      </w:pPr>
    </w:p>
    <w:p w14:paraId="26F9E8E7" w14:textId="5C68B963" w:rsidR="00823AD0" w:rsidRDefault="00823AD0" w:rsidP="008B7AEF">
      <w:pPr>
        <w:spacing w:before="0" w:after="0"/>
        <w:rPr>
          <w:szCs w:val="24"/>
        </w:rPr>
      </w:pPr>
    </w:p>
    <w:p w14:paraId="389CF224" w14:textId="78022D7C" w:rsidR="00823AD0" w:rsidRDefault="00823AD0" w:rsidP="008B7AEF">
      <w:pPr>
        <w:spacing w:before="0" w:after="0"/>
        <w:rPr>
          <w:szCs w:val="24"/>
        </w:rPr>
      </w:pPr>
    </w:p>
    <w:p w14:paraId="0697E928" w14:textId="0CD867CB" w:rsidR="00823AD0" w:rsidRDefault="00823AD0" w:rsidP="008B7AEF">
      <w:pPr>
        <w:spacing w:before="0" w:after="0"/>
        <w:rPr>
          <w:szCs w:val="24"/>
        </w:rPr>
      </w:pPr>
    </w:p>
    <w:p w14:paraId="65129C6D" w14:textId="1607FEF5" w:rsidR="00823AD0" w:rsidRDefault="00823AD0" w:rsidP="008B7AEF">
      <w:pPr>
        <w:spacing w:before="0" w:after="0"/>
        <w:rPr>
          <w:szCs w:val="24"/>
        </w:rPr>
      </w:pPr>
    </w:p>
    <w:p w14:paraId="4BCCAC0F" w14:textId="05F197FD" w:rsidR="00823AD0" w:rsidRDefault="00823AD0" w:rsidP="008B7AEF">
      <w:pPr>
        <w:spacing w:before="0" w:after="0"/>
        <w:rPr>
          <w:szCs w:val="24"/>
        </w:rPr>
      </w:pPr>
    </w:p>
    <w:p w14:paraId="206084E7" w14:textId="31D74A0A" w:rsidR="00823AD0" w:rsidRDefault="00823AD0" w:rsidP="008B7AEF">
      <w:pPr>
        <w:spacing w:before="0" w:after="0"/>
        <w:rPr>
          <w:szCs w:val="24"/>
        </w:rPr>
      </w:pPr>
    </w:p>
    <w:p w14:paraId="2B403D59" w14:textId="5A7E3F65" w:rsidR="00823AD0" w:rsidRDefault="00823AD0" w:rsidP="008B7AEF">
      <w:pPr>
        <w:spacing w:before="0" w:after="0"/>
        <w:rPr>
          <w:szCs w:val="24"/>
        </w:rPr>
      </w:pPr>
    </w:p>
    <w:p w14:paraId="3852EB25" w14:textId="6013C208" w:rsidR="00823AD0" w:rsidRDefault="00823AD0" w:rsidP="008B7AEF">
      <w:pPr>
        <w:spacing w:before="0" w:after="0"/>
        <w:rPr>
          <w:szCs w:val="24"/>
        </w:rPr>
      </w:pPr>
    </w:p>
    <w:p w14:paraId="710793B5" w14:textId="4ABA68AF" w:rsidR="00823AD0" w:rsidRDefault="00823AD0" w:rsidP="008B7AEF">
      <w:pPr>
        <w:spacing w:before="0" w:after="0"/>
        <w:rPr>
          <w:szCs w:val="24"/>
        </w:rPr>
      </w:pPr>
    </w:p>
    <w:p w14:paraId="6C4EEAFF" w14:textId="2A9A2848" w:rsidR="00823AD0" w:rsidRDefault="00823AD0" w:rsidP="008B7AEF">
      <w:pPr>
        <w:spacing w:before="0" w:after="0"/>
        <w:rPr>
          <w:szCs w:val="24"/>
        </w:rPr>
      </w:pPr>
    </w:p>
    <w:p w14:paraId="77081E81" w14:textId="0D873E97" w:rsidR="00823AD0" w:rsidRDefault="00823AD0" w:rsidP="008B7AEF">
      <w:pPr>
        <w:spacing w:before="0" w:after="0"/>
        <w:rPr>
          <w:szCs w:val="24"/>
        </w:rPr>
      </w:pPr>
    </w:p>
    <w:p w14:paraId="1878E6EC" w14:textId="713FAAD2" w:rsidR="00823AD0" w:rsidRDefault="00823AD0" w:rsidP="008B7AEF">
      <w:pPr>
        <w:spacing w:before="0" w:after="0"/>
        <w:rPr>
          <w:szCs w:val="24"/>
        </w:rPr>
      </w:pPr>
    </w:p>
    <w:p w14:paraId="3289383F" w14:textId="553F8966" w:rsidR="00823AD0" w:rsidRDefault="00823AD0" w:rsidP="008B7AEF">
      <w:pPr>
        <w:spacing w:before="0" w:after="0"/>
        <w:rPr>
          <w:szCs w:val="24"/>
        </w:rPr>
      </w:pPr>
    </w:p>
    <w:p w14:paraId="0186F6F5" w14:textId="31BCD3DF" w:rsidR="00823AD0" w:rsidRDefault="00823AD0" w:rsidP="008B7AEF">
      <w:pPr>
        <w:spacing w:before="0" w:after="0"/>
        <w:rPr>
          <w:szCs w:val="24"/>
        </w:rPr>
      </w:pPr>
    </w:p>
    <w:p w14:paraId="3418D4B3" w14:textId="37A4AF55" w:rsidR="00823AD0" w:rsidRDefault="00823AD0" w:rsidP="008B7AEF">
      <w:pPr>
        <w:spacing w:before="0" w:after="0"/>
        <w:rPr>
          <w:szCs w:val="24"/>
        </w:rPr>
      </w:pPr>
    </w:p>
    <w:p w14:paraId="43E718F9" w14:textId="13B5D663" w:rsidR="00823AD0" w:rsidRDefault="00823AD0" w:rsidP="008B7AEF">
      <w:pPr>
        <w:spacing w:before="0" w:after="0"/>
        <w:rPr>
          <w:szCs w:val="24"/>
        </w:rPr>
      </w:pPr>
    </w:p>
    <w:p w14:paraId="41EE43D8" w14:textId="6CAD91EE" w:rsidR="00823AD0" w:rsidRDefault="00823AD0" w:rsidP="008B7AEF">
      <w:pPr>
        <w:spacing w:before="0" w:after="0"/>
        <w:rPr>
          <w:szCs w:val="24"/>
        </w:rPr>
      </w:pPr>
    </w:p>
    <w:p w14:paraId="59C436D8" w14:textId="5778DF26" w:rsidR="00823AD0" w:rsidRDefault="00823AD0" w:rsidP="008B7AEF">
      <w:pPr>
        <w:spacing w:before="0" w:after="0"/>
        <w:rPr>
          <w:szCs w:val="24"/>
        </w:rPr>
      </w:pPr>
    </w:p>
    <w:p w14:paraId="5315971C" w14:textId="7E52F2FF" w:rsidR="00823AD0" w:rsidRDefault="00823AD0" w:rsidP="008B7AEF">
      <w:pPr>
        <w:spacing w:before="0" w:after="0"/>
        <w:rPr>
          <w:szCs w:val="24"/>
        </w:rPr>
      </w:pPr>
    </w:p>
    <w:p w14:paraId="4F411B12" w14:textId="0FB853E3" w:rsidR="00823AD0" w:rsidRDefault="00823AD0" w:rsidP="008B7AEF">
      <w:pPr>
        <w:spacing w:before="0" w:after="0"/>
        <w:rPr>
          <w:szCs w:val="24"/>
        </w:rPr>
      </w:pPr>
    </w:p>
    <w:p w14:paraId="2D76F6D8" w14:textId="47E88BF8" w:rsidR="00823AD0" w:rsidRDefault="00823AD0" w:rsidP="008B7AEF">
      <w:pPr>
        <w:spacing w:before="0" w:after="0"/>
        <w:rPr>
          <w:szCs w:val="24"/>
        </w:rPr>
      </w:pPr>
    </w:p>
    <w:p w14:paraId="3F4E7838" w14:textId="4066CEFD" w:rsidR="00823AD0" w:rsidRDefault="00823AD0" w:rsidP="008B7AEF">
      <w:pPr>
        <w:spacing w:before="0" w:after="0"/>
        <w:rPr>
          <w:szCs w:val="24"/>
        </w:rPr>
      </w:pPr>
    </w:p>
    <w:p w14:paraId="431FA729" w14:textId="305CB546" w:rsidR="00823AD0" w:rsidRDefault="00823AD0" w:rsidP="008B7AEF">
      <w:pPr>
        <w:spacing w:before="0" w:after="0"/>
        <w:rPr>
          <w:szCs w:val="24"/>
        </w:rPr>
      </w:pPr>
    </w:p>
    <w:p w14:paraId="6FA30F0D" w14:textId="5D8550A5" w:rsidR="00823AD0" w:rsidRDefault="00823AD0" w:rsidP="008B7AEF">
      <w:pPr>
        <w:spacing w:before="0" w:after="0"/>
        <w:rPr>
          <w:szCs w:val="24"/>
        </w:rPr>
      </w:pPr>
    </w:p>
    <w:p w14:paraId="5E73AB92" w14:textId="1689F3E2" w:rsidR="00823AD0" w:rsidRDefault="00823AD0" w:rsidP="008B7AEF">
      <w:pPr>
        <w:spacing w:before="0" w:after="0"/>
        <w:rPr>
          <w:szCs w:val="24"/>
        </w:rPr>
      </w:pPr>
    </w:p>
    <w:p w14:paraId="455DD189" w14:textId="3B3C4398" w:rsidR="00823AD0" w:rsidRDefault="00823AD0" w:rsidP="008B7AEF">
      <w:pPr>
        <w:spacing w:before="0" w:after="0"/>
        <w:rPr>
          <w:szCs w:val="24"/>
        </w:rPr>
      </w:pPr>
    </w:p>
    <w:p w14:paraId="11F9FB5C" w14:textId="3E2CA36E" w:rsidR="00823AD0" w:rsidRDefault="00823AD0" w:rsidP="008B7AEF">
      <w:pPr>
        <w:spacing w:before="0" w:after="0"/>
        <w:rPr>
          <w:szCs w:val="24"/>
        </w:rPr>
      </w:pPr>
    </w:p>
    <w:p w14:paraId="518696D7" w14:textId="335594D1" w:rsidR="00823AD0" w:rsidRDefault="00823AD0" w:rsidP="008B7AEF">
      <w:pPr>
        <w:spacing w:before="0" w:after="0"/>
        <w:rPr>
          <w:szCs w:val="24"/>
        </w:rPr>
      </w:pPr>
    </w:p>
    <w:p w14:paraId="753AE02D" w14:textId="6EB71EC6" w:rsidR="00823AD0" w:rsidRDefault="00823AD0" w:rsidP="008B7AEF">
      <w:pPr>
        <w:spacing w:before="0" w:after="0"/>
        <w:rPr>
          <w:szCs w:val="24"/>
        </w:rPr>
      </w:pPr>
    </w:p>
    <w:p w14:paraId="06FA5820" w14:textId="77777777" w:rsidR="007C1545" w:rsidRPr="007C1545" w:rsidRDefault="007C1545" w:rsidP="007C1545">
      <w:pPr>
        <w:spacing w:before="0" w:after="160" w:line="259" w:lineRule="auto"/>
        <w:jc w:val="center"/>
        <w:rPr>
          <w:rFonts w:ascii="Arial" w:eastAsiaTheme="minorHAnsi" w:hAnsi="Arial" w:cs="Arial"/>
          <w:sz w:val="40"/>
          <w:szCs w:val="40"/>
          <w:lang w:eastAsia="en-US"/>
        </w:rPr>
      </w:pPr>
      <w:r w:rsidRPr="007C1545">
        <w:rPr>
          <w:rFonts w:ascii="Arial" w:eastAsiaTheme="minorHAnsi" w:hAnsi="Arial" w:cs="Arial"/>
          <w:sz w:val="40"/>
          <w:szCs w:val="40"/>
          <w:lang w:eastAsia="en-US"/>
        </w:rPr>
        <w:lastRenderedPageBreak/>
        <w:t>ANNUAL WORKFORCE DATA</w:t>
      </w:r>
    </w:p>
    <w:p w14:paraId="4D137FDE" w14:textId="77777777" w:rsidR="007C1545" w:rsidRPr="007C1545" w:rsidRDefault="007C1545" w:rsidP="007C1545">
      <w:pPr>
        <w:spacing w:before="0" w:after="160" w:line="259" w:lineRule="auto"/>
        <w:jc w:val="center"/>
        <w:rPr>
          <w:rFonts w:ascii="Arial" w:eastAsiaTheme="minorHAnsi" w:hAnsi="Arial" w:cs="Arial"/>
          <w:sz w:val="40"/>
          <w:szCs w:val="40"/>
          <w:lang w:eastAsia="en-US"/>
        </w:rPr>
      </w:pPr>
      <w:r w:rsidRPr="007C1545">
        <w:rPr>
          <w:rFonts w:asciiTheme="minorHAnsi" w:eastAsiaTheme="minorHAnsi" w:hAnsiTheme="minorHAnsi" w:cstheme="minorBidi"/>
          <w:noProof/>
          <w:sz w:val="22"/>
          <w:szCs w:val="22"/>
          <w:lang w:eastAsia="en-US"/>
        </w:rPr>
        <w:drawing>
          <wp:inline distT="0" distB="0" distL="0" distR="0" wp14:anchorId="103A30C0" wp14:editId="236CDF0A">
            <wp:extent cx="4267200" cy="2447925"/>
            <wp:effectExtent l="0" t="0" r="0" b="9525"/>
            <wp:docPr id="13" name="Chart 13">
              <a:extLst xmlns:a="http://schemas.openxmlformats.org/drawingml/2006/main">
                <a:ext uri="{FF2B5EF4-FFF2-40B4-BE49-F238E27FC236}">
                  <a16:creationId xmlns:a16="http://schemas.microsoft.com/office/drawing/2014/main" id="{D6C766A8-A77F-4FD6-AD0A-AFFCD92E0E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01D42FE" w14:textId="77777777" w:rsidR="007C1545" w:rsidRPr="007C1545" w:rsidRDefault="007C1545" w:rsidP="007C1545">
      <w:pPr>
        <w:spacing w:before="0" w:after="160" w:line="259" w:lineRule="auto"/>
        <w:jc w:val="center"/>
        <w:rPr>
          <w:rFonts w:ascii="Arial" w:eastAsiaTheme="minorHAnsi" w:hAnsi="Arial" w:cs="Arial"/>
          <w:sz w:val="40"/>
          <w:szCs w:val="40"/>
          <w:lang w:eastAsia="en-US"/>
        </w:rPr>
      </w:pPr>
      <w:r w:rsidRPr="007C1545">
        <w:rPr>
          <w:rFonts w:asciiTheme="minorHAnsi" w:eastAsiaTheme="minorHAnsi" w:hAnsiTheme="minorHAnsi" w:cstheme="minorBidi"/>
          <w:noProof/>
          <w:sz w:val="22"/>
          <w:szCs w:val="22"/>
          <w:lang w:eastAsia="en-US"/>
        </w:rPr>
        <w:drawing>
          <wp:inline distT="0" distB="0" distL="0" distR="0" wp14:anchorId="22B53955" wp14:editId="1D653C49">
            <wp:extent cx="4305300" cy="2481263"/>
            <wp:effectExtent l="0" t="0" r="0" b="14605"/>
            <wp:docPr id="14" name="Chart 14">
              <a:extLst xmlns:a="http://schemas.openxmlformats.org/drawingml/2006/main">
                <a:ext uri="{FF2B5EF4-FFF2-40B4-BE49-F238E27FC236}">
                  <a16:creationId xmlns:a16="http://schemas.microsoft.com/office/drawing/2014/main" id="{A89B39FB-550B-4D47-8E9D-7FC82B01B5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D9FA77E" w14:textId="77777777" w:rsidR="007C1545" w:rsidRPr="007C1545" w:rsidRDefault="007C1545" w:rsidP="007C1545">
      <w:pPr>
        <w:spacing w:before="0" w:after="160" w:line="259" w:lineRule="auto"/>
        <w:jc w:val="center"/>
        <w:rPr>
          <w:rFonts w:ascii="Arial" w:eastAsiaTheme="minorHAnsi" w:hAnsi="Arial" w:cs="Arial"/>
          <w:sz w:val="40"/>
          <w:szCs w:val="40"/>
          <w:lang w:eastAsia="en-US"/>
        </w:rPr>
      </w:pPr>
      <w:r w:rsidRPr="007C1545">
        <w:rPr>
          <w:rFonts w:asciiTheme="minorHAnsi" w:eastAsiaTheme="minorHAnsi" w:hAnsiTheme="minorHAnsi" w:cstheme="minorBidi"/>
          <w:noProof/>
          <w:sz w:val="22"/>
          <w:szCs w:val="22"/>
          <w:lang w:eastAsia="en-US"/>
        </w:rPr>
        <w:drawing>
          <wp:inline distT="0" distB="0" distL="0" distR="0" wp14:anchorId="4FC67E28" wp14:editId="0CE2A2DF">
            <wp:extent cx="4267200" cy="2638425"/>
            <wp:effectExtent l="0" t="0" r="0" b="9525"/>
            <wp:docPr id="19" name="Chart 19">
              <a:extLst xmlns:a="http://schemas.openxmlformats.org/drawingml/2006/main">
                <a:ext uri="{FF2B5EF4-FFF2-40B4-BE49-F238E27FC236}">
                  <a16:creationId xmlns:a16="http://schemas.microsoft.com/office/drawing/2014/main" id="{BCDC6DC5-B2F3-4FD3-BF6B-8D0CE62498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0E986D5" w14:textId="77777777" w:rsidR="007C1545" w:rsidRPr="007C1545" w:rsidRDefault="007C1545" w:rsidP="007C1545">
      <w:pPr>
        <w:spacing w:before="0" w:after="160" w:line="259" w:lineRule="auto"/>
        <w:jc w:val="center"/>
        <w:rPr>
          <w:rFonts w:ascii="Arial" w:eastAsiaTheme="minorHAnsi" w:hAnsi="Arial" w:cs="Arial"/>
          <w:sz w:val="40"/>
          <w:szCs w:val="40"/>
          <w:lang w:eastAsia="en-US"/>
        </w:rPr>
      </w:pPr>
    </w:p>
    <w:p w14:paraId="49E67D8F" w14:textId="77777777" w:rsidR="007C1545" w:rsidRPr="007C1545" w:rsidRDefault="007C1545" w:rsidP="007C1545">
      <w:pPr>
        <w:spacing w:before="0" w:after="160" w:line="259" w:lineRule="auto"/>
        <w:jc w:val="center"/>
        <w:rPr>
          <w:rFonts w:ascii="Arial" w:eastAsiaTheme="minorHAnsi" w:hAnsi="Arial" w:cs="Arial"/>
          <w:sz w:val="40"/>
          <w:szCs w:val="40"/>
          <w:lang w:eastAsia="en-US"/>
        </w:rPr>
      </w:pPr>
      <w:r w:rsidRPr="007C1545">
        <w:rPr>
          <w:rFonts w:asciiTheme="minorHAnsi" w:eastAsiaTheme="minorHAnsi" w:hAnsiTheme="minorHAnsi" w:cstheme="minorBidi"/>
          <w:noProof/>
          <w:sz w:val="22"/>
          <w:szCs w:val="22"/>
          <w:lang w:eastAsia="en-US"/>
        </w:rPr>
        <w:lastRenderedPageBreak/>
        <w:drawing>
          <wp:inline distT="0" distB="0" distL="0" distR="0" wp14:anchorId="6D8EEC6C" wp14:editId="1F10D9E8">
            <wp:extent cx="4267200" cy="2638425"/>
            <wp:effectExtent l="0" t="0" r="0" b="9525"/>
            <wp:docPr id="20" name="Chart 20">
              <a:extLst xmlns:a="http://schemas.openxmlformats.org/drawingml/2006/main">
                <a:ext uri="{FF2B5EF4-FFF2-40B4-BE49-F238E27FC236}">
                  <a16:creationId xmlns:a16="http://schemas.microsoft.com/office/drawing/2014/main" id="{9D97005B-AA60-4DB2-8EAC-C091F5D9B7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A6BAB3F" w14:textId="77777777" w:rsidR="007C1545" w:rsidRPr="007C1545" w:rsidRDefault="007C1545" w:rsidP="007C1545">
      <w:pPr>
        <w:spacing w:before="0" w:after="160" w:line="259" w:lineRule="auto"/>
        <w:jc w:val="center"/>
        <w:rPr>
          <w:rFonts w:ascii="Arial" w:eastAsiaTheme="minorHAnsi" w:hAnsi="Arial" w:cs="Arial"/>
          <w:sz w:val="40"/>
          <w:szCs w:val="40"/>
          <w:lang w:eastAsia="en-US"/>
        </w:rPr>
      </w:pPr>
      <w:r w:rsidRPr="007C1545">
        <w:rPr>
          <w:rFonts w:asciiTheme="minorHAnsi" w:eastAsiaTheme="minorHAnsi" w:hAnsiTheme="minorHAnsi" w:cstheme="minorBidi"/>
          <w:noProof/>
          <w:sz w:val="22"/>
          <w:szCs w:val="22"/>
          <w:lang w:eastAsia="en-US"/>
        </w:rPr>
        <w:drawing>
          <wp:inline distT="0" distB="0" distL="0" distR="0" wp14:anchorId="648457B2" wp14:editId="44252D44">
            <wp:extent cx="4267200" cy="2638425"/>
            <wp:effectExtent l="0" t="0" r="0" b="9525"/>
            <wp:docPr id="30" name="Chart 30">
              <a:extLst xmlns:a="http://schemas.openxmlformats.org/drawingml/2006/main">
                <a:ext uri="{FF2B5EF4-FFF2-40B4-BE49-F238E27FC236}">
                  <a16:creationId xmlns:a16="http://schemas.microsoft.com/office/drawing/2014/main" id="{22367AE3-0079-48D0-A1F7-03C8827A30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F95509F" w14:textId="77777777" w:rsidR="007C1545" w:rsidRPr="007C1545" w:rsidRDefault="007C1545" w:rsidP="007C1545">
      <w:pPr>
        <w:spacing w:before="0" w:after="160" w:line="259" w:lineRule="auto"/>
        <w:jc w:val="center"/>
        <w:rPr>
          <w:rFonts w:ascii="Arial" w:eastAsiaTheme="minorHAnsi" w:hAnsi="Arial" w:cs="Arial"/>
          <w:sz w:val="40"/>
          <w:szCs w:val="40"/>
          <w:lang w:eastAsia="en-US"/>
        </w:rPr>
      </w:pPr>
      <w:r w:rsidRPr="007C1545">
        <w:rPr>
          <w:rFonts w:asciiTheme="minorHAnsi" w:eastAsiaTheme="minorHAnsi" w:hAnsiTheme="minorHAnsi" w:cstheme="minorBidi"/>
          <w:noProof/>
          <w:sz w:val="22"/>
          <w:szCs w:val="22"/>
          <w:lang w:eastAsia="en-US"/>
        </w:rPr>
        <w:drawing>
          <wp:inline distT="0" distB="0" distL="0" distR="0" wp14:anchorId="61466F3B" wp14:editId="662608FE">
            <wp:extent cx="4267200" cy="2638425"/>
            <wp:effectExtent l="0" t="0" r="0" b="9525"/>
            <wp:docPr id="9" name="Chart 9">
              <a:extLst xmlns:a="http://schemas.openxmlformats.org/drawingml/2006/main">
                <a:ext uri="{FF2B5EF4-FFF2-40B4-BE49-F238E27FC236}">
                  <a16:creationId xmlns:a16="http://schemas.microsoft.com/office/drawing/2014/main" id="{9DF503BB-40FE-4DE5-94B8-BEE921A0B6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E42E192" w14:textId="77777777" w:rsidR="007C1545" w:rsidRPr="007C1545" w:rsidRDefault="007C1545" w:rsidP="007C1545">
      <w:pPr>
        <w:spacing w:before="0" w:after="160" w:line="259" w:lineRule="auto"/>
        <w:jc w:val="center"/>
        <w:rPr>
          <w:rFonts w:ascii="Arial" w:eastAsiaTheme="minorHAnsi" w:hAnsi="Arial" w:cs="Arial"/>
          <w:sz w:val="40"/>
          <w:szCs w:val="40"/>
          <w:lang w:eastAsia="en-US"/>
        </w:rPr>
      </w:pPr>
      <w:r w:rsidRPr="007C1545">
        <w:rPr>
          <w:rFonts w:asciiTheme="minorHAnsi" w:eastAsiaTheme="minorHAnsi" w:hAnsiTheme="minorHAnsi" w:cstheme="minorBidi"/>
          <w:noProof/>
          <w:sz w:val="22"/>
          <w:szCs w:val="22"/>
          <w:lang w:eastAsia="en-US"/>
        </w:rPr>
        <w:lastRenderedPageBreak/>
        <w:drawing>
          <wp:inline distT="0" distB="0" distL="0" distR="0" wp14:anchorId="5C33DAF4" wp14:editId="4C63A4F2">
            <wp:extent cx="4267200" cy="2638425"/>
            <wp:effectExtent l="0" t="0" r="0" b="9525"/>
            <wp:docPr id="31" name="Chart 31">
              <a:extLst xmlns:a="http://schemas.openxmlformats.org/drawingml/2006/main">
                <a:ext uri="{FF2B5EF4-FFF2-40B4-BE49-F238E27FC236}">
                  <a16:creationId xmlns:a16="http://schemas.microsoft.com/office/drawing/2014/main" id="{DFF563C3-EAE4-47AE-AA07-A5E72C31FB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6D4509F" w14:textId="77777777" w:rsidR="007C1545" w:rsidRPr="007C1545" w:rsidRDefault="007C1545" w:rsidP="007C1545">
      <w:pPr>
        <w:spacing w:before="0" w:after="160" w:line="259" w:lineRule="auto"/>
        <w:jc w:val="center"/>
        <w:rPr>
          <w:rFonts w:ascii="Arial" w:eastAsiaTheme="minorHAnsi" w:hAnsi="Arial" w:cs="Arial"/>
          <w:sz w:val="40"/>
          <w:szCs w:val="40"/>
          <w:lang w:eastAsia="en-US"/>
        </w:rPr>
      </w:pPr>
      <w:r w:rsidRPr="007C1545">
        <w:rPr>
          <w:rFonts w:asciiTheme="minorHAnsi" w:eastAsiaTheme="minorHAnsi" w:hAnsiTheme="minorHAnsi" w:cstheme="minorBidi"/>
          <w:noProof/>
          <w:sz w:val="22"/>
          <w:szCs w:val="22"/>
          <w:lang w:eastAsia="en-US"/>
        </w:rPr>
        <w:drawing>
          <wp:inline distT="0" distB="0" distL="0" distR="0" wp14:anchorId="25BBBDBE" wp14:editId="2E6AF618">
            <wp:extent cx="4267200" cy="2638425"/>
            <wp:effectExtent l="0" t="0" r="0" b="9525"/>
            <wp:docPr id="32" name="Chart 32">
              <a:extLst xmlns:a="http://schemas.openxmlformats.org/drawingml/2006/main">
                <a:ext uri="{FF2B5EF4-FFF2-40B4-BE49-F238E27FC236}">
                  <a16:creationId xmlns:a16="http://schemas.microsoft.com/office/drawing/2014/main" id="{EA86F84E-005C-49EB-A9C9-FF7769B63A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A25882E" w14:textId="77777777" w:rsidR="007C1545" w:rsidRPr="007C1545" w:rsidRDefault="007C1545" w:rsidP="007C1545">
      <w:pPr>
        <w:spacing w:before="0" w:after="160" w:line="259" w:lineRule="auto"/>
        <w:jc w:val="center"/>
        <w:rPr>
          <w:rFonts w:ascii="Arial" w:eastAsiaTheme="minorHAnsi" w:hAnsi="Arial" w:cs="Arial"/>
          <w:sz w:val="40"/>
          <w:szCs w:val="40"/>
          <w:lang w:eastAsia="en-US"/>
        </w:rPr>
      </w:pPr>
    </w:p>
    <w:p w14:paraId="2CE60AD4" w14:textId="77777777" w:rsidR="007C1545" w:rsidRPr="007C1545" w:rsidRDefault="007C1545" w:rsidP="007C1545">
      <w:pPr>
        <w:spacing w:before="0" w:after="160" w:line="259" w:lineRule="auto"/>
        <w:jc w:val="center"/>
        <w:rPr>
          <w:rFonts w:ascii="Arial" w:eastAsiaTheme="minorHAnsi" w:hAnsi="Arial" w:cs="Arial"/>
          <w:sz w:val="40"/>
          <w:szCs w:val="40"/>
          <w:lang w:eastAsia="en-US"/>
        </w:rPr>
      </w:pPr>
    </w:p>
    <w:p w14:paraId="022478A9" w14:textId="4C35A012" w:rsidR="00823AD0" w:rsidRDefault="00823AD0" w:rsidP="008B7AEF">
      <w:pPr>
        <w:spacing w:before="0" w:after="0"/>
        <w:rPr>
          <w:szCs w:val="24"/>
        </w:rPr>
      </w:pPr>
      <w:bookmarkStart w:id="6" w:name="_GoBack"/>
      <w:bookmarkEnd w:id="6"/>
    </w:p>
    <w:p w14:paraId="404AA09E" w14:textId="77777777" w:rsidR="00823AD0" w:rsidRPr="00910BBF" w:rsidRDefault="00823AD0" w:rsidP="008B7AEF">
      <w:pPr>
        <w:spacing w:before="0" w:after="0"/>
        <w:rPr>
          <w:szCs w:val="24"/>
        </w:rPr>
      </w:pPr>
    </w:p>
    <w:sectPr w:rsidR="00823AD0" w:rsidRPr="00910BBF" w:rsidSect="00893806">
      <w:type w:val="continuous"/>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7DB1C1" w14:textId="77777777" w:rsidR="00013207" w:rsidRDefault="00013207">
      <w:r>
        <w:separator/>
      </w:r>
    </w:p>
  </w:endnote>
  <w:endnote w:type="continuationSeparator" w:id="0">
    <w:p w14:paraId="3D65A4DE" w14:textId="77777777" w:rsidR="00013207" w:rsidRDefault="00013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Arial Unicode MS"/>
    <w:panose1 w:val="00000000000000000000"/>
    <w:charset w:val="88"/>
    <w:family w:val="auto"/>
    <w:notTrueType/>
    <w:pitch w:val="default"/>
    <w:sig w:usb0="00000000" w:usb1="08080000" w:usb2="00000010" w:usb3="00000000" w:csb0="00100000"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tone Sans">
    <w:altName w:val="Stone Sans"/>
    <w:panose1 w:val="00000000000000000000"/>
    <w:charset w:val="00"/>
    <w:family w:val="swiss"/>
    <w:notTrueType/>
    <w:pitch w:val="default"/>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11AE83" w14:textId="77777777" w:rsidR="00013207" w:rsidRDefault="00013207">
      <w:r>
        <w:separator/>
      </w:r>
    </w:p>
  </w:footnote>
  <w:footnote w:type="continuationSeparator" w:id="0">
    <w:p w14:paraId="60AE0ACD" w14:textId="77777777" w:rsidR="00013207" w:rsidRDefault="000132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A766BBB"/>
    <w:multiLevelType w:val="hybridMultilevel"/>
    <w:tmpl w:val="20722B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F27769"/>
    <w:multiLevelType w:val="multilevel"/>
    <w:tmpl w:val="FE1E739C"/>
    <w:lvl w:ilvl="0">
      <w:start w:val="1"/>
      <w:numFmt w:val="decimal"/>
      <w:pStyle w:val="NumberedList4"/>
      <w:lvlText w:val="%1."/>
      <w:lvlJc w:val="left"/>
      <w:pPr>
        <w:tabs>
          <w:tab w:val="num" w:pos="360"/>
        </w:tabs>
        <w:ind w:left="360" w:hanging="360"/>
      </w:pPr>
      <w:rPr>
        <w:rFonts w:hint="default"/>
      </w:rPr>
    </w:lvl>
    <w:lvl w:ilvl="1">
      <w:start w:val="1"/>
      <w:numFmt w:val="decimal"/>
      <w:isLgl/>
      <w:lvlText w:val="%1.%2"/>
      <w:lvlJc w:val="left"/>
      <w:pPr>
        <w:tabs>
          <w:tab w:val="num" w:pos="525"/>
        </w:tabs>
        <w:ind w:left="525" w:hanging="52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15:restartNumberingAfterBreak="0">
    <w:nsid w:val="0E533627"/>
    <w:multiLevelType w:val="hybridMultilevel"/>
    <w:tmpl w:val="3056DC58"/>
    <w:lvl w:ilvl="0" w:tplc="1CDA2EA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0FF3D88"/>
    <w:multiLevelType w:val="multilevel"/>
    <w:tmpl w:val="A75E61C2"/>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19063464"/>
    <w:multiLevelType w:val="hybridMultilevel"/>
    <w:tmpl w:val="DCEC00CE"/>
    <w:lvl w:ilvl="0" w:tplc="21DAEEF4">
      <w:start w:val="1"/>
      <w:numFmt w:val="lowerRoman"/>
      <w:lvlText w:val="%1."/>
      <w:lvlJc w:val="left"/>
      <w:pPr>
        <w:ind w:left="1440" w:hanging="360"/>
      </w:pPr>
      <w:rPr>
        <w:rFonts w:ascii="Arial" w:eastAsia="Times New Roman" w:hAnsi="Arial" w:cs="Arial"/>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AFB527F"/>
    <w:multiLevelType w:val="multilevel"/>
    <w:tmpl w:val="3E34B372"/>
    <w:lvl w:ilvl="0">
      <w:start w:val="1"/>
      <w:numFmt w:val="decimal"/>
      <w:lvlText w:val="%1."/>
      <w:lvlJc w:val="left"/>
      <w:pPr>
        <w:ind w:left="1080" w:hanging="360"/>
      </w:pPr>
      <w:rPr>
        <w:rFonts w:hint="default"/>
      </w:rPr>
    </w:lvl>
    <w:lvl w:ilvl="1">
      <w:start w:val="1"/>
      <w:numFmt w:val="decimal"/>
      <w:isLgl/>
      <w:lvlText w:val="%1.%2"/>
      <w:lvlJc w:val="left"/>
      <w:pPr>
        <w:ind w:left="1425" w:hanging="7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23204C4C"/>
    <w:multiLevelType w:val="hybridMultilevel"/>
    <w:tmpl w:val="A9EC3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491394"/>
    <w:multiLevelType w:val="multilevel"/>
    <w:tmpl w:val="CAE2BBE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BDB31D8"/>
    <w:multiLevelType w:val="hybridMultilevel"/>
    <w:tmpl w:val="E88A85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7828A8"/>
    <w:multiLevelType w:val="multilevel"/>
    <w:tmpl w:val="EDE2B59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E007504"/>
    <w:multiLevelType w:val="multilevel"/>
    <w:tmpl w:val="E91A102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E510283"/>
    <w:multiLevelType w:val="hybridMultilevel"/>
    <w:tmpl w:val="CDA00E6C"/>
    <w:lvl w:ilvl="0" w:tplc="2C60B148">
      <w:numFmt w:val="bullet"/>
      <w:lvlText w:val=""/>
      <w:lvlJc w:val="left"/>
      <w:pPr>
        <w:ind w:left="1080" w:hanging="360"/>
      </w:pPr>
      <w:rPr>
        <w:rFonts w:ascii="SymbolMT" w:eastAsia="SymbolMT" w:hAnsi="Arial" w:cs="SymbolMT" w:hint="eastAsi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60D42FB"/>
    <w:multiLevelType w:val="multilevel"/>
    <w:tmpl w:val="9F64273C"/>
    <w:lvl w:ilvl="0">
      <w:start w:val="1"/>
      <w:numFmt w:val="decimal"/>
      <w:lvlText w:val="%1"/>
      <w:lvlJc w:val="left"/>
      <w:pPr>
        <w:ind w:left="780" w:hanging="780"/>
      </w:pPr>
      <w:rPr>
        <w:rFonts w:hint="default"/>
        <w:color w:val="000000"/>
        <w:sz w:val="24"/>
      </w:rPr>
    </w:lvl>
    <w:lvl w:ilvl="1">
      <w:start w:val="1"/>
      <w:numFmt w:val="decimal"/>
      <w:lvlText w:val="%1.%2"/>
      <w:lvlJc w:val="left"/>
      <w:pPr>
        <w:ind w:left="780" w:hanging="780"/>
      </w:pPr>
      <w:rPr>
        <w:rFonts w:hint="default"/>
        <w:color w:val="000000"/>
        <w:sz w:val="24"/>
      </w:rPr>
    </w:lvl>
    <w:lvl w:ilvl="2">
      <w:start w:val="1"/>
      <w:numFmt w:val="decimal"/>
      <w:lvlText w:val="%1.%2.%3"/>
      <w:lvlJc w:val="left"/>
      <w:pPr>
        <w:ind w:left="780" w:hanging="780"/>
      </w:pPr>
      <w:rPr>
        <w:rFonts w:hint="default"/>
        <w:color w:val="000000"/>
        <w:sz w:val="24"/>
      </w:rPr>
    </w:lvl>
    <w:lvl w:ilvl="3">
      <w:start w:val="1"/>
      <w:numFmt w:val="decimal"/>
      <w:lvlText w:val="%1.%2.%3.%4"/>
      <w:lvlJc w:val="left"/>
      <w:pPr>
        <w:ind w:left="780" w:hanging="780"/>
      </w:pPr>
      <w:rPr>
        <w:rFonts w:hint="default"/>
        <w:color w:val="000000"/>
        <w:sz w:val="24"/>
      </w:rPr>
    </w:lvl>
    <w:lvl w:ilvl="4">
      <w:start w:val="1"/>
      <w:numFmt w:val="decimal"/>
      <w:lvlText w:val="%1.%2.%3.%4.%5"/>
      <w:lvlJc w:val="left"/>
      <w:pPr>
        <w:ind w:left="1080" w:hanging="1080"/>
      </w:pPr>
      <w:rPr>
        <w:rFonts w:hint="default"/>
        <w:color w:val="000000"/>
        <w:sz w:val="24"/>
      </w:rPr>
    </w:lvl>
    <w:lvl w:ilvl="5">
      <w:start w:val="1"/>
      <w:numFmt w:val="decimal"/>
      <w:lvlText w:val="%1.%2.%3.%4.%5.%6"/>
      <w:lvlJc w:val="left"/>
      <w:pPr>
        <w:ind w:left="1440" w:hanging="1440"/>
      </w:pPr>
      <w:rPr>
        <w:rFonts w:hint="default"/>
        <w:color w:val="000000"/>
        <w:sz w:val="24"/>
      </w:rPr>
    </w:lvl>
    <w:lvl w:ilvl="6">
      <w:start w:val="1"/>
      <w:numFmt w:val="decimal"/>
      <w:lvlText w:val="%1.%2.%3.%4.%5.%6.%7"/>
      <w:lvlJc w:val="left"/>
      <w:pPr>
        <w:ind w:left="1440" w:hanging="1440"/>
      </w:pPr>
      <w:rPr>
        <w:rFonts w:hint="default"/>
        <w:color w:val="000000"/>
        <w:sz w:val="24"/>
      </w:rPr>
    </w:lvl>
    <w:lvl w:ilvl="7">
      <w:start w:val="1"/>
      <w:numFmt w:val="decimal"/>
      <w:lvlText w:val="%1.%2.%3.%4.%5.%6.%7.%8"/>
      <w:lvlJc w:val="left"/>
      <w:pPr>
        <w:ind w:left="1800" w:hanging="1800"/>
      </w:pPr>
      <w:rPr>
        <w:rFonts w:hint="default"/>
        <w:color w:val="000000"/>
        <w:sz w:val="24"/>
      </w:rPr>
    </w:lvl>
    <w:lvl w:ilvl="8">
      <w:start w:val="1"/>
      <w:numFmt w:val="decimal"/>
      <w:lvlText w:val="%1.%2.%3.%4.%5.%6.%7.%8.%9"/>
      <w:lvlJc w:val="left"/>
      <w:pPr>
        <w:ind w:left="1800" w:hanging="1800"/>
      </w:pPr>
      <w:rPr>
        <w:rFonts w:hint="default"/>
        <w:color w:val="000000"/>
        <w:sz w:val="24"/>
      </w:rPr>
    </w:lvl>
  </w:abstractNum>
  <w:abstractNum w:abstractNumId="13" w15:restartNumberingAfterBreak="0">
    <w:nsid w:val="3DEC3F89"/>
    <w:multiLevelType w:val="multilevel"/>
    <w:tmpl w:val="718EBBC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80538F9"/>
    <w:multiLevelType w:val="hybridMultilevel"/>
    <w:tmpl w:val="D6261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0E4E6D"/>
    <w:multiLevelType w:val="hybridMultilevel"/>
    <w:tmpl w:val="B7F48BD6"/>
    <w:lvl w:ilvl="0" w:tplc="048815E8">
      <w:start w:val="1"/>
      <w:numFmt w:val="decimal"/>
      <w:lvlText w:val="%1."/>
      <w:lvlJc w:val="left"/>
      <w:pPr>
        <w:ind w:left="1080" w:hanging="360"/>
      </w:pPr>
      <w:rPr>
        <w:rFonts w:ascii="Arial" w:eastAsia="Times New Roman" w:hAnsi="Arial" w:cs="Arial"/>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E317CB3"/>
    <w:multiLevelType w:val="hybridMultilevel"/>
    <w:tmpl w:val="D85CFD48"/>
    <w:lvl w:ilvl="0" w:tplc="08090001">
      <w:start w:val="1"/>
      <w:numFmt w:val="bullet"/>
      <w:lvlText w:val=""/>
      <w:lvlJc w:val="left"/>
      <w:pPr>
        <w:ind w:left="11226" w:hanging="360"/>
      </w:pPr>
      <w:rPr>
        <w:rFonts w:ascii="Symbol" w:hAnsi="Symbol" w:hint="default"/>
      </w:rPr>
    </w:lvl>
    <w:lvl w:ilvl="1" w:tplc="08090003">
      <w:start w:val="1"/>
      <w:numFmt w:val="bullet"/>
      <w:lvlText w:val="o"/>
      <w:lvlJc w:val="left"/>
      <w:pPr>
        <w:ind w:left="11946" w:hanging="360"/>
      </w:pPr>
      <w:rPr>
        <w:rFonts w:ascii="Courier New" w:hAnsi="Courier New" w:cs="Courier New" w:hint="default"/>
      </w:rPr>
    </w:lvl>
    <w:lvl w:ilvl="2" w:tplc="08090005" w:tentative="1">
      <w:start w:val="1"/>
      <w:numFmt w:val="bullet"/>
      <w:lvlText w:val=""/>
      <w:lvlJc w:val="left"/>
      <w:pPr>
        <w:ind w:left="12666" w:hanging="360"/>
      </w:pPr>
      <w:rPr>
        <w:rFonts w:ascii="Wingdings" w:hAnsi="Wingdings" w:hint="default"/>
      </w:rPr>
    </w:lvl>
    <w:lvl w:ilvl="3" w:tplc="08090001" w:tentative="1">
      <w:start w:val="1"/>
      <w:numFmt w:val="bullet"/>
      <w:lvlText w:val=""/>
      <w:lvlJc w:val="left"/>
      <w:pPr>
        <w:ind w:left="13386" w:hanging="360"/>
      </w:pPr>
      <w:rPr>
        <w:rFonts w:ascii="Symbol" w:hAnsi="Symbol" w:hint="default"/>
      </w:rPr>
    </w:lvl>
    <w:lvl w:ilvl="4" w:tplc="08090003" w:tentative="1">
      <w:start w:val="1"/>
      <w:numFmt w:val="bullet"/>
      <w:lvlText w:val="o"/>
      <w:lvlJc w:val="left"/>
      <w:pPr>
        <w:ind w:left="14106" w:hanging="360"/>
      </w:pPr>
      <w:rPr>
        <w:rFonts w:ascii="Courier New" w:hAnsi="Courier New" w:cs="Courier New" w:hint="default"/>
      </w:rPr>
    </w:lvl>
    <w:lvl w:ilvl="5" w:tplc="08090005" w:tentative="1">
      <w:start w:val="1"/>
      <w:numFmt w:val="bullet"/>
      <w:lvlText w:val=""/>
      <w:lvlJc w:val="left"/>
      <w:pPr>
        <w:ind w:left="14826" w:hanging="360"/>
      </w:pPr>
      <w:rPr>
        <w:rFonts w:ascii="Wingdings" w:hAnsi="Wingdings" w:hint="default"/>
      </w:rPr>
    </w:lvl>
    <w:lvl w:ilvl="6" w:tplc="08090001" w:tentative="1">
      <w:start w:val="1"/>
      <w:numFmt w:val="bullet"/>
      <w:lvlText w:val=""/>
      <w:lvlJc w:val="left"/>
      <w:pPr>
        <w:ind w:left="15546" w:hanging="360"/>
      </w:pPr>
      <w:rPr>
        <w:rFonts w:ascii="Symbol" w:hAnsi="Symbol" w:hint="default"/>
      </w:rPr>
    </w:lvl>
    <w:lvl w:ilvl="7" w:tplc="08090003" w:tentative="1">
      <w:start w:val="1"/>
      <w:numFmt w:val="bullet"/>
      <w:lvlText w:val="o"/>
      <w:lvlJc w:val="left"/>
      <w:pPr>
        <w:ind w:left="16266" w:hanging="360"/>
      </w:pPr>
      <w:rPr>
        <w:rFonts w:ascii="Courier New" w:hAnsi="Courier New" w:cs="Courier New" w:hint="default"/>
      </w:rPr>
    </w:lvl>
    <w:lvl w:ilvl="8" w:tplc="08090005" w:tentative="1">
      <w:start w:val="1"/>
      <w:numFmt w:val="bullet"/>
      <w:lvlText w:val=""/>
      <w:lvlJc w:val="left"/>
      <w:pPr>
        <w:ind w:left="16986" w:hanging="360"/>
      </w:pPr>
      <w:rPr>
        <w:rFonts w:ascii="Wingdings" w:hAnsi="Wingdings" w:hint="default"/>
      </w:rPr>
    </w:lvl>
  </w:abstractNum>
  <w:abstractNum w:abstractNumId="17" w15:restartNumberingAfterBreak="0">
    <w:nsid w:val="50D372BD"/>
    <w:multiLevelType w:val="multilevel"/>
    <w:tmpl w:val="EB42F39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50562A6"/>
    <w:multiLevelType w:val="hybridMultilevel"/>
    <w:tmpl w:val="B78AB74C"/>
    <w:lvl w:ilvl="0" w:tplc="CF34BC1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8672AF6"/>
    <w:multiLevelType w:val="hybridMultilevel"/>
    <w:tmpl w:val="9258DBF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0" w15:restartNumberingAfterBreak="0">
    <w:nsid w:val="5C05054F"/>
    <w:multiLevelType w:val="hybridMultilevel"/>
    <w:tmpl w:val="BCAA4D0E"/>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C4E7758"/>
    <w:multiLevelType w:val="hybridMultilevel"/>
    <w:tmpl w:val="D286D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FB51B8"/>
    <w:multiLevelType w:val="hybridMultilevel"/>
    <w:tmpl w:val="E61EB844"/>
    <w:lvl w:ilvl="0" w:tplc="0700F20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00603CE"/>
    <w:multiLevelType w:val="hybridMultilevel"/>
    <w:tmpl w:val="84BCC9FE"/>
    <w:lvl w:ilvl="0" w:tplc="8A4E5D8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4C809A7"/>
    <w:multiLevelType w:val="multilevel"/>
    <w:tmpl w:val="104EC67E"/>
    <w:lvl w:ilvl="0">
      <w:start w:val="3"/>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64DC2AC9"/>
    <w:multiLevelType w:val="multilevel"/>
    <w:tmpl w:val="C53C18CC"/>
    <w:lvl w:ilvl="0">
      <w:start w:val="2"/>
      <w:numFmt w:val="decimal"/>
      <w:lvlText w:val="%1.0"/>
      <w:lvlJc w:val="left"/>
      <w:pPr>
        <w:ind w:left="495" w:hanging="495"/>
      </w:pPr>
      <w:rPr>
        <w:rFonts w:cs="Times New Roman" w:hint="default"/>
        <w:b/>
        <w:sz w:val="36"/>
      </w:rPr>
    </w:lvl>
    <w:lvl w:ilvl="1">
      <w:start w:val="1"/>
      <w:numFmt w:val="decimal"/>
      <w:lvlText w:val="%1.%2"/>
      <w:lvlJc w:val="left"/>
      <w:pPr>
        <w:ind w:left="1215" w:hanging="495"/>
      </w:pPr>
      <w:rPr>
        <w:rFonts w:cs="Times New Roman" w:hint="default"/>
        <w:b/>
        <w:sz w:val="36"/>
      </w:rPr>
    </w:lvl>
    <w:lvl w:ilvl="2">
      <w:start w:val="1"/>
      <w:numFmt w:val="decimal"/>
      <w:lvlText w:val="%1.%2.%3"/>
      <w:lvlJc w:val="left"/>
      <w:pPr>
        <w:ind w:left="2160" w:hanging="720"/>
      </w:pPr>
      <w:rPr>
        <w:rFonts w:cs="Times New Roman" w:hint="default"/>
        <w:b/>
        <w:sz w:val="36"/>
      </w:rPr>
    </w:lvl>
    <w:lvl w:ilvl="3">
      <w:start w:val="1"/>
      <w:numFmt w:val="decimal"/>
      <w:lvlText w:val="%1.%2.%3.%4"/>
      <w:lvlJc w:val="left"/>
      <w:pPr>
        <w:ind w:left="3240" w:hanging="1080"/>
      </w:pPr>
      <w:rPr>
        <w:rFonts w:cs="Times New Roman" w:hint="default"/>
        <w:b/>
        <w:sz w:val="36"/>
      </w:rPr>
    </w:lvl>
    <w:lvl w:ilvl="4">
      <w:start w:val="1"/>
      <w:numFmt w:val="decimal"/>
      <w:lvlText w:val="%1.%2.%3.%4.%5"/>
      <w:lvlJc w:val="left"/>
      <w:pPr>
        <w:ind w:left="3960" w:hanging="1080"/>
      </w:pPr>
      <w:rPr>
        <w:rFonts w:cs="Times New Roman" w:hint="default"/>
        <w:b/>
        <w:sz w:val="36"/>
      </w:rPr>
    </w:lvl>
    <w:lvl w:ilvl="5">
      <w:start w:val="1"/>
      <w:numFmt w:val="decimal"/>
      <w:lvlText w:val="%1.%2.%3.%4.%5.%6"/>
      <w:lvlJc w:val="left"/>
      <w:pPr>
        <w:ind w:left="5040" w:hanging="1440"/>
      </w:pPr>
      <w:rPr>
        <w:rFonts w:cs="Times New Roman" w:hint="default"/>
        <w:b/>
        <w:sz w:val="36"/>
      </w:rPr>
    </w:lvl>
    <w:lvl w:ilvl="6">
      <w:start w:val="1"/>
      <w:numFmt w:val="decimal"/>
      <w:lvlText w:val="%1.%2.%3.%4.%5.%6.%7"/>
      <w:lvlJc w:val="left"/>
      <w:pPr>
        <w:ind w:left="5760" w:hanging="1440"/>
      </w:pPr>
      <w:rPr>
        <w:rFonts w:cs="Times New Roman" w:hint="default"/>
        <w:b/>
        <w:sz w:val="36"/>
      </w:rPr>
    </w:lvl>
    <w:lvl w:ilvl="7">
      <w:start w:val="1"/>
      <w:numFmt w:val="decimal"/>
      <w:lvlText w:val="%1.%2.%3.%4.%5.%6.%7.%8"/>
      <w:lvlJc w:val="left"/>
      <w:pPr>
        <w:ind w:left="6840" w:hanging="1800"/>
      </w:pPr>
      <w:rPr>
        <w:rFonts w:cs="Times New Roman" w:hint="default"/>
        <w:b/>
        <w:sz w:val="36"/>
      </w:rPr>
    </w:lvl>
    <w:lvl w:ilvl="8">
      <w:start w:val="1"/>
      <w:numFmt w:val="decimal"/>
      <w:lvlText w:val="%1.%2.%3.%4.%5.%6.%7.%8.%9"/>
      <w:lvlJc w:val="left"/>
      <w:pPr>
        <w:ind w:left="7560" w:hanging="1800"/>
      </w:pPr>
      <w:rPr>
        <w:rFonts w:cs="Times New Roman" w:hint="default"/>
        <w:b/>
        <w:sz w:val="36"/>
      </w:rPr>
    </w:lvl>
  </w:abstractNum>
  <w:abstractNum w:abstractNumId="26" w15:restartNumberingAfterBreak="0">
    <w:nsid w:val="6C2E5FDE"/>
    <w:multiLevelType w:val="hybridMultilevel"/>
    <w:tmpl w:val="F7564D6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44A7F7B"/>
    <w:multiLevelType w:val="hybridMultilevel"/>
    <w:tmpl w:val="A2401D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EA3769"/>
    <w:multiLevelType w:val="hybridMultilevel"/>
    <w:tmpl w:val="6F0CBB76"/>
    <w:lvl w:ilvl="0" w:tplc="4BEAE1C2">
      <w:start w:val="1"/>
      <w:numFmt w:val="lowerLetter"/>
      <w:lvlText w:val="%1)"/>
      <w:lvlJc w:val="left"/>
      <w:pPr>
        <w:ind w:left="1080" w:hanging="360"/>
      </w:pPr>
      <w:rPr>
        <w:rFonts w:ascii="Helvetica" w:eastAsia="Times" w:hAnsi="Helvetica"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9352F79"/>
    <w:multiLevelType w:val="multilevel"/>
    <w:tmpl w:val="FF807026"/>
    <w:lvl w:ilvl="0">
      <w:start w:val="1"/>
      <w:numFmt w:val="decimal"/>
      <w:lvlText w:val="%1"/>
      <w:lvlJc w:val="left"/>
      <w:pPr>
        <w:ind w:left="495" w:hanging="495"/>
      </w:pPr>
      <w:rPr>
        <w:rFonts w:hint="default"/>
        <w:b w:val="0"/>
        <w:color w:val="000000"/>
        <w:sz w:val="24"/>
      </w:rPr>
    </w:lvl>
    <w:lvl w:ilvl="1">
      <w:start w:val="1"/>
      <w:numFmt w:val="decimal"/>
      <w:lvlText w:val="%1.%2"/>
      <w:lvlJc w:val="left"/>
      <w:pPr>
        <w:ind w:left="495" w:hanging="495"/>
      </w:pPr>
      <w:rPr>
        <w:rFonts w:hint="default"/>
        <w:b w:val="0"/>
        <w:color w:val="000000"/>
        <w:sz w:val="24"/>
      </w:rPr>
    </w:lvl>
    <w:lvl w:ilvl="2">
      <w:start w:val="1"/>
      <w:numFmt w:val="decimal"/>
      <w:lvlText w:val="%1.%2.%3"/>
      <w:lvlJc w:val="left"/>
      <w:pPr>
        <w:ind w:left="720" w:hanging="720"/>
      </w:pPr>
      <w:rPr>
        <w:rFonts w:hint="default"/>
        <w:b w:val="0"/>
        <w:color w:val="000000"/>
        <w:sz w:val="24"/>
      </w:rPr>
    </w:lvl>
    <w:lvl w:ilvl="3">
      <w:start w:val="1"/>
      <w:numFmt w:val="decimal"/>
      <w:lvlText w:val="%1.%2.%3.%4"/>
      <w:lvlJc w:val="left"/>
      <w:pPr>
        <w:ind w:left="720" w:hanging="720"/>
      </w:pPr>
      <w:rPr>
        <w:rFonts w:hint="default"/>
        <w:b w:val="0"/>
        <w:color w:val="000000"/>
        <w:sz w:val="24"/>
      </w:rPr>
    </w:lvl>
    <w:lvl w:ilvl="4">
      <w:start w:val="1"/>
      <w:numFmt w:val="decimal"/>
      <w:lvlText w:val="%1.%2.%3.%4.%5"/>
      <w:lvlJc w:val="left"/>
      <w:pPr>
        <w:ind w:left="1080" w:hanging="1080"/>
      </w:pPr>
      <w:rPr>
        <w:rFonts w:hint="default"/>
        <w:b w:val="0"/>
        <w:color w:val="000000"/>
        <w:sz w:val="24"/>
      </w:rPr>
    </w:lvl>
    <w:lvl w:ilvl="5">
      <w:start w:val="1"/>
      <w:numFmt w:val="decimal"/>
      <w:lvlText w:val="%1.%2.%3.%4.%5.%6"/>
      <w:lvlJc w:val="left"/>
      <w:pPr>
        <w:ind w:left="1440" w:hanging="1440"/>
      </w:pPr>
      <w:rPr>
        <w:rFonts w:hint="default"/>
        <w:b w:val="0"/>
        <w:color w:val="000000"/>
        <w:sz w:val="24"/>
      </w:rPr>
    </w:lvl>
    <w:lvl w:ilvl="6">
      <w:start w:val="1"/>
      <w:numFmt w:val="decimal"/>
      <w:lvlText w:val="%1.%2.%3.%4.%5.%6.%7"/>
      <w:lvlJc w:val="left"/>
      <w:pPr>
        <w:ind w:left="1440" w:hanging="1440"/>
      </w:pPr>
      <w:rPr>
        <w:rFonts w:hint="default"/>
        <w:b w:val="0"/>
        <w:color w:val="000000"/>
        <w:sz w:val="24"/>
      </w:rPr>
    </w:lvl>
    <w:lvl w:ilvl="7">
      <w:start w:val="1"/>
      <w:numFmt w:val="decimal"/>
      <w:lvlText w:val="%1.%2.%3.%4.%5.%6.%7.%8"/>
      <w:lvlJc w:val="left"/>
      <w:pPr>
        <w:ind w:left="1800" w:hanging="1800"/>
      </w:pPr>
      <w:rPr>
        <w:rFonts w:hint="default"/>
        <w:b w:val="0"/>
        <w:color w:val="000000"/>
        <w:sz w:val="24"/>
      </w:rPr>
    </w:lvl>
    <w:lvl w:ilvl="8">
      <w:start w:val="1"/>
      <w:numFmt w:val="decimal"/>
      <w:lvlText w:val="%1.%2.%3.%4.%5.%6.%7.%8.%9"/>
      <w:lvlJc w:val="left"/>
      <w:pPr>
        <w:ind w:left="1800" w:hanging="1800"/>
      </w:pPr>
      <w:rPr>
        <w:rFonts w:hint="default"/>
        <w:b w:val="0"/>
        <w:color w:val="000000"/>
        <w:sz w:val="24"/>
      </w:rPr>
    </w:lvl>
  </w:abstractNum>
  <w:num w:numId="1">
    <w:abstractNumId w:val="1"/>
  </w:num>
  <w:num w:numId="2">
    <w:abstractNumId w:val="13"/>
  </w:num>
  <w:num w:numId="3">
    <w:abstractNumId w:val="16"/>
  </w:num>
  <w:num w:numId="4">
    <w:abstractNumId w:val="24"/>
  </w:num>
  <w:num w:numId="5">
    <w:abstractNumId w:val="9"/>
  </w:num>
  <w:num w:numId="6">
    <w:abstractNumId w:val="19"/>
  </w:num>
  <w:num w:numId="7">
    <w:abstractNumId w:val="7"/>
  </w:num>
  <w:num w:numId="8">
    <w:abstractNumId w:val="27"/>
  </w:num>
  <w:num w:numId="9">
    <w:abstractNumId w:val="11"/>
  </w:num>
  <w:num w:numId="10">
    <w:abstractNumId w:val="3"/>
  </w:num>
  <w:num w:numId="11">
    <w:abstractNumId w:val="28"/>
  </w:num>
  <w:num w:numId="12">
    <w:abstractNumId w:val="29"/>
  </w:num>
  <w:num w:numId="13">
    <w:abstractNumId w:val="12"/>
  </w:num>
  <w:num w:numId="14">
    <w:abstractNumId w:val="17"/>
  </w:num>
  <w:num w:numId="15">
    <w:abstractNumId w:val="2"/>
  </w:num>
  <w:num w:numId="16">
    <w:abstractNumId w:val="8"/>
  </w:num>
  <w:num w:numId="17">
    <w:abstractNumId w:val="23"/>
  </w:num>
  <w:num w:numId="18">
    <w:abstractNumId w:val="14"/>
  </w:num>
  <w:num w:numId="19">
    <w:abstractNumId w:val="20"/>
  </w:num>
  <w:num w:numId="20">
    <w:abstractNumId w:val="5"/>
  </w:num>
  <w:num w:numId="21">
    <w:abstractNumId w:val="15"/>
  </w:num>
  <w:num w:numId="22">
    <w:abstractNumId w:val="26"/>
  </w:num>
  <w:num w:numId="23">
    <w:abstractNumId w:val="25"/>
  </w:num>
  <w:num w:numId="24">
    <w:abstractNumId w:val="10"/>
  </w:num>
  <w:num w:numId="25">
    <w:abstractNumId w:val="4"/>
  </w:num>
  <w:num w:numId="26">
    <w:abstractNumId w:val="22"/>
  </w:num>
  <w:num w:numId="27">
    <w:abstractNumId w:val="18"/>
  </w:num>
  <w:num w:numId="28">
    <w:abstractNumId w:val="0"/>
  </w:num>
  <w:num w:numId="29">
    <w:abstractNumId w:val="21"/>
  </w:num>
  <w:num w:numId="30">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C08"/>
    <w:rsid w:val="00000860"/>
    <w:rsid w:val="00001073"/>
    <w:rsid w:val="00001665"/>
    <w:rsid w:val="00002138"/>
    <w:rsid w:val="00002C42"/>
    <w:rsid w:val="000062A8"/>
    <w:rsid w:val="00006D87"/>
    <w:rsid w:val="00007631"/>
    <w:rsid w:val="00007A1A"/>
    <w:rsid w:val="00007B49"/>
    <w:rsid w:val="000108C6"/>
    <w:rsid w:val="0001191A"/>
    <w:rsid w:val="00011968"/>
    <w:rsid w:val="00011E02"/>
    <w:rsid w:val="000125B1"/>
    <w:rsid w:val="00013207"/>
    <w:rsid w:val="000133CB"/>
    <w:rsid w:val="000146B9"/>
    <w:rsid w:val="00022694"/>
    <w:rsid w:val="000228F5"/>
    <w:rsid w:val="00023336"/>
    <w:rsid w:val="0002371B"/>
    <w:rsid w:val="00025434"/>
    <w:rsid w:val="00025E8A"/>
    <w:rsid w:val="0002638E"/>
    <w:rsid w:val="00027CA5"/>
    <w:rsid w:val="0003033A"/>
    <w:rsid w:val="00030B94"/>
    <w:rsid w:val="0003194B"/>
    <w:rsid w:val="00031EF8"/>
    <w:rsid w:val="000335CB"/>
    <w:rsid w:val="000336BD"/>
    <w:rsid w:val="00037753"/>
    <w:rsid w:val="00037AB9"/>
    <w:rsid w:val="00037ACF"/>
    <w:rsid w:val="00040A65"/>
    <w:rsid w:val="000425E9"/>
    <w:rsid w:val="00042ACD"/>
    <w:rsid w:val="00043E1E"/>
    <w:rsid w:val="0004481E"/>
    <w:rsid w:val="0004510A"/>
    <w:rsid w:val="000452C1"/>
    <w:rsid w:val="00045739"/>
    <w:rsid w:val="000474A7"/>
    <w:rsid w:val="00047819"/>
    <w:rsid w:val="0005119B"/>
    <w:rsid w:val="000532D5"/>
    <w:rsid w:val="0005334E"/>
    <w:rsid w:val="0005592F"/>
    <w:rsid w:val="00056702"/>
    <w:rsid w:val="00056B39"/>
    <w:rsid w:val="000571BF"/>
    <w:rsid w:val="0006019F"/>
    <w:rsid w:val="00060D58"/>
    <w:rsid w:val="00061466"/>
    <w:rsid w:val="0006335A"/>
    <w:rsid w:val="00063E54"/>
    <w:rsid w:val="00064325"/>
    <w:rsid w:val="00065055"/>
    <w:rsid w:val="00065CAC"/>
    <w:rsid w:val="00066995"/>
    <w:rsid w:val="0006736D"/>
    <w:rsid w:val="000701F5"/>
    <w:rsid w:val="000704D5"/>
    <w:rsid w:val="00071207"/>
    <w:rsid w:val="00071D0F"/>
    <w:rsid w:val="0007263E"/>
    <w:rsid w:val="00072BF4"/>
    <w:rsid w:val="0007352D"/>
    <w:rsid w:val="00074624"/>
    <w:rsid w:val="00074861"/>
    <w:rsid w:val="0007599E"/>
    <w:rsid w:val="00076001"/>
    <w:rsid w:val="000761A9"/>
    <w:rsid w:val="00077492"/>
    <w:rsid w:val="0007793C"/>
    <w:rsid w:val="00080110"/>
    <w:rsid w:val="000813F1"/>
    <w:rsid w:val="0008174F"/>
    <w:rsid w:val="00083D78"/>
    <w:rsid w:val="0008508C"/>
    <w:rsid w:val="000855C9"/>
    <w:rsid w:val="000858A1"/>
    <w:rsid w:val="000860FA"/>
    <w:rsid w:val="000865F8"/>
    <w:rsid w:val="00086A2F"/>
    <w:rsid w:val="00086BCB"/>
    <w:rsid w:val="0008715E"/>
    <w:rsid w:val="00091DDC"/>
    <w:rsid w:val="0009223E"/>
    <w:rsid w:val="000932CB"/>
    <w:rsid w:val="0009444F"/>
    <w:rsid w:val="0009667B"/>
    <w:rsid w:val="00097366"/>
    <w:rsid w:val="00097399"/>
    <w:rsid w:val="000A0CCA"/>
    <w:rsid w:val="000A1C30"/>
    <w:rsid w:val="000A1ECC"/>
    <w:rsid w:val="000A2223"/>
    <w:rsid w:val="000A3A94"/>
    <w:rsid w:val="000A3F11"/>
    <w:rsid w:val="000A4267"/>
    <w:rsid w:val="000A42C7"/>
    <w:rsid w:val="000A5524"/>
    <w:rsid w:val="000A5AD9"/>
    <w:rsid w:val="000A67CC"/>
    <w:rsid w:val="000A69B3"/>
    <w:rsid w:val="000A7836"/>
    <w:rsid w:val="000A7C6F"/>
    <w:rsid w:val="000B15CC"/>
    <w:rsid w:val="000B1A8F"/>
    <w:rsid w:val="000B4B49"/>
    <w:rsid w:val="000B7240"/>
    <w:rsid w:val="000C054D"/>
    <w:rsid w:val="000C1D35"/>
    <w:rsid w:val="000C2D0D"/>
    <w:rsid w:val="000C366E"/>
    <w:rsid w:val="000C3D21"/>
    <w:rsid w:val="000C4709"/>
    <w:rsid w:val="000C5184"/>
    <w:rsid w:val="000C59EB"/>
    <w:rsid w:val="000C5B7F"/>
    <w:rsid w:val="000D0F44"/>
    <w:rsid w:val="000D100E"/>
    <w:rsid w:val="000D171B"/>
    <w:rsid w:val="000D24BF"/>
    <w:rsid w:val="000D3E37"/>
    <w:rsid w:val="000D4C48"/>
    <w:rsid w:val="000D4DA2"/>
    <w:rsid w:val="000D647C"/>
    <w:rsid w:val="000D709B"/>
    <w:rsid w:val="000E0C3E"/>
    <w:rsid w:val="000E1230"/>
    <w:rsid w:val="000E359F"/>
    <w:rsid w:val="000E3EE7"/>
    <w:rsid w:val="000E456C"/>
    <w:rsid w:val="000E4ABF"/>
    <w:rsid w:val="000E5301"/>
    <w:rsid w:val="000E5C88"/>
    <w:rsid w:val="000E702A"/>
    <w:rsid w:val="000F2663"/>
    <w:rsid w:val="000F2A4C"/>
    <w:rsid w:val="000F38BA"/>
    <w:rsid w:val="000F549B"/>
    <w:rsid w:val="000F5650"/>
    <w:rsid w:val="000F6095"/>
    <w:rsid w:val="000F642C"/>
    <w:rsid w:val="000F6F96"/>
    <w:rsid w:val="00100A0E"/>
    <w:rsid w:val="00100F79"/>
    <w:rsid w:val="0010109A"/>
    <w:rsid w:val="0010149D"/>
    <w:rsid w:val="00101527"/>
    <w:rsid w:val="00101BD1"/>
    <w:rsid w:val="00104147"/>
    <w:rsid w:val="0010441D"/>
    <w:rsid w:val="00106779"/>
    <w:rsid w:val="001069B9"/>
    <w:rsid w:val="0010784A"/>
    <w:rsid w:val="00110403"/>
    <w:rsid w:val="00110AB4"/>
    <w:rsid w:val="00112DCD"/>
    <w:rsid w:val="00114D6A"/>
    <w:rsid w:val="00115569"/>
    <w:rsid w:val="00116E69"/>
    <w:rsid w:val="0011718D"/>
    <w:rsid w:val="00120371"/>
    <w:rsid w:val="00121E2D"/>
    <w:rsid w:val="00122223"/>
    <w:rsid w:val="00122DAE"/>
    <w:rsid w:val="0012428D"/>
    <w:rsid w:val="00132179"/>
    <w:rsid w:val="0013385C"/>
    <w:rsid w:val="00133F49"/>
    <w:rsid w:val="0013464E"/>
    <w:rsid w:val="0013542D"/>
    <w:rsid w:val="001402CF"/>
    <w:rsid w:val="001418F2"/>
    <w:rsid w:val="001432BB"/>
    <w:rsid w:val="00144EC6"/>
    <w:rsid w:val="00145EFD"/>
    <w:rsid w:val="00146EB2"/>
    <w:rsid w:val="00147469"/>
    <w:rsid w:val="00147C38"/>
    <w:rsid w:val="00147D6F"/>
    <w:rsid w:val="001509A7"/>
    <w:rsid w:val="00150C2E"/>
    <w:rsid w:val="00151F7C"/>
    <w:rsid w:val="00152CA6"/>
    <w:rsid w:val="00153338"/>
    <w:rsid w:val="00153486"/>
    <w:rsid w:val="00154F3F"/>
    <w:rsid w:val="00156A9B"/>
    <w:rsid w:val="001617C6"/>
    <w:rsid w:val="00161949"/>
    <w:rsid w:val="00165031"/>
    <w:rsid w:val="0016540C"/>
    <w:rsid w:val="001674F6"/>
    <w:rsid w:val="00170A4F"/>
    <w:rsid w:val="00171B3A"/>
    <w:rsid w:val="00171DE3"/>
    <w:rsid w:val="00173E9E"/>
    <w:rsid w:val="0017408A"/>
    <w:rsid w:val="00177B2C"/>
    <w:rsid w:val="00180738"/>
    <w:rsid w:val="0018096F"/>
    <w:rsid w:val="00180A34"/>
    <w:rsid w:val="00180D71"/>
    <w:rsid w:val="00181456"/>
    <w:rsid w:val="00181EC0"/>
    <w:rsid w:val="0018391E"/>
    <w:rsid w:val="00184322"/>
    <w:rsid w:val="00185309"/>
    <w:rsid w:val="00186A0F"/>
    <w:rsid w:val="00186C06"/>
    <w:rsid w:val="00190F79"/>
    <w:rsid w:val="001927FC"/>
    <w:rsid w:val="001930DE"/>
    <w:rsid w:val="00193B24"/>
    <w:rsid w:val="00193D67"/>
    <w:rsid w:val="00195F25"/>
    <w:rsid w:val="00196208"/>
    <w:rsid w:val="001A0A5E"/>
    <w:rsid w:val="001A2321"/>
    <w:rsid w:val="001A2D0D"/>
    <w:rsid w:val="001A3F08"/>
    <w:rsid w:val="001A443F"/>
    <w:rsid w:val="001A5857"/>
    <w:rsid w:val="001A5E0C"/>
    <w:rsid w:val="001A5FE1"/>
    <w:rsid w:val="001A7F45"/>
    <w:rsid w:val="001B00CD"/>
    <w:rsid w:val="001B0AD3"/>
    <w:rsid w:val="001B0AE9"/>
    <w:rsid w:val="001B0BB1"/>
    <w:rsid w:val="001B0DAD"/>
    <w:rsid w:val="001B1746"/>
    <w:rsid w:val="001B3125"/>
    <w:rsid w:val="001B34D0"/>
    <w:rsid w:val="001B38D6"/>
    <w:rsid w:val="001B6A09"/>
    <w:rsid w:val="001C0DC5"/>
    <w:rsid w:val="001C356D"/>
    <w:rsid w:val="001C3F16"/>
    <w:rsid w:val="001C4715"/>
    <w:rsid w:val="001C541F"/>
    <w:rsid w:val="001C6190"/>
    <w:rsid w:val="001C7DA1"/>
    <w:rsid w:val="001D0F2A"/>
    <w:rsid w:val="001D13BA"/>
    <w:rsid w:val="001D23EC"/>
    <w:rsid w:val="001D261C"/>
    <w:rsid w:val="001D315D"/>
    <w:rsid w:val="001D420A"/>
    <w:rsid w:val="001D479B"/>
    <w:rsid w:val="001D5820"/>
    <w:rsid w:val="001D5F25"/>
    <w:rsid w:val="001D758F"/>
    <w:rsid w:val="001E0D6D"/>
    <w:rsid w:val="001E2E6D"/>
    <w:rsid w:val="001E6FC4"/>
    <w:rsid w:val="001F23B0"/>
    <w:rsid w:val="001F477A"/>
    <w:rsid w:val="001F4F99"/>
    <w:rsid w:val="001F4F9E"/>
    <w:rsid w:val="001F5DD2"/>
    <w:rsid w:val="001F77B9"/>
    <w:rsid w:val="001F7B37"/>
    <w:rsid w:val="002018E8"/>
    <w:rsid w:val="00201C37"/>
    <w:rsid w:val="00202B2A"/>
    <w:rsid w:val="00202D8E"/>
    <w:rsid w:val="00204065"/>
    <w:rsid w:val="0020458F"/>
    <w:rsid w:val="00207984"/>
    <w:rsid w:val="002103A5"/>
    <w:rsid w:val="00210EB6"/>
    <w:rsid w:val="00211146"/>
    <w:rsid w:val="002125C9"/>
    <w:rsid w:val="00212A68"/>
    <w:rsid w:val="00214265"/>
    <w:rsid w:val="002149BB"/>
    <w:rsid w:val="0021557D"/>
    <w:rsid w:val="002157C1"/>
    <w:rsid w:val="00216397"/>
    <w:rsid w:val="002175BB"/>
    <w:rsid w:val="00220A84"/>
    <w:rsid w:val="00220DF1"/>
    <w:rsid w:val="002219D5"/>
    <w:rsid w:val="00221BBB"/>
    <w:rsid w:val="002234CA"/>
    <w:rsid w:val="00223BD4"/>
    <w:rsid w:val="00227586"/>
    <w:rsid w:val="002275BB"/>
    <w:rsid w:val="00231E55"/>
    <w:rsid w:val="002321AC"/>
    <w:rsid w:val="00232B9C"/>
    <w:rsid w:val="002339B4"/>
    <w:rsid w:val="0023459D"/>
    <w:rsid w:val="00235C8E"/>
    <w:rsid w:val="00236501"/>
    <w:rsid w:val="00237326"/>
    <w:rsid w:val="00241A4C"/>
    <w:rsid w:val="00241EEC"/>
    <w:rsid w:val="002423E2"/>
    <w:rsid w:val="00242972"/>
    <w:rsid w:val="00242978"/>
    <w:rsid w:val="00242C09"/>
    <w:rsid w:val="0024331E"/>
    <w:rsid w:val="002434C4"/>
    <w:rsid w:val="00245254"/>
    <w:rsid w:val="00246790"/>
    <w:rsid w:val="00246CA5"/>
    <w:rsid w:val="00246DFD"/>
    <w:rsid w:val="00247571"/>
    <w:rsid w:val="00247BA8"/>
    <w:rsid w:val="0025098F"/>
    <w:rsid w:val="002511E8"/>
    <w:rsid w:val="002512E1"/>
    <w:rsid w:val="00252019"/>
    <w:rsid w:val="00253BE3"/>
    <w:rsid w:val="00254CEA"/>
    <w:rsid w:val="002577F4"/>
    <w:rsid w:val="00260375"/>
    <w:rsid w:val="00261DB3"/>
    <w:rsid w:val="00262BFD"/>
    <w:rsid w:val="00265298"/>
    <w:rsid w:val="00265668"/>
    <w:rsid w:val="00265E08"/>
    <w:rsid w:val="00266333"/>
    <w:rsid w:val="00267015"/>
    <w:rsid w:val="00267405"/>
    <w:rsid w:val="002675F2"/>
    <w:rsid w:val="00270401"/>
    <w:rsid w:val="00272DC8"/>
    <w:rsid w:val="00273520"/>
    <w:rsid w:val="00274DEE"/>
    <w:rsid w:val="00277E1E"/>
    <w:rsid w:val="002810D1"/>
    <w:rsid w:val="0028164F"/>
    <w:rsid w:val="00282032"/>
    <w:rsid w:val="00284BBC"/>
    <w:rsid w:val="00284D3B"/>
    <w:rsid w:val="0029157C"/>
    <w:rsid w:val="00293A02"/>
    <w:rsid w:val="0029452C"/>
    <w:rsid w:val="00294B88"/>
    <w:rsid w:val="0029702E"/>
    <w:rsid w:val="00297560"/>
    <w:rsid w:val="00297BBD"/>
    <w:rsid w:val="00297D74"/>
    <w:rsid w:val="002A02E9"/>
    <w:rsid w:val="002A201A"/>
    <w:rsid w:val="002A264C"/>
    <w:rsid w:val="002A4412"/>
    <w:rsid w:val="002B0C29"/>
    <w:rsid w:val="002B2107"/>
    <w:rsid w:val="002B2DDF"/>
    <w:rsid w:val="002B3387"/>
    <w:rsid w:val="002B353D"/>
    <w:rsid w:val="002B3C1A"/>
    <w:rsid w:val="002B6935"/>
    <w:rsid w:val="002B73D9"/>
    <w:rsid w:val="002B7FA0"/>
    <w:rsid w:val="002C2826"/>
    <w:rsid w:val="002C386E"/>
    <w:rsid w:val="002C4672"/>
    <w:rsid w:val="002C57E0"/>
    <w:rsid w:val="002C5813"/>
    <w:rsid w:val="002C5F4A"/>
    <w:rsid w:val="002C6537"/>
    <w:rsid w:val="002C7621"/>
    <w:rsid w:val="002D0F80"/>
    <w:rsid w:val="002D19C3"/>
    <w:rsid w:val="002D365A"/>
    <w:rsid w:val="002D6A47"/>
    <w:rsid w:val="002D73AB"/>
    <w:rsid w:val="002E16D9"/>
    <w:rsid w:val="002E16E3"/>
    <w:rsid w:val="002E1A15"/>
    <w:rsid w:val="002E1BAB"/>
    <w:rsid w:val="002E275B"/>
    <w:rsid w:val="002E27F7"/>
    <w:rsid w:val="002E28E3"/>
    <w:rsid w:val="002E301F"/>
    <w:rsid w:val="002E328D"/>
    <w:rsid w:val="002E3748"/>
    <w:rsid w:val="002E37B8"/>
    <w:rsid w:val="002E438B"/>
    <w:rsid w:val="002E56D6"/>
    <w:rsid w:val="002E6C34"/>
    <w:rsid w:val="002F0164"/>
    <w:rsid w:val="002F137E"/>
    <w:rsid w:val="002F1B31"/>
    <w:rsid w:val="002F23E7"/>
    <w:rsid w:val="002F3464"/>
    <w:rsid w:val="002F5BFE"/>
    <w:rsid w:val="0030238C"/>
    <w:rsid w:val="00302BE6"/>
    <w:rsid w:val="00303AE4"/>
    <w:rsid w:val="00304567"/>
    <w:rsid w:val="00305039"/>
    <w:rsid w:val="00305832"/>
    <w:rsid w:val="003067F0"/>
    <w:rsid w:val="00306B6D"/>
    <w:rsid w:val="003114C4"/>
    <w:rsid w:val="003117EE"/>
    <w:rsid w:val="00313576"/>
    <w:rsid w:val="00313CBB"/>
    <w:rsid w:val="003155B0"/>
    <w:rsid w:val="00315A3F"/>
    <w:rsid w:val="00316BB0"/>
    <w:rsid w:val="0031708F"/>
    <w:rsid w:val="003174EC"/>
    <w:rsid w:val="00317850"/>
    <w:rsid w:val="00320F69"/>
    <w:rsid w:val="00323AD2"/>
    <w:rsid w:val="00323F00"/>
    <w:rsid w:val="00324158"/>
    <w:rsid w:val="00324F9C"/>
    <w:rsid w:val="00326B8A"/>
    <w:rsid w:val="003273EE"/>
    <w:rsid w:val="003314ED"/>
    <w:rsid w:val="003317B0"/>
    <w:rsid w:val="00331B39"/>
    <w:rsid w:val="0033257B"/>
    <w:rsid w:val="00332C60"/>
    <w:rsid w:val="00335D1F"/>
    <w:rsid w:val="00335DEA"/>
    <w:rsid w:val="0033791A"/>
    <w:rsid w:val="00337EC9"/>
    <w:rsid w:val="00340EC0"/>
    <w:rsid w:val="003414B8"/>
    <w:rsid w:val="00341FF6"/>
    <w:rsid w:val="0034434D"/>
    <w:rsid w:val="00344EB0"/>
    <w:rsid w:val="0034691C"/>
    <w:rsid w:val="00347FA9"/>
    <w:rsid w:val="003504D1"/>
    <w:rsid w:val="0035098E"/>
    <w:rsid w:val="00351F8D"/>
    <w:rsid w:val="003520A6"/>
    <w:rsid w:val="00352997"/>
    <w:rsid w:val="00352B85"/>
    <w:rsid w:val="00353AE1"/>
    <w:rsid w:val="00354932"/>
    <w:rsid w:val="0035575E"/>
    <w:rsid w:val="00355B5B"/>
    <w:rsid w:val="003561EA"/>
    <w:rsid w:val="00357DC1"/>
    <w:rsid w:val="003601F1"/>
    <w:rsid w:val="003604B7"/>
    <w:rsid w:val="00360A46"/>
    <w:rsid w:val="00360F35"/>
    <w:rsid w:val="0036108A"/>
    <w:rsid w:val="00362FAD"/>
    <w:rsid w:val="003630B4"/>
    <w:rsid w:val="003633D5"/>
    <w:rsid w:val="003652AC"/>
    <w:rsid w:val="00365C85"/>
    <w:rsid w:val="00367333"/>
    <w:rsid w:val="003676F6"/>
    <w:rsid w:val="00367B81"/>
    <w:rsid w:val="00370D91"/>
    <w:rsid w:val="00371018"/>
    <w:rsid w:val="00372994"/>
    <w:rsid w:val="00373741"/>
    <w:rsid w:val="00373B8E"/>
    <w:rsid w:val="00374D1E"/>
    <w:rsid w:val="003750F2"/>
    <w:rsid w:val="00377D22"/>
    <w:rsid w:val="003802C3"/>
    <w:rsid w:val="00381078"/>
    <w:rsid w:val="003827DF"/>
    <w:rsid w:val="003832B4"/>
    <w:rsid w:val="00383A89"/>
    <w:rsid w:val="00384000"/>
    <w:rsid w:val="003853B3"/>
    <w:rsid w:val="00385522"/>
    <w:rsid w:val="00385FA4"/>
    <w:rsid w:val="0038700D"/>
    <w:rsid w:val="00390932"/>
    <w:rsid w:val="003911EC"/>
    <w:rsid w:val="00392EB0"/>
    <w:rsid w:val="00394534"/>
    <w:rsid w:val="003952B3"/>
    <w:rsid w:val="0039762D"/>
    <w:rsid w:val="00397D45"/>
    <w:rsid w:val="00397F11"/>
    <w:rsid w:val="003A18EE"/>
    <w:rsid w:val="003A2259"/>
    <w:rsid w:val="003A2503"/>
    <w:rsid w:val="003A2F0B"/>
    <w:rsid w:val="003A4B9C"/>
    <w:rsid w:val="003A56ED"/>
    <w:rsid w:val="003A70A8"/>
    <w:rsid w:val="003A73DF"/>
    <w:rsid w:val="003A789E"/>
    <w:rsid w:val="003A7EFA"/>
    <w:rsid w:val="003B1ADA"/>
    <w:rsid w:val="003B2B9A"/>
    <w:rsid w:val="003B35D6"/>
    <w:rsid w:val="003B470D"/>
    <w:rsid w:val="003B5230"/>
    <w:rsid w:val="003B525E"/>
    <w:rsid w:val="003B5480"/>
    <w:rsid w:val="003B5CD6"/>
    <w:rsid w:val="003B6F31"/>
    <w:rsid w:val="003B785B"/>
    <w:rsid w:val="003C0615"/>
    <w:rsid w:val="003C134F"/>
    <w:rsid w:val="003C289B"/>
    <w:rsid w:val="003C2C4D"/>
    <w:rsid w:val="003C6043"/>
    <w:rsid w:val="003D1402"/>
    <w:rsid w:val="003D2962"/>
    <w:rsid w:val="003D2FCB"/>
    <w:rsid w:val="003D34B3"/>
    <w:rsid w:val="003D54AD"/>
    <w:rsid w:val="003D579C"/>
    <w:rsid w:val="003D6752"/>
    <w:rsid w:val="003E4FEF"/>
    <w:rsid w:val="003E6058"/>
    <w:rsid w:val="003E631E"/>
    <w:rsid w:val="003E7D99"/>
    <w:rsid w:val="003E7F32"/>
    <w:rsid w:val="003F04E4"/>
    <w:rsid w:val="003F10F7"/>
    <w:rsid w:val="003F22B5"/>
    <w:rsid w:val="003F263E"/>
    <w:rsid w:val="003F30B3"/>
    <w:rsid w:val="003F390F"/>
    <w:rsid w:val="003F3999"/>
    <w:rsid w:val="003F6265"/>
    <w:rsid w:val="004007C9"/>
    <w:rsid w:val="00401374"/>
    <w:rsid w:val="00402077"/>
    <w:rsid w:val="004049D8"/>
    <w:rsid w:val="00405C9D"/>
    <w:rsid w:val="00405FB5"/>
    <w:rsid w:val="004064E6"/>
    <w:rsid w:val="004066BC"/>
    <w:rsid w:val="004066E4"/>
    <w:rsid w:val="0040677A"/>
    <w:rsid w:val="00407791"/>
    <w:rsid w:val="0041057F"/>
    <w:rsid w:val="00411584"/>
    <w:rsid w:val="00412771"/>
    <w:rsid w:val="004135B9"/>
    <w:rsid w:val="00413C1A"/>
    <w:rsid w:val="00413F0C"/>
    <w:rsid w:val="00414448"/>
    <w:rsid w:val="004149D2"/>
    <w:rsid w:val="00417F6D"/>
    <w:rsid w:val="00420272"/>
    <w:rsid w:val="004217D3"/>
    <w:rsid w:val="00421B07"/>
    <w:rsid w:val="004232F2"/>
    <w:rsid w:val="00423464"/>
    <w:rsid w:val="00424BDA"/>
    <w:rsid w:val="0042536A"/>
    <w:rsid w:val="00426C88"/>
    <w:rsid w:val="00426DB7"/>
    <w:rsid w:val="00430558"/>
    <w:rsid w:val="00430F51"/>
    <w:rsid w:val="004312AC"/>
    <w:rsid w:val="004317CA"/>
    <w:rsid w:val="0043281D"/>
    <w:rsid w:val="004328AB"/>
    <w:rsid w:val="00433008"/>
    <w:rsid w:val="00433389"/>
    <w:rsid w:val="00435B66"/>
    <w:rsid w:val="00440F62"/>
    <w:rsid w:val="004426F3"/>
    <w:rsid w:val="00444821"/>
    <w:rsid w:val="0044594A"/>
    <w:rsid w:val="00445FAB"/>
    <w:rsid w:val="00446F66"/>
    <w:rsid w:val="004477B7"/>
    <w:rsid w:val="00447ED6"/>
    <w:rsid w:val="00447F26"/>
    <w:rsid w:val="0045143B"/>
    <w:rsid w:val="00451D0E"/>
    <w:rsid w:val="00454890"/>
    <w:rsid w:val="00454AC8"/>
    <w:rsid w:val="00456264"/>
    <w:rsid w:val="004563F1"/>
    <w:rsid w:val="0046075D"/>
    <w:rsid w:val="004619DA"/>
    <w:rsid w:val="00465164"/>
    <w:rsid w:val="00465241"/>
    <w:rsid w:val="00465F51"/>
    <w:rsid w:val="00467B2E"/>
    <w:rsid w:val="00470AEA"/>
    <w:rsid w:val="00471F38"/>
    <w:rsid w:val="00472FF6"/>
    <w:rsid w:val="0047455C"/>
    <w:rsid w:val="0047482E"/>
    <w:rsid w:val="00474D44"/>
    <w:rsid w:val="00477AD3"/>
    <w:rsid w:val="00480B42"/>
    <w:rsid w:val="0048112F"/>
    <w:rsid w:val="0048123F"/>
    <w:rsid w:val="00482253"/>
    <w:rsid w:val="004827B1"/>
    <w:rsid w:val="00484836"/>
    <w:rsid w:val="0048683E"/>
    <w:rsid w:val="00486DE9"/>
    <w:rsid w:val="00486F0B"/>
    <w:rsid w:val="00487BD3"/>
    <w:rsid w:val="004908CE"/>
    <w:rsid w:val="00490EFF"/>
    <w:rsid w:val="004912F2"/>
    <w:rsid w:val="00492DE4"/>
    <w:rsid w:val="00494E1F"/>
    <w:rsid w:val="00494FCA"/>
    <w:rsid w:val="00495A4A"/>
    <w:rsid w:val="004961BA"/>
    <w:rsid w:val="004A21C3"/>
    <w:rsid w:val="004A28F8"/>
    <w:rsid w:val="004A38A6"/>
    <w:rsid w:val="004A5E06"/>
    <w:rsid w:val="004A7985"/>
    <w:rsid w:val="004B126C"/>
    <w:rsid w:val="004B1477"/>
    <w:rsid w:val="004B3D80"/>
    <w:rsid w:val="004B4537"/>
    <w:rsid w:val="004B73A7"/>
    <w:rsid w:val="004C1691"/>
    <w:rsid w:val="004C2221"/>
    <w:rsid w:val="004C23C8"/>
    <w:rsid w:val="004C31E9"/>
    <w:rsid w:val="004C3AD6"/>
    <w:rsid w:val="004C3B96"/>
    <w:rsid w:val="004C3D9D"/>
    <w:rsid w:val="004C51C1"/>
    <w:rsid w:val="004C714C"/>
    <w:rsid w:val="004C74BD"/>
    <w:rsid w:val="004D0081"/>
    <w:rsid w:val="004D1234"/>
    <w:rsid w:val="004D1C37"/>
    <w:rsid w:val="004D24EC"/>
    <w:rsid w:val="004D3017"/>
    <w:rsid w:val="004D430B"/>
    <w:rsid w:val="004D7718"/>
    <w:rsid w:val="004E05C8"/>
    <w:rsid w:val="004E1B07"/>
    <w:rsid w:val="004E1E55"/>
    <w:rsid w:val="004E23B3"/>
    <w:rsid w:val="004E4106"/>
    <w:rsid w:val="004E49E4"/>
    <w:rsid w:val="004E4F18"/>
    <w:rsid w:val="004E5E72"/>
    <w:rsid w:val="004E5E84"/>
    <w:rsid w:val="004E7325"/>
    <w:rsid w:val="004F0890"/>
    <w:rsid w:val="004F3DE2"/>
    <w:rsid w:val="004F47DD"/>
    <w:rsid w:val="004F48C9"/>
    <w:rsid w:val="004F5849"/>
    <w:rsid w:val="004F5D18"/>
    <w:rsid w:val="004F5DFD"/>
    <w:rsid w:val="004F6ABC"/>
    <w:rsid w:val="00500A72"/>
    <w:rsid w:val="00500B0A"/>
    <w:rsid w:val="00502E22"/>
    <w:rsid w:val="005044A3"/>
    <w:rsid w:val="00504F9B"/>
    <w:rsid w:val="0050507B"/>
    <w:rsid w:val="00505A45"/>
    <w:rsid w:val="00507583"/>
    <w:rsid w:val="00511FB5"/>
    <w:rsid w:val="005149BA"/>
    <w:rsid w:val="00514A2B"/>
    <w:rsid w:val="00514BE8"/>
    <w:rsid w:val="00514BFD"/>
    <w:rsid w:val="00515ED1"/>
    <w:rsid w:val="00516143"/>
    <w:rsid w:val="0051617A"/>
    <w:rsid w:val="00516B18"/>
    <w:rsid w:val="005178B1"/>
    <w:rsid w:val="005206AD"/>
    <w:rsid w:val="00520993"/>
    <w:rsid w:val="00520B6D"/>
    <w:rsid w:val="005221FD"/>
    <w:rsid w:val="005229F8"/>
    <w:rsid w:val="005238F0"/>
    <w:rsid w:val="00525387"/>
    <w:rsid w:val="00526EE8"/>
    <w:rsid w:val="005306F5"/>
    <w:rsid w:val="0053183D"/>
    <w:rsid w:val="00531868"/>
    <w:rsid w:val="00531E60"/>
    <w:rsid w:val="00532045"/>
    <w:rsid w:val="005333A6"/>
    <w:rsid w:val="00533D8F"/>
    <w:rsid w:val="005346C1"/>
    <w:rsid w:val="00534DED"/>
    <w:rsid w:val="005367A3"/>
    <w:rsid w:val="00536DFA"/>
    <w:rsid w:val="00536E6E"/>
    <w:rsid w:val="00537078"/>
    <w:rsid w:val="005371F4"/>
    <w:rsid w:val="005408A7"/>
    <w:rsid w:val="0054145C"/>
    <w:rsid w:val="0054229C"/>
    <w:rsid w:val="00542641"/>
    <w:rsid w:val="0054358E"/>
    <w:rsid w:val="00544553"/>
    <w:rsid w:val="005447E1"/>
    <w:rsid w:val="00547122"/>
    <w:rsid w:val="0054726B"/>
    <w:rsid w:val="005473D4"/>
    <w:rsid w:val="00547880"/>
    <w:rsid w:val="00550F9D"/>
    <w:rsid w:val="005510A6"/>
    <w:rsid w:val="00553002"/>
    <w:rsid w:val="00553079"/>
    <w:rsid w:val="00553E86"/>
    <w:rsid w:val="00553FE0"/>
    <w:rsid w:val="00554F78"/>
    <w:rsid w:val="0055518B"/>
    <w:rsid w:val="0055772C"/>
    <w:rsid w:val="00561BD6"/>
    <w:rsid w:val="00561FBB"/>
    <w:rsid w:val="0056254E"/>
    <w:rsid w:val="005639E6"/>
    <w:rsid w:val="00564162"/>
    <w:rsid w:val="005645BA"/>
    <w:rsid w:val="005651B7"/>
    <w:rsid w:val="00565319"/>
    <w:rsid w:val="005678E3"/>
    <w:rsid w:val="00567D42"/>
    <w:rsid w:val="00572158"/>
    <w:rsid w:val="0057236F"/>
    <w:rsid w:val="00572D58"/>
    <w:rsid w:val="005732ED"/>
    <w:rsid w:val="00574531"/>
    <w:rsid w:val="00575052"/>
    <w:rsid w:val="00576157"/>
    <w:rsid w:val="005763DF"/>
    <w:rsid w:val="00576DC1"/>
    <w:rsid w:val="00577287"/>
    <w:rsid w:val="00580247"/>
    <w:rsid w:val="00580295"/>
    <w:rsid w:val="00581884"/>
    <w:rsid w:val="00582712"/>
    <w:rsid w:val="005832F3"/>
    <w:rsid w:val="00583459"/>
    <w:rsid w:val="0058498F"/>
    <w:rsid w:val="0058542D"/>
    <w:rsid w:val="005858F2"/>
    <w:rsid w:val="00586707"/>
    <w:rsid w:val="00586DF7"/>
    <w:rsid w:val="00587D95"/>
    <w:rsid w:val="00590540"/>
    <w:rsid w:val="00590A46"/>
    <w:rsid w:val="005914BC"/>
    <w:rsid w:val="00591F93"/>
    <w:rsid w:val="0059328D"/>
    <w:rsid w:val="00594B4A"/>
    <w:rsid w:val="00596060"/>
    <w:rsid w:val="005A0377"/>
    <w:rsid w:val="005A3666"/>
    <w:rsid w:val="005A476D"/>
    <w:rsid w:val="005A4960"/>
    <w:rsid w:val="005A7251"/>
    <w:rsid w:val="005A72E2"/>
    <w:rsid w:val="005A7CAF"/>
    <w:rsid w:val="005A7DBB"/>
    <w:rsid w:val="005B0536"/>
    <w:rsid w:val="005B0639"/>
    <w:rsid w:val="005B06ED"/>
    <w:rsid w:val="005B0F38"/>
    <w:rsid w:val="005B1E6A"/>
    <w:rsid w:val="005B26C2"/>
    <w:rsid w:val="005B3D23"/>
    <w:rsid w:val="005B45D1"/>
    <w:rsid w:val="005B6296"/>
    <w:rsid w:val="005B65A1"/>
    <w:rsid w:val="005B7980"/>
    <w:rsid w:val="005C1B80"/>
    <w:rsid w:val="005C35AE"/>
    <w:rsid w:val="005C49FB"/>
    <w:rsid w:val="005C6416"/>
    <w:rsid w:val="005C6761"/>
    <w:rsid w:val="005C6EB6"/>
    <w:rsid w:val="005D00B5"/>
    <w:rsid w:val="005D2DD4"/>
    <w:rsid w:val="005D42AB"/>
    <w:rsid w:val="005D4D9F"/>
    <w:rsid w:val="005D50D7"/>
    <w:rsid w:val="005D5167"/>
    <w:rsid w:val="005D632B"/>
    <w:rsid w:val="005D68DA"/>
    <w:rsid w:val="005D6C29"/>
    <w:rsid w:val="005D6C3D"/>
    <w:rsid w:val="005D6FDE"/>
    <w:rsid w:val="005D71DB"/>
    <w:rsid w:val="005D7329"/>
    <w:rsid w:val="005E06A6"/>
    <w:rsid w:val="005E113C"/>
    <w:rsid w:val="005E144A"/>
    <w:rsid w:val="005E22A2"/>
    <w:rsid w:val="005E2869"/>
    <w:rsid w:val="005E3491"/>
    <w:rsid w:val="005E3E02"/>
    <w:rsid w:val="005E5F06"/>
    <w:rsid w:val="005E7321"/>
    <w:rsid w:val="005E7CDB"/>
    <w:rsid w:val="005F03B8"/>
    <w:rsid w:val="005F0D01"/>
    <w:rsid w:val="005F1428"/>
    <w:rsid w:val="005F2DB3"/>
    <w:rsid w:val="005F3EDB"/>
    <w:rsid w:val="005F497A"/>
    <w:rsid w:val="005F49FE"/>
    <w:rsid w:val="005F4D83"/>
    <w:rsid w:val="005F5F9E"/>
    <w:rsid w:val="00601E88"/>
    <w:rsid w:val="00603139"/>
    <w:rsid w:val="00604201"/>
    <w:rsid w:val="00605791"/>
    <w:rsid w:val="0060772D"/>
    <w:rsid w:val="006077C3"/>
    <w:rsid w:val="006125DA"/>
    <w:rsid w:val="0061264E"/>
    <w:rsid w:val="00613431"/>
    <w:rsid w:val="00613929"/>
    <w:rsid w:val="00613BA1"/>
    <w:rsid w:val="00613D47"/>
    <w:rsid w:val="00613F2E"/>
    <w:rsid w:val="0061464E"/>
    <w:rsid w:val="00614D1A"/>
    <w:rsid w:val="0061680F"/>
    <w:rsid w:val="00616D1F"/>
    <w:rsid w:val="0061707D"/>
    <w:rsid w:val="006172D6"/>
    <w:rsid w:val="00617381"/>
    <w:rsid w:val="00621245"/>
    <w:rsid w:val="00621335"/>
    <w:rsid w:val="00623511"/>
    <w:rsid w:val="0062482E"/>
    <w:rsid w:val="00625D9F"/>
    <w:rsid w:val="0062612D"/>
    <w:rsid w:val="006268C3"/>
    <w:rsid w:val="00626908"/>
    <w:rsid w:val="00626FF7"/>
    <w:rsid w:val="00627068"/>
    <w:rsid w:val="006272F3"/>
    <w:rsid w:val="00627E74"/>
    <w:rsid w:val="006339BF"/>
    <w:rsid w:val="00634671"/>
    <w:rsid w:val="00634BF6"/>
    <w:rsid w:val="006358CD"/>
    <w:rsid w:val="00635D9A"/>
    <w:rsid w:val="00636530"/>
    <w:rsid w:val="006374B9"/>
    <w:rsid w:val="00637C3F"/>
    <w:rsid w:val="00640C92"/>
    <w:rsid w:val="00642121"/>
    <w:rsid w:val="00643873"/>
    <w:rsid w:val="00644049"/>
    <w:rsid w:val="00644A3B"/>
    <w:rsid w:val="00644B3E"/>
    <w:rsid w:val="0064622B"/>
    <w:rsid w:val="0064704D"/>
    <w:rsid w:val="00647555"/>
    <w:rsid w:val="0065076C"/>
    <w:rsid w:val="00650BB8"/>
    <w:rsid w:val="006534A3"/>
    <w:rsid w:val="00653AF3"/>
    <w:rsid w:val="006550CE"/>
    <w:rsid w:val="006566A6"/>
    <w:rsid w:val="0065673C"/>
    <w:rsid w:val="00656B98"/>
    <w:rsid w:val="0065789E"/>
    <w:rsid w:val="00660FF7"/>
    <w:rsid w:val="006625C8"/>
    <w:rsid w:val="00662BB4"/>
    <w:rsid w:val="00663165"/>
    <w:rsid w:val="00663C06"/>
    <w:rsid w:val="00663D41"/>
    <w:rsid w:val="006644B2"/>
    <w:rsid w:val="006648D4"/>
    <w:rsid w:val="00664C36"/>
    <w:rsid w:val="006650A5"/>
    <w:rsid w:val="006657B2"/>
    <w:rsid w:val="006721CC"/>
    <w:rsid w:val="006731A7"/>
    <w:rsid w:val="00673283"/>
    <w:rsid w:val="006733A1"/>
    <w:rsid w:val="006735E6"/>
    <w:rsid w:val="00674547"/>
    <w:rsid w:val="0067514B"/>
    <w:rsid w:val="00677C8D"/>
    <w:rsid w:val="00680927"/>
    <w:rsid w:val="00681B6D"/>
    <w:rsid w:val="00682B3C"/>
    <w:rsid w:val="006837C5"/>
    <w:rsid w:val="006852D2"/>
    <w:rsid w:val="00686120"/>
    <w:rsid w:val="006863DB"/>
    <w:rsid w:val="006867E6"/>
    <w:rsid w:val="00687088"/>
    <w:rsid w:val="00687B26"/>
    <w:rsid w:val="00687D3A"/>
    <w:rsid w:val="00690BD0"/>
    <w:rsid w:val="006914C8"/>
    <w:rsid w:val="00691973"/>
    <w:rsid w:val="006921B6"/>
    <w:rsid w:val="006955FD"/>
    <w:rsid w:val="00695674"/>
    <w:rsid w:val="006A1566"/>
    <w:rsid w:val="006A17FA"/>
    <w:rsid w:val="006A1ADD"/>
    <w:rsid w:val="006A3001"/>
    <w:rsid w:val="006A30DF"/>
    <w:rsid w:val="006A4F97"/>
    <w:rsid w:val="006A6505"/>
    <w:rsid w:val="006A65F8"/>
    <w:rsid w:val="006A69D4"/>
    <w:rsid w:val="006B0162"/>
    <w:rsid w:val="006B0EB5"/>
    <w:rsid w:val="006B1739"/>
    <w:rsid w:val="006B1B85"/>
    <w:rsid w:val="006B2171"/>
    <w:rsid w:val="006B444C"/>
    <w:rsid w:val="006B5EC5"/>
    <w:rsid w:val="006B734D"/>
    <w:rsid w:val="006B7E99"/>
    <w:rsid w:val="006C02C0"/>
    <w:rsid w:val="006C2AB7"/>
    <w:rsid w:val="006C2E4E"/>
    <w:rsid w:val="006C3FE4"/>
    <w:rsid w:val="006C4026"/>
    <w:rsid w:val="006C61CD"/>
    <w:rsid w:val="006C65D5"/>
    <w:rsid w:val="006C681C"/>
    <w:rsid w:val="006C7641"/>
    <w:rsid w:val="006D0246"/>
    <w:rsid w:val="006D41BF"/>
    <w:rsid w:val="006D6332"/>
    <w:rsid w:val="006D64DF"/>
    <w:rsid w:val="006D6D00"/>
    <w:rsid w:val="006D7827"/>
    <w:rsid w:val="006D7FE9"/>
    <w:rsid w:val="006E0E56"/>
    <w:rsid w:val="006E11DC"/>
    <w:rsid w:val="006E254F"/>
    <w:rsid w:val="006E25CC"/>
    <w:rsid w:val="006E2AE2"/>
    <w:rsid w:val="006E2BB0"/>
    <w:rsid w:val="006E316E"/>
    <w:rsid w:val="006E40BA"/>
    <w:rsid w:val="006E4238"/>
    <w:rsid w:val="006E51F2"/>
    <w:rsid w:val="006E66D5"/>
    <w:rsid w:val="006F615D"/>
    <w:rsid w:val="006F66C5"/>
    <w:rsid w:val="006F6C69"/>
    <w:rsid w:val="006F7DED"/>
    <w:rsid w:val="00700FCB"/>
    <w:rsid w:val="0070206E"/>
    <w:rsid w:val="007029A9"/>
    <w:rsid w:val="00703F22"/>
    <w:rsid w:val="00704C8D"/>
    <w:rsid w:val="00707118"/>
    <w:rsid w:val="007078EC"/>
    <w:rsid w:val="00710177"/>
    <w:rsid w:val="007106E8"/>
    <w:rsid w:val="00711E78"/>
    <w:rsid w:val="007129DE"/>
    <w:rsid w:val="007131A6"/>
    <w:rsid w:val="0071410D"/>
    <w:rsid w:val="007149D9"/>
    <w:rsid w:val="00714B15"/>
    <w:rsid w:val="00714FCC"/>
    <w:rsid w:val="00715890"/>
    <w:rsid w:val="00715958"/>
    <w:rsid w:val="00717DA4"/>
    <w:rsid w:val="00720313"/>
    <w:rsid w:val="00720562"/>
    <w:rsid w:val="007213A2"/>
    <w:rsid w:val="00721416"/>
    <w:rsid w:val="00721E32"/>
    <w:rsid w:val="00722001"/>
    <w:rsid w:val="007250AF"/>
    <w:rsid w:val="0072551B"/>
    <w:rsid w:val="007257A4"/>
    <w:rsid w:val="00726405"/>
    <w:rsid w:val="0072688E"/>
    <w:rsid w:val="00727142"/>
    <w:rsid w:val="00727726"/>
    <w:rsid w:val="00727AB3"/>
    <w:rsid w:val="00727DEA"/>
    <w:rsid w:val="00730705"/>
    <w:rsid w:val="00730E2A"/>
    <w:rsid w:val="00730F47"/>
    <w:rsid w:val="007328C8"/>
    <w:rsid w:val="00732982"/>
    <w:rsid w:val="00732997"/>
    <w:rsid w:val="00732D7C"/>
    <w:rsid w:val="00732EDE"/>
    <w:rsid w:val="00734D6F"/>
    <w:rsid w:val="007364C8"/>
    <w:rsid w:val="00736EFE"/>
    <w:rsid w:val="00737947"/>
    <w:rsid w:val="007408A5"/>
    <w:rsid w:val="0074153F"/>
    <w:rsid w:val="00741E9E"/>
    <w:rsid w:val="007423AB"/>
    <w:rsid w:val="007439DE"/>
    <w:rsid w:val="0074599F"/>
    <w:rsid w:val="00745CFB"/>
    <w:rsid w:val="0074664E"/>
    <w:rsid w:val="00746C87"/>
    <w:rsid w:val="00747552"/>
    <w:rsid w:val="00750471"/>
    <w:rsid w:val="00751D76"/>
    <w:rsid w:val="00752306"/>
    <w:rsid w:val="007527BD"/>
    <w:rsid w:val="00752D9C"/>
    <w:rsid w:val="00754BA3"/>
    <w:rsid w:val="00755775"/>
    <w:rsid w:val="00755DBE"/>
    <w:rsid w:val="007563BE"/>
    <w:rsid w:val="007607C4"/>
    <w:rsid w:val="00760A89"/>
    <w:rsid w:val="0076299E"/>
    <w:rsid w:val="00763274"/>
    <w:rsid w:val="007636B1"/>
    <w:rsid w:val="00763D98"/>
    <w:rsid w:val="007642B7"/>
    <w:rsid w:val="00766717"/>
    <w:rsid w:val="00766DF1"/>
    <w:rsid w:val="00766F68"/>
    <w:rsid w:val="00766FD5"/>
    <w:rsid w:val="0076730C"/>
    <w:rsid w:val="00771580"/>
    <w:rsid w:val="0077194D"/>
    <w:rsid w:val="00773306"/>
    <w:rsid w:val="007743B9"/>
    <w:rsid w:val="0077529A"/>
    <w:rsid w:val="0077665F"/>
    <w:rsid w:val="00777BAA"/>
    <w:rsid w:val="00777D42"/>
    <w:rsid w:val="00780213"/>
    <w:rsid w:val="007803F5"/>
    <w:rsid w:val="00780466"/>
    <w:rsid w:val="007843A3"/>
    <w:rsid w:val="0078789E"/>
    <w:rsid w:val="007912F3"/>
    <w:rsid w:val="0079137F"/>
    <w:rsid w:val="00795F32"/>
    <w:rsid w:val="00796CAC"/>
    <w:rsid w:val="0079753C"/>
    <w:rsid w:val="007A0E6C"/>
    <w:rsid w:val="007A251A"/>
    <w:rsid w:val="007A6CBF"/>
    <w:rsid w:val="007A7573"/>
    <w:rsid w:val="007B1BBD"/>
    <w:rsid w:val="007B287E"/>
    <w:rsid w:val="007B316C"/>
    <w:rsid w:val="007B3EBA"/>
    <w:rsid w:val="007B5191"/>
    <w:rsid w:val="007C0E35"/>
    <w:rsid w:val="007C0EEB"/>
    <w:rsid w:val="007C14C4"/>
    <w:rsid w:val="007C1545"/>
    <w:rsid w:val="007C2090"/>
    <w:rsid w:val="007C2631"/>
    <w:rsid w:val="007C3083"/>
    <w:rsid w:val="007C58E5"/>
    <w:rsid w:val="007C5B91"/>
    <w:rsid w:val="007C6ABE"/>
    <w:rsid w:val="007C7197"/>
    <w:rsid w:val="007D1204"/>
    <w:rsid w:val="007D2D78"/>
    <w:rsid w:val="007D39EF"/>
    <w:rsid w:val="007D3EBB"/>
    <w:rsid w:val="007D3FEF"/>
    <w:rsid w:val="007D4E6A"/>
    <w:rsid w:val="007D4E87"/>
    <w:rsid w:val="007D56BF"/>
    <w:rsid w:val="007D56F1"/>
    <w:rsid w:val="007D5CCF"/>
    <w:rsid w:val="007D6367"/>
    <w:rsid w:val="007D7507"/>
    <w:rsid w:val="007D7BA3"/>
    <w:rsid w:val="007E02DA"/>
    <w:rsid w:val="007E0D64"/>
    <w:rsid w:val="007E41BA"/>
    <w:rsid w:val="007E44E4"/>
    <w:rsid w:val="007E4F85"/>
    <w:rsid w:val="007E6506"/>
    <w:rsid w:val="007E680C"/>
    <w:rsid w:val="007F2F85"/>
    <w:rsid w:val="007F34FC"/>
    <w:rsid w:val="007F4CD9"/>
    <w:rsid w:val="007F5AF7"/>
    <w:rsid w:val="007F6119"/>
    <w:rsid w:val="007F6C72"/>
    <w:rsid w:val="007F7AA6"/>
    <w:rsid w:val="008000E5"/>
    <w:rsid w:val="008004EF"/>
    <w:rsid w:val="0080109B"/>
    <w:rsid w:val="0080266B"/>
    <w:rsid w:val="00802C21"/>
    <w:rsid w:val="00802C2C"/>
    <w:rsid w:val="00802E8D"/>
    <w:rsid w:val="00803C50"/>
    <w:rsid w:val="00804965"/>
    <w:rsid w:val="00805578"/>
    <w:rsid w:val="0080676C"/>
    <w:rsid w:val="0080764B"/>
    <w:rsid w:val="0080780B"/>
    <w:rsid w:val="00810BDD"/>
    <w:rsid w:val="008115FF"/>
    <w:rsid w:val="00811DB5"/>
    <w:rsid w:val="00812676"/>
    <w:rsid w:val="00813226"/>
    <w:rsid w:val="00813E53"/>
    <w:rsid w:val="008157DE"/>
    <w:rsid w:val="00816FEB"/>
    <w:rsid w:val="0081700F"/>
    <w:rsid w:val="0081798F"/>
    <w:rsid w:val="00817F85"/>
    <w:rsid w:val="0082210E"/>
    <w:rsid w:val="0082255F"/>
    <w:rsid w:val="00822FCD"/>
    <w:rsid w:val="00823143"/>
    <w:rsid w:val="0082336D"/>
    <w:rsid w:val="00823AD0"/>
    <w:rsid w:val="00823E0E"/>
    <w:rsid w:val="00823F90"/>
    <w:rsid w:val="008243AC"/>
    <w:rsid w:val="008248B3"/>
    <w:rsid w:val="00824950"/>
    <w:rsid w:val="0082611E"/>
    <w:rsid w:val="0082765D"/>
    <w:rsid w:val="00827E79"/>
    <w:rsid w:val="0083245D"/>
    <w:rsid w:val="00832AF3"/>
    <w:rsid w:val="0083482B"/>
    <w:rsid w:val="00834A48"/>
    <w:rsid w:val="00834F5A"/>
    <w:rsid w:val="00835BAE"/>
    <w:rsid w:val="0083738C"/>
    <w:rsid w:val="008404CB"/>
    <w:rsid w:val="00841311"/>
    <w:rsid w:val="00841B16"/>
    <w:rsid w:val="0084301F"/>
    <w:rsid w:val="008449D7"/>
    <w:rsid w:val="00845D97"/>
    <w:rsid w:val="00847C9C"/>
    <w:rsid w:val="00850BEF"/>
    <w:rsid w:val="00853BC5"/>
    <w:rsid w:val="00854669"/>
    <w:rsid w:val="008561F1"/>
    <w:rsid w:val="008576C9"/>
    <w:rsid w:val="00860F3A"/>
    <w:rsid w:val="00864AB5"/>
    <w:rsid w:val="00866454"/>
    <w:rsid w:val="00866A3A"/>
    <w:rsid w:val="00870693"/>
    <w:rsid w:val="00870DF7"/>
    <w:rsid w:val="0087109B"/>
    <w:rsid w:val="0087134A"/>
    <w:rsid w:val="00871774"/>
    <w:rsid w:val="008751B7"/>
    <w:rsid w:val="008770B8"/>
    <w:rsid w:val="008813F1"/>
    <w:rsid w:val="008816F2"/>
    <w:rsid w:val="008833A7"/>
    <w:rsid w:val="008834A1"/>
    <w:rsid w:val="008836A6"/>
    <w:rsid w:val="008864B2"/>
    <w:rsid w:val="008869B0"/>
    <w:rsid w:val="008870D8"/>
    <w:rsid w:val="008908B7"/>
    <w:rsid w:val="00892684"/>
    <w:rsid w:val="00893806"/>
    <w:rsid w:val="008969E5"/>
    <w:rsid w:val="008977A0"/>
    <w:rsid w:val="008A1344"/>
    <w:rsid w:val="008A1F6E"/>
    <w:rsid w:val="008A300E"/>
    <w:rsid w:val="008A3587"/>
    <w:rsid w:val="008A388F"/>
    <w:rsid w:val="008A39C1"/>
    <w:rsid w:val="008A3CAE"/>
    <w:rsid w:val="008A40A7"/>
    <w:rsid w:val="008A4412"/>
    <w:rsid w:val="008A596D"/>
    <w:rsid w:val="008A5C1C"/>
    <w:rsid w:val="008A7100"/>
    <w:rsid w:val="008A7120"/>
    <w:rsid w:val="008A76AB"/>
    <w:rsid w:val="008A7FE9"/>
    <w:rsid w:val="008B167A"/>
    <w:rsid w:val="008B1F8B"/>
    <w:rsid w:val="008B360C"/>
    <w:rsid w:val="008B37C1"/>
    <w:rsid w:val="008B4061"/>
    <w:rsid w:val="008B4442"/>
    <w:rsid w:val="008B543B"/>
    <w:rsid w:val="008B5485"/>
    <w:rsid w:val="008B7AEF"/>
    <w:rsid w:val="008B7D2E"/>
    <w:rsid w:val="008C0B3D"/>
    <w:rsid w:val="008C1610"/>
    <w:rsid w:val="008C18BA"/>
    <w:rsid w:val="008C35E1"/>
    <w:rsid w:val="008C464C"/>
    <w:rsid w:val="008C6147"/>
    <w:rsid w:val="008C6F41"/>
    <w:rsid w:val="008D0653"/>
    <w:rsid w:val="008D0ACC"/>
    <w:rsid w:val="008D114E"/>
    <w:rsid w:val="008D20CA"/>
    <w:rsid w:val="008D2B49"/>
    <w:rsid w:val="008D47DE"/>
    <w:rsid w:val="008D6DB4"/>
    <w:rsid w:val="008E00F0"/>
    <w:rsid w:val="008E1B5E"/>
    <w:rsid w:val="008E26AF"/>
    <w:rsid w:val="008E2D16"/>
    <w:rsid w:val="008E3D00"/>
    <w:rsid w:val="008E3FAD"/>
    <w:rsid w:val="008E493F"/>
    <w:rsid w:val="008E4D85"/>
    <w:rsid w:val="008E5854"/>
    <w:rsid w:val="008E74AD"/>
    <w:rsid w:val="008E7562"/>
    <w:rsid w:val="008E7F5D"/>
    <w:rsid w:val="008F03B5"/>
    <w:rsid w:val="008F050D"/>
    <w:rsid w:val="008F1400"/>
    <w:rsid w:val="008F2005"/>
    <w:rsid w:val="008F25C7"/>
    <w:rsid w:val="008F31D4"/>
    <w:rsid w:val="008F4E9C"/>
    <w:rsid w:val="008F5AD0"/>
    <w:rsid w:val="00901F2D"/>
    <w:rsid w:val="00903499"/>
    <w:rsid w:val="00903731"/>
    <w:rsid w:val="00903C25"/>
    <w:rsid w:val="009054CE"/>
    <w:rsid w:val="00906514"/>
    <w:rsid w:val="00910BBF"/>
    <w:rsid w:val="009115BC"/>
    <w:rsid w:val="009121DC"/>
    <w:rsid w:val="00913B89"/>
    <w:rsid w:val="00913C0A"/>
    <w:rsid w:val="00913EA4"/>
    <w:rsid w:val="009151AA"/>
    <w:rsid w:val="009157D0"/>
    <w:rsid w:val="00916C3C"/>
    <w:rsid w:val="009206F1"/>
    <w:rsid w:val="0092085C"/>
    <w:rsid w:val="00920CF8"/>
    <w:rsid w:val="00920D16"/>
    <w:rsid w:val="00920E8D"/>
    <w:rsid w:val="009218D5"/>
    <w:rsid w:val="00921D63"/>
    <w:rsid w:val="0092212D"/>
    <w:rsid w:val="0092252C"/>
    <w:rsid w:val="0092283B"/>
    <w:rsid w:val="00922B3A"/>
    <w:rsid w:val="009230D8"/>
    <w:rsid w:val="009234E7"/>
    <w:rsid w:val="00923CFB"/>
    <w:rsid w:val="00923CFE"/>
    <w:rsid w:val="00924138"/>
    <w:rsid w:val="00924A93"/>
    <w:rsid w:val="00925862"/>
    <w:rsid w:val="00926BA1"/>
    <w:rsid w:val="00930428"/>
    <w:rsid w:val="00930EC6"/>
    <w:rsid w:val="009323E5"/>
    <w:rsid w:val="0093242E"/>
    <w:rsid w:val="00932B0D"/>
    <w:rsid w:val="00933181"/>
    <w:rsid w:val="00933B7F"/>
    <w:rsid w:val="009341DD"/>
    <w:rsid w:val="009353B2"/>
    <w:rsid w:val="00935858"/>
    <w:rsid w:val="009414DE"/>
    <w:rsid w:val="00941847"/>
    <w:rsid w:val="00941AA9"/>
    <w:rsid w:val="0094335F"/>
    <w:rsid w:val="00944E7E"/>
    <w:rsid w:val="00945473"/>
    <w:rsid w:val="009460B7"/>
    <w:rsid w:val="00946218"/>
    <w:rsid w:val="009467BD"/>
    <w:rsid w:val="00946EE0"/>
    <w:rsid w:val="00947E33"/>
    <w:rsid w:val="00950F16"/>
    <w:rsid w:val="00952307"/>
    <w:rsid w:val="009529E9"/>
    <w:rsid w:val="009533E5"/>
    <w:rsid w:val="0095612F"/>
    <w:rsid w:val="00956C0B"/>
    <w:rsid w:val="00956EA2"/>
    <w:rsid w:val="0095700E"/>
    <w:rsid w:val="009578CD"/>
    <w:rsid w:val="00960209"/>
    <w:rsid w:val="00960AB0"/>
    <w:rsid w:val="00961902"/>
    <w:rsid w:val="00961C01"/>
    <w:rsid w:val="00962658"/>
    <w:rsid w:val="00963948"/>
    <w:rsid w:val="00963AF4"/>
    <w:rsid w:val="00965638"/>
    <w:rsid w:val="00967528"/>
    <w:rsid w:val="00970EDB"/>
    <w:rsid w:val="00972CC9"/>
    <w:rsid w:val="00972F1D"/>
    <w:rsid w:val="009734EC"/>
    <w:rsid w:val="009772D3"/>
    <w:rsid w:val="009778C0"/>
    <w:rsid w:val="00977B05"/>
    <w:rsid w:val="00980AB1"/>
    <w:rsid w:val="009813F5"/>
    <w:rsid w:val="0098168D"/>
    <w:rsid w:val="0098215E"/>
    <w:rsid w:val="00984083"/>
    <w:rsid w:val="00984B38"/>
    <w:rsid w:val="00985349"/>
    <w:rsid w:val="009853A9"/>
    <w:rsid w:val="00986278"/>
    <w:rsid w:val="00986785"/>
    <w:rsid w:val="00986992"/>
    <w:rsid w:val="00987A9A"/>
    <w:rsid w:val="0099060C"/>
    <w:rsid w:val="00990B32"/>
    <w:rsid w:val="00991602"/>
    <w:rsid w:val="00991D29"/>
    <w:rsid w:val="009922C9"/>
    <w:rsid w:val="0099393C"/>
    <w:rsid w:val="00993B54"/>
    <w:rsid w:val="0099428B"/>
    <w:rsid w:val="0099430E"/>
    <w:rsid w:val="009948C1"/>
    <w:rsid w:val="00995A70"/>
    <w:rsid w:val="00997AC7"/>
    <w:rsid w:val="009A044E"/>
    <w:rsid w:val="009A08CA"/>
    <w:rsid w:val="009A1E90"/>
    <w:rsid w:val="009A28E9"/>
    <w:rsid w:val="009A2E77"/>
    <w:rsid w:val="009A3D21"/>
    <w:rsid w:val="009A5200"/>
    <w:rsid w:val="009A56FC"/>
    <w:rsid w:val="009A5852"/>
    <w:rsid w:val="009A698D"/>
    <w:rsid w:val="009A6AA2"/>
    <w:rsid w:val="009B00D0"/>
    <w:rsid w:val="009B015D"/>
    <w:rsid w:val="009B0248"/>
    <w:rsid w:val="009B0675"/>
    <w:rsid w:val="009B06F3"/>
    <w:rsid w:val="009B07F4"/>
    <w:rsid w:val="009B105C"/>
    <w:rsid w:val="009B1191"/>
    <w:rsid w:val="009B20A4"/>
    <w:rsid w:val="009B34F7"/>
    <w:rsid w:val="009B42ED"/>
    <w:rsid w:val="009B4ECC"/>
    <w:rsid w:val="009B59AA"/>
    <w:rsid w:val="009B7361"/>
    <w:rsid w:val="009B75F2"/>
    <w:rsid w:val="009B7800"/>
    <w:rsid w:val="009C2AA3"/>
    <w:rsid w:val="009C410D"/>
    <w:rsid w:val="009C4684"/>
    <w:rsid w:val="009C4E0C"/>
    <w:rsid w:val="009C64ED"/>
    <w:rsid w:val="009C6600"/>
    <w:rsid w:val="009C6A27"/>
    <w:rsid w:val="009D0413"/>
    <w:rsid w:val="009D082A"/>
    <w:rsid w:val="009D159C"/>
    <w:rsid w:val="009D1711"/>
    <w:rsid w:val="009D1D4A"/>
    <w:rsid w:val="009D53E4"/>
    <w:rsid w:val="009D6009"/>
    <w:rsid w:val="009D6BCB"/>
    <w:rsid w:val="009D7343"/>
    <w:rsid w:val="009D73ED"/>
    <w:rsid w:val="009D786C"/>
    <w:rsid w:val="009E4956"/>
    <w:rsid w:val="009E49DF"/>
    <w:rsid w:val="009E4C14"/>
    <w:rsid w:val="009E61FD"/>
    <w:rsid w:val="009E731A"/>
    <w:rsid w:val="009E7AEF"/>
    <w:rsid w:val="009F01D0"/>
    <w:rsid w:val="009F2B99"/>
    <w:rsid w:val="009F2F4A"/>
    <w:rsid w:val="009F4985"/>
    <w:rsid w:val="009F4BE8"/>
    <w:rsid w:val="009F5BD1"/>
    <w:rsid w:val="009F5F60"/>
    <w:rsid w:val="00A00618"/>
    <w:rsid w:val="00A01FC3"/>
    <w:rsid w:val="00A0314D"/>
    <w:rsid w:val="00A03184"/>
    <w:rsid w:val="00A032E8"/>
    <w:rsid w:val="00A035F8"/>
    <w:rsid w:val="00A03BC4"/>
    <w:rsid w:val="00A03F6D"/>
    <w:rsid w:val="00A041C8"/>
    <w:rsid w:val="00A044C8"/>
    <w:rsid w:val="00A04D64"/>
    <w:rsid w:val="00A0583E"/>
    <w:rsid w:val="00A064C0"/>
    <w:rsid w:val="00A075E0"/>
    <w:rsid w:val="00A07BFB"/>
    <w:rsid w:val="00A120FA"/>
    <w:rsid w:val="00A123F4"/>
    <w:rsid w:val="00A1327B"/>
    <w:rsid w:val="00A1393D"/>
    <w:rsid w:val="00A149CF"/>
    <w:rsid w:val="00A14EAE"/>
    <w:rsid w:val="00A155F6"/>
    <w:rsid w:val="00A157F4"/>
    <w:rsid w:val="00A15BBF"/>
    <w:rsid w:val="00A16A2C"/>
    <w:rsid w:val="00A1769B"/>
    <w:rsid w:val="00A1786A"/>
    <w:rsid w:val="00A1789D"/>
    <w:rsid w:val="00A20833"/>
    <w:rsid w:val="00A2122A"/>
    <w:rsid w:val="00A219F0"/>
    <w:rsid w:val="00A21D4E"/>
    <w:rsid w:val="00A220D8"/>
    <w:rsid w:val="00A231A4"/>
    <w:rsid w:val="00A23AE4"/>
    <w:rsid w:val="00A23F59"/>
    <w:rsid w:val="00A241E8"/>
    <w:rsid w:val="00A246BE"/>
    <w:rsid w:val="00A24F68"/>
    <w:rsid w:val="00A24FC3"/>
    <w:rsid w:val="00A27141"/>
    <w:rsid w:val="00A27757"/>
    <w:rsid w:val="00A30604"/>
    <w:rsid w:val="00A314D4"/>
    <w:rsid w:val="00A331A3"/>
    <w:rsid w:val="00A33250"/>
    <w:rsid w:val="00A3498B"/>
    <w:rsid w:val="00A3585E"/>
    <w:rsid w:val="00A366F3"/>
    <w:rsid w:val="00A373E6"/>
    <w:rsid w:val="00A37BE6"/>
    <w:rsid w:val="00A4305C"/>
    <w:rsid w:val="00A4332F"/>
    <w:rsid w:val="00A4403E"/>
    <w:rsid w:val="00A4434E"/>
    <w:rsid w:val="00A448AE"/>
    <w:rsid w:val="00A45F0F"/>
    <w:rsid w:val="00A47087"/>
    <w:rsid w:val="00A51D4D"/>
    <w:rsid w:val="00A52AA4"/>
    <w:rsid w:val="00A55A11"/>
    <w:rsid w:val="00A56DC9"/>
    <w:rsid w:val="00A60839"/>
    <w:rsid w:val="00A60864"/>
    <w:rsid w:val="00A6179E"/>
    <w:rsid w:val="00A61EDF"/>
    <w:rsid w:val="00A62CEE"/>
    <w:rsid w:val="00A62EB1"/>
    <w:rsid w:val="00A63702"/>
    <w:rsid w:val="00A64BC9"/>
    <w:rsid w:val="00A67589"/>
    <w:rsid w:val="00A708CF"/>
    <w:rsid w:val="00A709CE"/>
    <w:rsid w:val="00A71F50"/>
    <w:rsid w:val="00A73068"/>
    <w:rsid w:val="00A7445B"/>
    <w:rsid w:val="00A755AD"/>
    <w:rsid w:val="00A75C3C"/>
    <w:rsid w:val="00A75D19"/>
    <w:rsid w:val="00A7603B"/>
    <w:rsid w:val="00A760A3"/>
    <w:rsid w:val="00A77CD6"/>
    <w:rsid w:val="00A81C14"/>
    <w:rsid w:val="00A82624"/>
    <w:rsid w:val="00A8274D"/>
    <w:rsid w:val="00A82F98"/>
    <w:rsid w:val="00A830F1"/>
    <w:rsid w:val="00A834B3"/>
    <w:rsid w:val="00A83EBD"/>
    <w:rsid w:val="00A84BF3"/>
    <w:rsid w:val="00A86AA5"/>
    <w:rsid w:val="00A90C08"/>
    <w:rsid w:val="00A91848"/>
    <w:rsid w:val="00A91D85"/>
    <w:rsid w:val="00A9263A"/>
    <w:rsid w:val="00A92967"/>
    <w:rsid w:val="00A93899"/>
    <w:rsid w:val="00A938BB"/>
    <w:rsid w:val="00A93ECE"/>
    <w:rsid w:val="00A93F38"/>
    <w:rsid w:val="00A9421C"/>
    <w:rsid w:val="00A94909"/>
    <w:rsid w:val="00A96E4F"/>
    <w:rsid w:val="00AA0DCE"/>
    <w:rsid w:val="00AA0E61"/>
    <w:rsid w:val="00AA10C2"/>
    <w:rsid w:val="00AA19B6"/>
    <w:rsid w:val="00AA2FF7"/>
    <w:rsid w:val="00AA51B7"/>
    <w:rsid w:val="00AA76C4"/>
    <w:rsid w:val="00AB0D0E"/>
    <w:rsid w:val="00AB109C"/>
    <w:rsid w:val="00AB1122"/>
    <w:rsid w:val="00AB223C"/>
    <w:rsid w:val="00AB2306"/>
    <w:rsid w:val="00AB3A2B"/>
    <w:rsid w:val="00AB3B36"/>
    <w:rsid w:val="00AB445D"/>
    <w:rsid w:val="00AB6CF8"/>
    <w:rsid w:val="00AB7D6D"/>
    <w:rsid w:val="00AC10B3"/>
    <w:rsid w:val="00AC2565"/>
    <w:rsid w:val="00AC3328"/>
    <w:rsid w:val="00AC3BC7"/>
    <w:rsid w:val="00AC5C02"/>
    <w:rsid w:val="00AC6811"/>
    <w:rsid w:val="00AC72E6"/>
    <w:rsid w:val="00AD06E8"/>
    <w:rsid w:val="00AD0C11"/>
    <w:rsid w:val="00AD0D97"/>
    <w:rsid w:val="00AD259E"/>
    <w:rsid w:val="00AD3331"/>
    <w:rsid w:val="00AD4D7E"/>
    <w:rsid w:val="00AD62CD"/>
    <w:rsid w:val="00AE053E"/>
    <w:rsid w:val="00AE2C2C"/>
    <w:rsid w:val="00AE34B0"/>
    <w:rsid w:val="00AE374D"/>
    <w:rsid w:val="00AE38E5"/>
    <w:rsid w:val="00AE3BAD"/>
    <w:rsid w:val="00AE5189"/>
    <w:rsid w:val="00AE5922"/>
    <w:rsid w:val="00AE6156"/>
    <w:rsid w:val="00AE6974"/>
    <w:rsid w:val="00AE6F0E"/>
    <w:rsid w:val="00AE7259"/>
    <w:rsid w:val="00AF0FBB"/>
    <w:rsid w:val="00AF276E"/>
    <w:rsid w:val="00AF311A"/>
    <w:rsid w:val="00AF448B"/>
    <w:rsid w:val="00AF4831"/>
    <w:rsid w:val="00AF50E8"/>
    <w:rsid w:val="00AF5234"/>
    <w:rsid w:val="00AF573F"/>
    <w:rsid w:val="00AF59E6"/>
    <w:rsid w:val="00AF5CD3"/>
    <w:rsid w:val="00AF63F2"/>
    <w:rsid w:val="00B00332"/>
    <w:rsid w:val="00B0039C"/>
    <w:rsid w:val="00B01737"/>
    <w:rsid w:val="00B0213A"/>
    <w:rsid w:val="00B031E1"/>
    <w:rsid w:val="00B039B7"/>
    <w:rsid w:val="00B03E80"/>
    <w:rsid w:val="00B061B6"/>
    <w:rsid w:val="00B07993"/>
    <w:rsid w:val="00B07F57"/>
    <w:rsid w:val="00B10393"/>
    <w:rsid w:val="00B111AE"/>
    <w:rsid w:val="00B11225"/>
    <w:rsid w:val="00B112CC"/>
    <w:rsid w:val="00B11890"/>
    <w:rsid w:val="00B1189F"/>
    <w:rsid w:val="00B11A9F"/>
    <w:rsid w:val="00B17BC2"/>
    <w:rsid w:val="00B2004B"/>
    <w:rsid w:val="00B20263"/>
    <w:rsid w:val="00B23782"/>
    <w:rsid w:val="00B23A68"/>
    <w:rsid w:val="00B24E90"/>
    <w:rsid w:val="00B2567D"/>
    <w:rsid w:val="00B26F5F"/>
    <w:rsid w:val="00B271C0"/>
    <w:rsid w:val="00B27FB6"/>
    <w:rsid w:val="00B301CF"/>
    <w:rsid w:val="00B320C2"/>
    <w:rsid w:val="00B3250A"/>
    <w:rsid w:val="00B33942"/>
    <w:rsid w:val="00B36588"/>
    <w:rsid w:val="00B403F0"/>
    <w:rsid w:val="00B40924"/>
    <w:rsid w:val="00B40D2C"/>
    <w:rsid w:val="00B4134A"/>
    <w:rsid w:val="00B413F2"/>
    <w:rsid w:val="00B4218E"/>
    <w:rsid w:val="00B42352"/>
    <w:rsid w:val="00B45E7D"/>
    <w:rsid w:val="00B46B37"/>
    <w:rsid w:val="00B4769F"/>
    <w:rsid w:val="00B502C9"/>
    <w:rsid w:val="00B5099B"/>
    <w:rsid w:val="00B510E5"/>
    <w:rsid w:val="00B530B1"/>
    <w:rsid w:val="00B540AF"/>
    <w:rsid w:val="00B55A6A"/>
    <w:rsid w:val="00B55CD5"/>
    <w:rsid w:val="00B56ECB"/>
    <w:rsid w:val="00B604B0"/>
    <w:rsid w:val="00B61884"/>
    <w:rsid w:val="00B61BDD"/>
    <w:rsid w:val="00B61DD6"/>
    <w:rsid w:val="00B6329C"/>
    <w:rsid w:val="00B632E7"/>
    <w:rsid w:val="00B64B14"/>
    <w:rsid w:val="00B64FD8"/>
    <w:rsid w:val="00B666B9"/>
    <w:rsid w:val="00B70BAF"/>
    <w:rsid w:val="00B719F6"/>
    <w:rsid w:val="00B72A43"/>
    <w:rsid w:val="00B72A5B"/>
    <w:rsid w:val="00B7475B"/>
    <w:rsid w:val="00B76BE7"/>
    <w:rsid w:val="00B76CDF"/>
    <w:rsid w:val="00B806F8"/>
    <w:rsid w:val="00B80A47"/>
    <w:rsid w:val="00B80F0E"/>
    <w:rsid w:val="00B80F79"/>
    <w:rsid w:val="00B81B1E"/>
    <w:rsid w:val="00B8243F"/>
    <w:rsid w:val="00B8385A"/>
    <w:rsid w:val="00B84A5E"/>
    <w:rsid w:val="00B85ADB"/>
    <w:rsid w:val="00B86886"/>
    <w:rsid w:val="00B86E65"/>
    <w:rsid w:val="00B86F9E"/>
    <w:rsid w:val="00B871AB"/>
    <w:rsid w:val="00B87941"/>
    <w:rsid w:val="00B91E16"/>
    <w:rsid w:val="00B920F8"/>
    <w:rsid w:val="00B93B04"/>
    <w:rsid w:val="00B93E0E"/>
    <w:rsid w:val="00B94135"/>
    <w:rsid w:val="00B96292"/>
    <w:rsid w:val="00BA018A"/>
    <w:rsid w:val="00BA1C5B"/>
    <w:rsid w:val="00BA1CAD"/>
    <w:rsid w:val="00BA3953"/>
    <w:rsid w:val="00BA5185"/>
    <w:rsid w:val="00BA530C"/>
    <w:rsid w:val="00BA7E6A"/>
    <w:rsid w:val="00BB0AA2"/>
    <w:rsid w:val="00BB1B19"/>
    <w:rsid w:val="00BB2104"/>
    <w:rsid w:val="00BB2C8B"/>
    <w:rsid w:val="00BB3D13"/>
    <w:rsid w:val="00BB5251"/>
    <w:rsid w:val="00BB5694"/>
    <w:rsid w:val="00BB64CE"/>
    <w:rsid w:val="00BB675F"/>
    <w:rsid w:val="00BB6857"/>
    <w:rsid w:val="00BB7FF0"/>
    <w:rsid w:val="00BC155A"/>
    <w:rsid w:val="00BC1BDA"/>
    <w:rsid w:val="00BC1CD7"/>
    <w:rsid w:val="00BC294C"/>
    <w:rsid w:val="00BC3240"/>
    <w:rsid w:val="00BC3467"/>
    <w:rsid w:val="00BC3E56"/>
    <w:rsid w:val="00BC46A0"/>
    <w:rsid w:val="00BC475A"/>
    <w:rsid w:val="00BC5700"/>
    <w:rsid w:val="00BC5777"/>
    <w:rsid w:val="00BC6BB4"/>
    <w:rsid w:val="00BC6BF6"/>
    <w:rsid w:val="00BD079E"/>
    <w:rsid w:val="00BD0C79"/>
    <w:rsid w:val="00BD1CAA"/>
    <w:rsid w:val="00BD45FC"/>
    <w:rsid w:val="00BD498D"/>
    <w:rsid w:val="00BD6A0F"/>
    <w:rsid w:val="00BD6DF6"/>
    <w:rsid w:val="00BD7373"/>
    <w:rsid w:val="00BD73CC"/>
    <w:rsid w:val="00BD7A97"/>
    <w:rsid w:val="00BE1055"/>
    <w:rsid w:val="00BE1FF6"/>
    <w:rsid w:val="00BE31E2"/>
    <w:rsid w:val="00BE4094"/>
    <w:rsid w:val="00BE4FAE"/>
    <w:rsid w:val="00BE7CE1"/>
    <w:rsid w:val="00BE7D32"/>
    <w:rsid w:val="00BF0181"/>
    <w:rsid w:val="00BF2020"/>
    <w:rsid w:val="00BF325C"/>
    <w:rsid w:val="00BF3A4A"/>
    <w:rsid w:val="00BF4663"/>
    <w:rsid w:val="00BF49EA"/>
    <w:rsid w:val="00BF5DFB"/>
    <w:rsid w:val="00C022EB"/>
    <w:rsid w:val="00C03B73"/>
    <w:rsid w:val="00C048C1"/>
    <w:rsid w:val="00C04B01"/>
    <w:rsid w:val="00C04F7C"/>
    <w:rsid w:val="00C05C62"/>
    <w:rsid w:val="00C05D9C"/>
    <w:rsid w:val="00C0668D"/>
    <w:rsid w:val="00C07617"/>
    <w:rsid w:val="00C07C7C"/>
    <w:rsid w:val="00C11C3D"/>
    <w:rsid w:val="00C122B0"/>
    <w:rsid w:val="00C1248D"/>
    <w:rsid w:val="00C12721"/>
    <w:rsid w:val="00C1282A"/>
    <w:rsid w:val="00C134C6"/>
    <w:rsid w:val="00C144DD"/>
    <w:rsid w:val="00C14A3F"/>
    <w:rsid w:val="00C153E1"/>
    <w:rsid w:val="00C1657E"/>
    <w:rsid w:val="00C17BD5"/>
    <w:rsid w:val="00C17CC7"/>
    <w:rsid w:val="00C20944"/>
    <w:rsid w:val="00C20C3E"/>
    <w:rsid w:val="00C20F09"/>
    <w:rsid w:val="00C20F27"/>
    <w:rsid w:val="00C216AD"/>
    <w:rsid w:val="00C21FA1"/>
    <w:rsid w:val="00C2468A"/>
    <w:rsid w:val="00C24E19"/>
    <w:rsid w:val="00C2677A"/>
    <w:rsid w:val="00C26ADD"/>
    <w:rsid w:val="00C26D03"/>
    <w:rsid w:val="00C279F5"/>
    <w:rsid w:val="00C30A66"/>
    <w:rsid w:val="00C3217B"/>
    <w:rsid w:val="00C325AB"/>
    <w:rsid w:val="00C34015"/>
    <w:rsid w:val="00C35737"/>
    <w:rsid w:val="00C36D6E"/>
    <w:rsid w:val="00C3734C"/>
    <w:rsid w:val="00C37CC2"/>
    <w:rsid w:val="00C40DA2"/>
    <w:rsid w:val="00C415A9"/>
    <w:rsid w:val="00C428AB"/>
    <w:rsid w:val="00C4660E"/>
    <w:rsid w:val="00C50F9C"/>
    <w:rsid w:val="00C519F7"/>
    <w:rsid w:val="00C54DF2"/>
    <w:rsid w:val="00C55EB8"/>
    <w:rsid w:val="00C56831"/>
    <w:rsid w:val="00C57BB7"/>
    <w:rsid w:val="00C61727"/>
    <w:rsid w:val="00C61F6D"/>
    <w:rsid w:val="00C6235F"/>
    <w:rsid w:val="00C6478C"/>
    <w:rsid w:val="00C655FE"/>
    <w:rsid w:val="00C65768"/>
    <w:rsid w:val="00C65CAA"/>
    <w:rsid w:val="00C66768"/>
    <w:rsid w:val="00C70117"/>
    <w:rsid w:val="00C713FF"/>
    <w:rsid w:val="00C71AEE"/>
    <w:rsid w:val="00C729D2"/>
    <w:rsid w:val="00C74689"/>
    <w:rsid w:val="00C746F4"/>
    <w:rsid w:val="00C748AE"/>
    <w:rsid w:val="00C74D1F"/>
    <w:rsid w:val="00C75AF8"/>
    <w:rsid w:val="00C76CA6"/>
    <w:rsid w:val="00C80285"/>
    <w:rsid w:val="00C828EB"/>
    <w:rsid w:val="00C83196"/>
    <w:rsid w:val="00C83820"/>
    <w:rsid w:val="00C84B0E"/>
    <w:rsid w:val="00C84DA6"/>
    <w:rsid w:val="00C84E98"/>
    <w:rsid w:val="00C85CC1"/>
    <w:rsid w:val="00C8653F"/>
    <w:rsid w:val="00C867D6"/>
    <w:rsid w:val="00C86E71"/>
    <w:rsid w:val="00C87075"/>
    <w:rsid w:val="00C902DB"/>
    <w:rsid w:val="00C90A73"/>
    <w:rsid w:val="00C92812"/>
    <w:rsid w:val="00C940E1"/>
    <w:rsid w:val="00C94BEE"/>
    <w:rsid w:val="00C97163"/>
    <w:rsid w:val="00C97522"/>
    <w:rsid w:val="00CA12D7"/>
    <w:rsid w:val="00CA279C"/>
    <w:rsid w:val="00CA30B4"/>
    <w:rsid w:val="00CA336A"/>
    <w:rsid w:val="00CA3DC9"/>
    <w:rsid w:val="00CA530A"/>
    <w:rsid w:val="00CA56A2"/>
    <w:rsid w:val="00CA5D4F"/>
    <w:rsid w:val="00CA6003"/>
    <w:rsid w:val="00CA6CA4"/>
    <w:rsid w:val="00CB1CEA"/>
    <w:rsid w:val="00CB3116"/>
    <w:rsid w:val="00CB3607"/>
    <w:rsid w:val="00CB391E"/>
    <w:rsid w:val="00CB5D82"/>
    <w:rsid w:val="00CB5F91"/>
    <w:rsid w:val="00CB68B1"/>
    <w:rsid w:val="00CB7E2D"/>
    <w:rsid w:val="00CC09D0"/>
    <w:rsid w:val="00CC137F"/>
    <w:rsid w:val="00CC319F"/>
    <w:rsid w:val="00CC423F"/>
    <w:rsid w:val="00CC4855"/>
    <w:rsid w:val="00CC4B2F"/>
    <w:rsid w:val="00CC4E09"/>
    <w:rsid w:val="00CC5F1A"/>
    <w:rsid w:val="00CC5FB9"/>
    <w:rsid w:val="00CC79FF"/>
    <w:rsid w:val="00CD0EC8"/>
    <w:rsid w:val="00CD1550"/>
    <w:rsid w:val="00CD2374"/>
    <w:rsid w:val="00CD48A8"/>
    <w:rsid w:val="00CD4EFC"/>
    <w:rsid w:val="00CD50F7"/>
    <w:rsid w:val="00CD5192"/>
    <w:rsid w:val="00CD56EC"/>
    <w:rsid w:val="00CD5C9B"/>
    <w:rsid w:val="00CD7A04"/>
    <w:rsid w:val="00CE0236"/>
    <w:rsid w:val="00CE43B3"/>
    <w:rsid w:val="00CE678E"/>
    <w:rsid w:val="00CE6B6D"/>
    <w:rsid w:val="00CE6C43"/>
    <w:rsid w:val="00CE789C"/>
    <w:rsid w:val="00CF08E0"/>
    <w:rsid w:val="00CF206C"/>
    <w:rsid w:val="00CF288F"/>
    <w:rsid w:val="00CF367D"/>
    <w:rsid w:val="00CF449E"/>
    <w:rsid w:val="00CF4E10"/>
    <w:rsid w:val="00CF595B"/>
    <w:rsid w:val="00CF62EB"/>
    <w:rsid w:val="00CF680F"/>
    <w:rsid w:val="00CF6EC0"/>
    <w:rsid w:val="00CF7143"/>
    <w:rsid w:val="00D006EC"/>
    <w:rsid w:val="00D008E8"/>
    <w:rsid w:val="00D01E8D"/>
    <w:rsid w:val="00D04DC8"/>
    <w:rsid w:val="00D05213"/>
    <w:rsid w:val="00D07347"/>
    <w:rsid w:val="00D07AA7"/>
    <w:rsid w:val="00D1040E"/>
    <w:rsid w:val="00D110A5"/>
    <w:rsid w:val="00D11152"/>
    <w:rsid w:val="00D137AE"/>
    <w:rsid w:val="00D13CC1"/>
    <w:rsid w:val="00D14F81"/>
    <w:rsid w:val="00D163BA"/>
    <w:rsid w:val="00D164B6"/>
    <w:rsid w:val="00D164EB"/>
    <w:rsid w:val="00D17340"/>
    <w:rsid w:val="00D175D4"/>
    <w:rsid w:val="00D20F0D"/>
    <w:rsid w:val="00D22D0C"/>
    <w:rsid w:val="00D23B7E"/>
    <w:rsid w:val="00D256C7"/>
    <w:rsid w:val="00D26484"/>
    <w:rsid w:val="00D27357"/>
    <w:rsid w:val="00D32210"/>
    <w:rsid w:val="00D32FDB"/>
    <w:rsid w:val="00D33821"/>
    <w:rsid w:val="00D3447D"/>
    <w:rsid w:val="00D35ACA"/>
    <w:rsid w:val="00D35D3A"/>
    <w:rsid w:val="00D36540"/>
    <w:rsid w:val="00D448AB"/>
    <w:rsid w:val="00D45687"/>
    <w:rsid w:val="00D53F1C"/>
    <w:rsid w:val="00D5449F"/>
    <w:rsid w:val="00D5465E"/>
    <w:rsid w:val="00D54867"/>
    <w:rsid w:val="00D54966"/>
    <w:rsid w:val="00D55068"/>
    <w:rsid w:val="00D562E0"/>
    <w:rsid w:val="00D56496"/>
    <w:rsid w:val="00D565E0"/>
    <w:rsid w:val="00D56631"/>
    <w:rsid w:val="00D57CF5"/>
    <w:rsid w:val="00D6094C"/>
    <w:rsid w:val="00D60B6B"/>
    <w:rsid w:val="00D61556"/>
    <w:rsid w:val="00D61F1E"/>
    <w:rsid w:val="00D64718"/>
    <w:rsid w:val="00D64D33"/>
    <w:rsid w:val="00D65597"/>
    <w:rsid w:val="00D65DF6"/>
    <w:rsid w:val="00D6697F"/>
    <w:rsid w:val="00D66F09"/>
    <w:rsid w:val="00D67256"/>
    <w:rsid w:val="00D672AF"/>
    <w:rsid w:val="00D67963"/>
    <w:rsid w:val="00D67D0F"/>
    <w:rsid w:val="00D67E70"/>
    <w:rsid w:val="00D70003"/>
    <w:rsid w:val="00D70A15"/>
    <w:rsid w:val="00D70E69"/>
    <w:rsid w:val="00D70F5B"/>
    <w:rsid w:val="00D7204D"/>
    <w:rsid w:val="00D72DE4"/>
    <w:rsid w:val="00D73D65"/>
    <w:rsid w:val="00D7505B"/>
    <w:rsid w:val="00D76249"/>
    <w:rsid w:val="00D76BD2"/>
    <w:rsid w:val="00D774AC"/>
    <w:rsid w:val="00D776EA"/>
    <w:rsid w:val="00D80AF9"/>
    <w:rsid w:val="00D80FA3"/>
    <w:rsid w:val="00D81C9C"/>
    <w:rsid w:val="00D82CE9"/>
    <w:rsid w:val="00D83D85"/>
    <w:rsid w:val="00D842C4"/>
    <w:rsid w:val="00D863E3"/>
    <w:rsid w:val="00D86450"/>
    <w:rsid w:val="00D8687F"/>
    <w:rsid w:val="00D87236"/>
    <w:rsid w:val="00D90131"/>
    <w:rsid w:val="00D90659"/>
    <w:rsid w:val="00D91123"/>
    <w:rsid w:val="00D91761"/>
    <w:rsid w:val="00D92C62"/>
    <w:rsid w:val="00D93EB5"/>
    <w:rsid w:val="00D9458C"/>
    <w:rsid w:val="00D94782"/>
    <w:rsid w:val="00D959BE"/>
    <w:rsid w:val="00D95EA1"/>
    <w:rsid w:val="00DA00F5"/>
    <w:rsid w:val="00DA1611"/>
    <w:rsid w:val="00DA1D39"/>
    <w:rsid w:val="00DA2F54"/>
    <w:rsid w:val="00DA3666"/>
    <w:rsid w:val="00DA3CA9"/>
    <w:rsid w:val="00DA4286"/>
    <w:rsid w:val="00DA576E"/>
    <w:rsid w:val="00DA5F78"/>
    <w:rsid w:val="00DA6A67"/>
    <w:rsid w:val="00DA75AA"/>
    <w:rsid w:val="00DA7824"/>
    <w:rsid w:val="00DA7D8E"/>
    <w:rsid w:val="00DB0643"/>
    <w:rsid w:val="00DB0F2C"/>
    <w:rsid w:val="00DB1B2F"/>
    <w:rsid w:val="00DB28CD"/>
    <w:rsid w:val="00DB32BF"/>
    <w:rsid w:val="00DB5092"/>
    <w:rsid w:val="00DB58E2"/>
    <w:rsid w:val="00DB5BC2"/>
    <w:rsid w:val="00DC0B0C"/>
    <w:rsid w:val="00DC1DCC"/>
    <w:rsid w:val="00DC27D5"/>
    <w:rsid w:val="00DC372B"/>
    <w:rsid w:val="00DC3B81"/>
    <w:rsid w:val="00DC4268"/>
    <w:rsid w:val="00DC5F7B"/>
    <w:rsid w:val="00DC66F6"/>
    <w:rsid w:val="00DC66FE"/>
    <w:rsid w:val="00DC6A13"/>
    <w:rsid w:val="00DC7264"/>
    <w:rsid w:val="00DC7AA8"/>
    <w:rsid w:val="00DC7B26"/>
    <w:rsid w:val="00DC7E5D"/>
    <w:rsid w:val="00DD1515"/>
    <w:rsid w:val="00DD1729"/>
    <w:rsid w:val="00DD215D"/>
    <w:rsid w:val="00DD227D"/>
    <w:rsid w:val="00DD3F79"/>
    <w:rsid w:val="00DD3FBE"/>
    <w:rsid w:val="00DD4857"/>
    <w:rsid w:val="00DD5696"/>
    <w:rsid w:val="00DD6066"/>
    <w:rsid w:val="00DD6E86"/>
    <w:rsid w:val="00DD7B28"/>
    <w:rsid w:val="00DD7DF6"/>
    <w:rsid w:val="00DE11C8"/>
    <w:rsid w:val="00DE24E9"/>
    <w:rsid w:val="00DE3C49"/>
    <w:rsid w:val="00DE437D"/>
    <w:rsid w:val="00DE51E5"/>
    <w:rsid w:val="00DE683C"/>
    <w:rsid w:val="00DE775A"/>
    <w:rsid w:val="00DE7C99"/>
    <w:rsid w:val="00DE7CBA"/>
    <w:rsid w:val="00DF19C0"/>
    <w:rsid w:val="00DF3346"/>
    <w:rsid w:val="00DF38F8"/>
    <w:rsid w:val="00DF42EB"/>
    <w:rsid w:val="00DF4B52"/>
    <w:rsid w:val="00DF4BA3"/>
    <w:rsid w:val="00DF4D70"/>
    <w:rsid w:val="00DF4F56"/>
    <w:rsid w:val="00DF6459"/>
    <w:rsid w:val="00DF6DA2"/>
    <w:rsid w:val="00E000EF"/>
    <w:rsid w:val="00E00591"/>
    <w:rsid w:val="00E007AE"/>
    <w:rsid w:val="00E00B6B"/>
    <w:rsid w:val="00E00E89"/>
    <w:rsid w:val="00E02973"/>
    <w:rsid w:val="00E0655F"/>
    <w:rsid w:val="00E06DDB"/>
    <w:rsid w:val="00E0745F"/>
    <w:rsid w:val="00E0759E"/>
    <w:rsid w:val="00E12351"/>
    <w:rsid w:val="00E1385D"/>
    <w:rsid w:val="00E14DD6"/>
    <w:rsid w:val="00E14EFF"/>
    <w:rsid w:val="00E156C4"/>
    <w:rsid w:val="00E16709"/>
    <w:rsid w:val="00E1688E"/>
    <w:rsid w:val="00E16CD1"/>
    <w:rsid w:val="00E21064"/>
    <w:rsid w:val="00E2170D"/>
    <w:rsid w:val="00E2229F"/>
    <w:rsid w:val="00E224B5"/>
    <w:rsid w:val="00E228EC"/>
    <w:rsid w:val="00E23B3B"/>
    <w:rsid w:val="00E24079"/>
    <w:rsid w:val="00E24279"/>
    <w:rsid w:val="00E24C7F"/>
    <w:rsid w:val="00E25F05"/>
    <w:rsid w:val="00E26913"/>
    <w:rsid w:val="00E27933"/>
    <w:rsid w:val="00E27E72"/>
    <w:rsid w:val="00E3130F"/>
    <w:rsid w:val="00E32FD0"/>
    <w:rsid w:val="00E33486"/>
    <w:rsid w:val="00E336BF"/>
    <w:rsid w:val="00E34AFE"/>
    <w:rsid w:val="00E40EA6"/>
    <w:rsid w:val="00E429B8"/>
    <w:rsid w:val="00E42B5B"/>
    <w:rsid w:val="00E42BA6"/>
    <w:rsid w:val="00E4420E"/>
    <w:rsid w:val="00E44FA6"/>
    <w:rsid w:val="00E469D8"/>
    <w:rsid w:val="00E501CB"/>
    <w:rsid w:val="00E502D4"/>
    <w:rsid w:val="00E50590"/>
    <w:rsid w:val="00E52028"/>
    <w:rsid w:val="00E520C5"/>
    <w:rsid w:val="00E5379D"/>
    <w:rsid w:val="00E53C50"/>
    <w:rsid w:val="00E53EA8"/>
    <w:rsid w:val="00E5460A"/>
    <w:rsid w:val="00E546E4"/>
    <w:rsid w:val="00E5653B"/>
    <w:rsid w:val="00E56BE2"/>
    <w:rsid w:val="00E607C3"/>
    <w:rsid w:val="00E61439"/>
    <w:rsid w:val="00E6180B"/>
    <w:rsid w:val="00E61D0B"/>
    <w:rsid w:val="00E634D1"/>
    <w:rsid w:val="00E63D81"/>
    <w:rsid w:val="00E63FD9"/>
    <w:rsid w:val="00E6462F"/>
    <w:rsid w:val="00E6538E"/>
    <w:rsid w:val="00E65F4B"/>
    <w:rsid w:val="00E71F08"/>
    <w:rsid w:val="00E7219F"/>
    <w:rsid w:val="00E732A1"/>
    <w:rsid w:val="00E73D50"/>
    <w:rsid w:val="00E7401E"/>
    <w:rsid w:val="00E751EC"/>
    <w:rsid w:val="00E75CB3"/>
    <w:rsid w:val="00E806A2"/>
    <w:rsid w:val="00E81012"/>
    <w:rsid w:val="00E82D85"/>
    <w:rsid w:val="00E83916"/>
    <w:rsid w:val="00E83E7A"/>
    <w:rsid w:val="00E84362"/>
    <w:rsid w:val="00E8561A"/>
    <w:rsid w:val="00E860D3"/>
    <w:rsid w:val="00E90E9B"/>
    <w:rsid w:val="00E91DBA"/>
    <w:rsid w:val="00E93936"/>
    <w:rsid w:val="00E94FB4"/>
    <w:rsid w:val="00E95024"/>
    <w:rsid w:val="00E95DEF"/>
    <w:rsid w:val="00EA0369"/>
    <w:rsid w:val="00EA584F"/>
    <w:rsid w:val="00EA638C"/>
    <w:rsid w:val="00EA6667"/>
    <w:rsid w:val="00EA758A"/>
    <w:rsid w:val="00EA7976"/>
    <w:rsid w:val="00EA7B77"/>
    <w:rsid w:val="00EB1E23"/>
    <w:rsid w:val="00EB225B"/>
    <w:rsid w:val="00EB2E2D"/>
    <w:rsid w:val="00EB3F73"/>
    <w:rsid w:val="00EB5F5B"/>
    <w:rsid w:val="00EB6770"/>
    <w:rsid w:val="00EB6B43"/>
    <w:rsid w:val="00EC0F91"/>
    <w:rsid w:val="00EC139C"/>
    <w:rsid w:val="00EC14A8"/>
    <w:rsid w:val="00EC18A3"/>
    <w:rsid w:val="00EC3579"/>
    <w:rsid w:val="00EC47AC"/>
    <w:rsid w:val="00EC6D33"/>
    <w:rsid w:val="00EC7EE1"/>
    <w:rsid w:val="00ED054E"/>
    <w:rsid w:val="00ED09D4"/>
    <w:rsid w:val="00ED0C58"/>
    <w:rsid w:val="00ED0C63"/>
    <w:rsid w:val="00ED3AFF"/>
    <w:rsid w:val="00ED4466"/>
    <w:rsid w:val="00ED4E8C"/>
    <w:rsid w:val="00ED539F"/>
    <w:rsid w:val="00ED5DB5"/>
    <w:rsid w:val="00ED5F0F"/>
    <w:rsid w:val="00ED6798"/>
    <w:rsid w:val="00ED6873"/>
    <w:rsid w:val="00ED792F"/>
    <w:rsid w:val="00ED7CD7"/>
    <w:rsid w:val="00EE0A85"/>
    <w:rsid w:val="00EE11BA"/>
    <w:rsid w:val="00EE1835"/>
    <w:rsid w:val="00EE1C20"/>
    <w:rsid w:val="00EE1DCE"/>
    <w:rsid w:val="00EE27C0"/>
    <w:rsid w:val="00EE293C"/>
    <w:rsid w:val="00EE3742"/>
    <w:rsid w:val="00EE439D"/>
    <w:rsid w:val="00EE5113"/>
    <w:rsid w:val="00EE683D"/>
    <w:rsid w:val="00EE7590"/>
    <w:rsid w:val="00EE7B04"/>
    <w:rsid w:val="00EF3667"/>
    <w:rsid w:val="00EF40AB"/>
    <w:rsid w:val="00EF630C"/>
    <w:rsid w:val="00EF7196"/>
    <w:rsid w:val="00F000CE"/>
    <w:rsid w:val="00F0029C"/>
    <w:rsid w:val="00F00744"/>
    <w:rsid w:val="00F00D9B"/>
    <w:rsid w:val="00F01B80"/>
    <w:rsid w:val="00F02E2E"/>
    <w:rsid w:val="00F03C59"/>
    <w:rsid w:val="00F05BDB"/>
    <w:rsid w:val="00F0652A"/>
    <w:rsid w:val="00F072F7"/>
    <w:rsid w:val="00F0743C"/>
    <w:rsid w:val="00F0776A"/>
    <w:rsid w:val="00F0796C"/>
    <w:rsid w:val="00F10FC0"/>
    <w:rsid w:val="00F11193"/>
    <w:rsid w:val="00F11841"/>
    <w:rsid w:val="00F11E80"/>
    <w:rsid w:val="00F12677"/>
    <w:rsid w:val="00F131D9"/>
    <w:rsid w:val="00F1421D"/>
    <w:rsid w:val="00F155AB"/>
    <w:rsid w:val="00F15950"/>
    <w:rsid w:val="00F16291"/>
    <w:rsid w:val="00F16730"/>
    <w:rsid w:val="00F20A21"/>
    <w:rsid w:val="00F20E95"/>
    <w:rsid w:val="00F213A3"/>
    <w:rsid w:val="00F221CA"/>
    <w:rsid w:val="00F23003"/>
    <w:rsid w:val="00F244E4"/>
    <w:rsid w:val="00F264B9"/>
    <w:rsid w:val="00F266FF"/>
    <w:rsid w:val="00F31733"/>
    <w:rsid w:val="00F31797"/>
    <w:rsid w:val="00F353BA"/>
    <w:rsid w:val="00F3566B"/>
    <w:rsid w:val="00F35A81"/>
    <w:rsid w:val="00F36093"/>
    <w:rsid w:val="00F361D8"/>
    <w:rsid w:val="00F3649E"/>
    <w:rsid w:val="00F36BD9"/>
    <w:rsid w:val="00F36F61"/>
    <w:rsid w:val="00F36F9B"/>
    <w:rsid w:val="00F370EF"/>
    <w:rsid w:val="00F371D3"/>
    <w:rsid w:val="00F3730F"/>
    <w:rsid w:val="00F37AC7"/>
    <w:rsid w:val="00F40924"/>
    <w:rsid w:val="00F40D83"/>
    <w:rsid w:val="00F43C94"/>
    <w:rsid w:val="00F43D22"/>
    <w:rsid w:val="00F4462D"/>
    <w:rsid w:val="00F4484D"/>
    <w:rsid w:val="00F459F4"/>
    <w:rsid w:val="00F45BE0"/>
    <w:rsid w:val="00F47091"/>
    <w:rsid w:val="00F47573"/>
    <w:rsid w:val="00F50158"/>
    <w:rsid w:val="00F505D6"/>
    <w:rsid w:val="00F52643"/>
    <w:rsid w:val="00F52C9F"/>
    <w:rsid w:val="00F53402"/>
    <w:rsid w:val="00F53577"/>
    <w:rsid w:val="00F5429F"/>
    <w:rsid w:val="00F54E9E"/>
    <w:rsid w:val="00F56A4E"/>
    <w:rsid w:val="00F56EBE"/>
    <w:rsid w:val="00F57317"/>
    <w:rsid w:val="00F57D43"/>
    <w:rsid w:val="00F57FBC"/>
    <w:rsid w:val="00F609FC"/>
    <w:rsid w:val="00F61172"/>
    <w:rsid w:val="00F63F72"/>
    <w:rsid w:val="00F64105"/>
    <w:rsid w:val="00F64E5E"/>
    <w:rsid w:val="00F6614E"/>
    <w:rsid w:val="00F67587"/>
    <w:rsid w:val="00F70092"/>
    <w:rsid w:val="00F70710"/>
    <w:rsid w:val="00F71104"/>
    <w:rsid w:val="00F71884"/>
    <w:rsid w:val="00F71F38"/>
    <w:rsid w:val="00F71F82"/>
    <w:rsid w:val="00F721CA"/>
    <w:rsid w:val="00F7268B"/>
    <w:rsid w:val="00F74944"/>
    <w:rsid w:val="00F74CFD"/>
    <w:rsid w:val="00F772AE"/>
    <w:rsid w:val="00F7740E"/>
    <w:rsid w:val="00F77AE8"/>
    <w:rsid w:val="00F77C9D"/>
    <w:rsid w:val="00F801A8"/>
    <w:rsid w:val="00F801DA"/>
    <w:rsid w:val="00F824CE"/>
    <w:rsid w:val="00F85B98"/>
    <w:rsid w:val="00F8612D"/>
    <w:rsid w:val="00F86B6D"/>
    <w:rsid w:val="00F90022"/>
    <w:rsid w:val="00F9048D"/>
    <w:rsid w:val="00F905FE"/>
    <w:rsid w:val="00F92BB2"/>
    <w:rsid w:val="00F94164"/>
    <w:rsid w:val="00F94A52"/>
    <w:rsid w:val="00F95140"/>
    <w:rsid w:val="00F951F0"/>
    <w:rsid w:val="00F95F80"/>
    <w:rsid w:val="00F95F92"/>
    <w:rsid w:val="00F96614"/>
    <w:rsid w:val="00F975CD"/>
    <w:rsid w:val="00FA0533"/>
    <w:rsid w:val="00FA2DB7"/>
    <w:rsid w:val="00FA3CC6"/>
    <w:rsid w:val="00FA5560"/>
    <w:rsid w:val="00FA7426"/>
    <w:rsid w:val="00FA7681"/>
    <w:rsid w:val="00FB116E"/>
    <w:rsid w:val="00FB22B9"/>
    <w:rsid w:val="00FB7F96"/>
    <w:rsid w:val="00FC16F3"/>
    <w:rsid w:val="00FC34BF"/>
    <w:rsid w:val="00FC3B98"/>
    <w:rsid w:val="00FC4A7F"/>
    <w:rsid w:val="00FC4C6C"/>
    <w:rsid w:val="00FC731E"/>
    <w:rsid w:val="00FC7BE5"/>
    <w:rsid w:val="00FC7E67"/>
    <w:rsid w:val="00FD217F"/>
    <w:rsid w:val="00FD22B0"/>
    <w:rsid w:val="00FD2736"/>
    <w:rsid w:val="00FD2B62"/>
    <w:rsid w:val="00FD3E88"/>
    <w:rsid w:val="00FD3E90"/>
    <w:rsid w:val="00FD4058"/>
    <w:rsid w:val="00FD559F"/>
    <w:rsid w:val="00FD74F0"/>
    <w:rsid w:val="00FD7A16"/>
    <w:rsid w:val="00FE0267"/>
    <w:rsid w:val="00FE0D2F"/>
    <w:rsid w:val="00FE1E38"/>
    <w:rsid w:val="00FE2AE3"/>
    <w:rsid w:val="00FE2B52"/>
    <w:rsid w:val="00FE2C0F"/>
    <w:rsid w:val="00FE2F93"/>
    <w:rsid w:val="00FE3BD8"/>
    <w:rsid w:val="00FE6030"/>
    <w:rsid w:val="00FE7BB9"/>
    <w:rsid w:val="00FF0B4B"/>
    <w:rsid w:val="00FF2344"/>
    <w:rsid w:val="00FF2489"/>
    <w:rsid w:val="00FF42D7"/>
    <w:rsid w:val="00FF45D8"/>
    <w:rsid w:val="00FF4FD0"/>
    <w:rsid w:val="00FF54C7"/>
    <w:rsid w:val="00FF5ED7"/>
    <w:rsid w:val="00FF74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BD17CB"/>
  <w15:chartTrackingRefBased/>
  <w15:docId w15:val="{9E927FAF-A156-47E6-A6B0-E1F2E49FD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619DA"/>
    <w:pPr>
      <w:spacing w:before="120" w:after="120"/>
    </w:pPr>
    <w:rPr>
      <w:rFonts w:ascii="Helvetica" w:eastAsia="Times" w:hAnsi="Helvetica"/>
      <w:sz w:val="24"/>
    </w:rPr>
  </w:style>
  <w:style w:type="paragraph" w:styleId="Heading1">
    <w:name w:val="heading 1"/>
    <w:basedOn w:val="Normal"/>
    <w:next w:val="Normal"/>
    <w:link w:val="Heading1Char"/>
    <w:qFormat/>
    <w:rsid w:val="00353AE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A90C08"/>
    <w:pPr>
      <w:keepNext/>
      <w:pBdr>
        <w:bottom w:val="single" w:sz="8" w:space="4" w:color="00424F"/>
      </w:pBdr>
      <w:tabs>
        <w:tab w:val="left" w:pos="0"/>
      </w:tabs>
      <w:spacing w:before="360" w:after="240"/>
      <w:outlineLvl w:val="1"/>
    </w:pPr>
    <w:rPr>
      <w:rFonts w:eastAsia="Times New Roman"/>
      <w:b/>
      <w:sz w:val="36"/>
    </w:rPr>
  </w:style>
  <w:style w:type="paragraph" w:styleId="Heading3">
    <w:name w:val="heading 3"/>
    <w:basedOn w:val="Normal"/>
    <w:next w:val="Normal"/>
    <w:qFormat/>
    <w:rsid w:val="00A90C08"/>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90C08"/>
    <w:pPr>
      <w:keepNext/>
      <w:spacing w:after="60"/>
      <w:outlineLvl w:val="3"/>
    </w:pPr>
    <w:rPr>
      <w:b/>
    </w:rPr>
  </w:style>
  <w:style w:type="paragraph" w:styleId="Heading7">
    <w:name w:val="heading 7"/>
    <w:basedOn w:val="Normal"/>
    <w:next w:val="Normal"/>
    <w:qFormat/>
    <w:rsid w:val="00AB6CF8"/>
    <w:pPr>
      <w:spacing w:before="240" w:after="60"/>
      <w:outlineLvl w:val="6"/>
    </w:pPr>
    <w:rPr>
      <w:rFonts w:ascii="Cambria" w:eastAsia="Times New Roman" w:hAnsi="Cambria"/>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overviewtext"/>
    <w:link w:val="HeaderChar"/>
    <w:rsid w:val="00A90C08"/>
    <w:pPr>
      <w:tabs>
        <w:tab w:val="center" w:pos="4153"/>
        <w:tab w:val="right" w:pos="8306"/>
      </w:tabs>
    </w:pPr>
  </w:style>
  <w:style w:type="paragraph" w:customStyle="1" w:styleId="CommitteeTitle">
    <w:name w:val="Committee Title"/>
    <w:basedOn w:val="Header"/>
    <w:next w:val="Header"/>
    <w:qFormat/>
    <w:rsid w:val="00A90C08"/>
    <w:pPr>
      <w:shd w:val="clear" w:color="auto" w:fill="000000"/>
      <w:tabs>
        <w:tab w:val="clear" w:pos="4153"/>
        <w:tab w:val="clear" w:pos="8306"/>
      </w:tabs>
      <w:spacing w:after="120"/>
      <w:ind w:right="2835"/>
    </w:pPr>
    <w:rPr>
      <w:b/>
      <w:noProof/>
      <w:color w:val="FFFFFF"/>
    </w:rPr>
  </w:style>
  <w:style w:type="paragraph" w:customStyle="1" w:styleId="summarydetails">
    <w:name w:val="summary details"/>
    <w:basedOn w:val="overviewtext"/>
    <w:qFormat/>
    <w:rsid w:val="00A90C08"/>
    <w:pPr>
      <w:ind w:left="720"/>
    </w:pPr>
  </w:style>
  <w:style w:type="paragraph" w:customStyle="1" w:styleId="overviewtext">
    <w:name w:val="overview text"/>
    <w:link w:val="overviewtextChar"/>
    <w:qFormat/>
    <w:rsid w:val="00A90C08"/>
    <w:pPr>
      <w:spacing w:before="60" w:after="60"/>
    </w:pPr>
    <w:rPr>
      <w:rFonts w:ascii="Helvetica" w:eastAsia="Times" w:hAnsi="Helvetica"/>
      <w:sz w:val="24"/>
    </w:rPr>
  </w:style>
  <w:style w:type="paragraph" w:customStyle="1" w:styleId="overviewheading">
    <w:name w:val="overview heading"/>
    <w:basedOn w:val="overviewtext"/>
    <w:qFormat/>
    <w:rsid w:val="00A90C08"/>
    <w:pPr>
      <w:pBdr>
        <w:bottom w:val="single" w:sz="4" w:space="4" w:color="auto"/>
      </w:pBdr>
      <w:spacing w:before="120"/>
    </w:pPr>
    <w:rPr>
      <w:b/>
    </w:rPr>
  </w:style>
  <w:style w:type="paragraph" w:customStyle="1" w:styleId="ReportTitle">
    <w:name w:val="Report Title"/>
    <w:basedOn w:val="overviewtext"/>
    <w:qFormat/>
    <w:rsid w:val="00A90C08"/>
    <w:pPr>
      <w:spacing w:before="120" w:after="120"/>
    </w:pPr>
    <w:rPr>
      <w:b/>
      <w:sz w:val="40"/>
    </w:rPr>
  </w:style>
  <w:style w:type="paragraph" w:customStyle="1" w:styleId="Para2">
    <w:name w:val="Para2"/>
    <w:basedOn w:val="Normal"/>
    <w:link w:val="Para2Char"/>
    <w:autoRedefine/>
    <w:rsid w:val="00C2468A"/>
    <w:pPr>
      <w:spacing w:after="0"/>
      <w:jc w:val="both"/>
    </w:pPr>
  </w:style>
  <w:style w:type="paragraph" w:customStyle="1" w:styleId="Para1">
    <w:name w:val="Para1"/>
    <w:basedOn w:val="Heading3"/>
    <w:rsid w:val="00A90C08"/>
    <w:pPr>
      <w:tabs>
        <w:tab w:val="left" w:pos="1440"/>
      </w:tabs>
      <w:spacing w:after="120"/>
      <w:ind w:left="1440" w:hanging="720"/>
    </w:pPr>
    <w:rPr>
      <w:rFonts w:ascii="Helvetica" w:hAnsi="Helvetica" w:cs="Times New Roman"/>
      <w:b w:val="0"/>
      <w:bCs w:val="0"/>
      <w:sz w:val="24"/>
      <w:szCs w:val="24"/>
    </w:rPr>
  </w:style>
  <w:style w:type="character" w:customStyle="1" w:styleId="Heading2Char">
    <w:name w:val="Heading 2 Char"/>
    <w:link w:val="Heading2"/>
    <w:rsid w:val="00A90C08"/>
    <w:rPr>
      <w:rFonts w:ascii="Helvetica" w:hAnsi="Helvetica"/>
      <w:b/>
      <w:sz w:val="36"/>
      <w:lang w:val="en-GB" w:eastAsia="en-GB" w:bidi="ar-SA"/>
    </w:rPr>
  </w:style>
  <w:style w:type="character" w:customStyle="1" w:styleId="overviewtextChar">
    <w:name w:val="overview text Char"/>
    <w:link w:val="overviewtext"/>
    <w:rsid w:val="00A90C08"/>
    <w:rPr>
      <w:rFonts w:ascii="Helvetica" w:eastAsia="Times" w:hAnsi="Helvetica"/>
      <w:sz w:val="24"/>
      <w:lang w:val="en-GB" w:eastAsia="en-GB" w:bidi="ar-SA"/>
    </w:rPr>
  </w:style>
  <w:style w:type="character" w:customStyle="1" w:styleId="HeaderChar">
    <w:name w:val="Header Char"/>
    <w:basedOn w:val="overviewtextChar"/>
    <w:link w:val="Header"/>
    <w:rsid w:val="00A90C08"/>
    <w:rPr>
      <w:rFonts w:ascii="Helvetica" w:eastAsia="Times" w:hAnsi="Helvetica"/>
      <w:sz w:val="24"/>
      <w:lang w:val="en-GB" w:eastAsia="en-GB" w:bidi="ar-SA"/>
    </w:rPr>
  </w:style>
  <w:style w:type="character" w:customStyle="1" w:styleId="Para2Char">
    <w:name w:val="Para2 Char"/>
    <w:link w:val="Para2"/>
    <w:rsid w:val="00C2468A"/>
    <w:rPr>
      <w:rFonts w:ascii="Helvetica" w:eastAsia="Times" w:hAnsi="Helvetica"/>
      <w:sz w:val="24"/>
    </w:rPr>
  </w:style>
  <w:style w:type="paragraph" w:customStyle="1" w:styleId="NumberedList4">
    <w:name w:val="Numbered List4"/>
    <w:basedOn w:val="Normal"/>
    <w:rsid w:val="00A90C08"/>
    <w:pPr>
      <w:numPr>
        <w:numId w:val="1"/>
      </w:numPr>
      <w:tabs>
        <w:tab w:val="num" w:pos="851"/>
      </w:tabs>
      <w:ind w:left="1134" w:hanging="708"/>
    </w:pPr>
  </w:style>
  <w:style w:type="paragraph" w:styleId="BodyTextIndent3">
    <w:name w:val="Body Text Indent 3"/>
    <w:basedOn w:val="Normal"/>
    <w:rsid w:val="00A90C08"/>
    <w:pPr>
      <w:ind w:left="283"/>
    </w:pPr>
    <w:rPr>
      <w:sz w:val="16"/>
      <w:szCs w:val="16"/>
    </w:rPr>
  </w:style>
  <w:style w:type="paragraph" w:styleId="Footer">
    <w:name w:val="footer"/>
    <w:basedOn w:val="Normal"/>
    <w:link w:val="FooterChar"/>
    <w:uiPriority w:val="99"/>
    <w:rsid w:val="00A90C08"/>
    <w:pPr>
      <w:tabs>
        <w:tab w:val="center" w:pos="4153"/>
        <w:tab w:val="right" w:pos="8306"/>
      </w:tabs>
    </w:pPr>
  </w:style>
  <w:style w:type="paragraph" w:customStyle="1" w:styleId="NormalLatinArial">
    <w:name w:val="Normal + (Latin) Arial"/>
    <w:aliases w:val="Justified,Left:  0 cm,Hanging:  1.27 cm,Before:  0..."/>
    <w:basedOn w:val="Normal"/>
    <w:rsid w:val="00DD7DF6"/>
    <w:pPr>
      <w:spacing w:before="0" w:after="0"/>
      <w:ind w:left="720" w:hanging="720"/>
      <w:jc w:val="both"/>
    </w:pPr>
    <w:rPr>
      <w:rFonts w:ascii="Arial" w:hAnsi="Arial" w:cs="Arial"/>
      <w:szCs w:val="24"/>
    </w:rPr>
  </w:style>
  <w:style w:type="paragraph" w:styleId="BodyTextIndent">
    <w:name w:val="Body Text Indent"/>
    <w:basedOn w:val="Normal"/>
    <w:rsid w:val="00DD7DF6"/>
    <w:pPr>
      <w:ind w:left="283"/>
    </w:pPr>
  </w:style>
  <w:style w:type="character" w:styleId="Emphasis">
    <w:name w:val="Emphasis"/>
    <w:qFormat/>
    <w:rsid w:val="00AB6CF8"/>
    <w:rPr>
      <w:i/>
      <w:iCs/>
    </w:rPr>
  </w:style>
  <w:style w:type="paragraph" w:styleId="BodyText">
    <w:name w:val="Body Text"/>
    <w:basedOn w:val="Normal"/>
    <w:rsid w:val="00E94FB4"/>
  </w:style>
  <w:style w:type="paragraph" w:customStyle="1" w:styleId="NumberedList3">
    <w:name w:val="Numbered List3"/>
    <w:basedOn w:val="Normal"/>
    <w:autoRedefine/>
    <w:rsid w:val="009B20A4"/>
    <w:pPr>
      <w:spacing w:before="0" w:after="0"/>
      <w:ind w:left="709" w:hanging="709"/>
    </w:pPr>
  </w:style>
  <w:style w:type="paragraph" w:styleId="BalloonText">
    <w:name w:val="Balloon Text"/>
    <w:basedOn w:val="Normal"/>
    <w:semiHidden/>
    <w:rsid w:val="00F7268B"/>
    <w:rPr>
      <w:rFonts w:ascii="Tahoma" w:hAnsi="Tahoma" w:cs="Tahoma"/>
      <w:sz w:val="16"/>
      <w:szCs w:val="16"/>
    </w:rPr>
  </w:style>
  <w:style w:type="table" w:styleId="TableGrid">
    <w:name w:val="Table Grid"/>
    <w:basedOn w:val="TableNormal"/>
    <w:uiPriority w:val="39"/>
    <w:rsid w:val="00F7268B"/>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10149D"/>
    <w:rPr>
      <w:color w:val="606420"/>
      <w:u w:val="single"/>
    </w:rPr>
  </w:style>
  <w:style w:type="paragraph" w:customStyle="1" w:styleId="a">
    <w:basedOn w:val="Normal"/>
    <w:autoRedefine/>
    <w:rsid w:val="00FE6030"/>
    <w:pPr>
      <w:spacing w:before="0" w:after="160" w:line="240" w:lineRule="exact"/>
    </w:pPr>
    <w:rPr>
      <w:rFonts w:ascii="Verdana" w:eastAsia="Times New Roman" w:hAnsi="Verdana"/>
      <w:sz w:val="20"/>
      <w:lang w:val="en-US" w:eastAsia="en-US"/>
    </w:rPr>
  </w:style>
  <w:style w:type="character" w:styleId="Hyperlink">
    <w:name w:val="Hyperlink"/>
    <w:rsid w:val="00BF5DFB"/>
    <w:rPr>
      <w:color w:val="0000FF"/>
      <w:u w:val="single"/>
    </w:rPr>
  </w:style>
  <w:style w:type="paragraph" w:customStyle="1" w:styleId="Char">
    <w:name w:val="Char"/>
    <w:basedOn w:val="Normal"/>
    <w:autoRedefine/>
    <w:rsid w:val="001418F2"/>
    <w:pPr>
      <w:spacing w:before="0" w:after="160" w:line="240" w:lineRule="exact"/>
    </w:pPr>
    <w:rPr>
      <w:rFonts w:ascii="Verdana" w:eastAsia="Times New Roman" w:hAnsi="Verdana"/>
      <w:sz w:val="20"/>
      <w:lang w:val="en-US" w:eastAsia="en-US"/>
    </w:rPr>
  </w:style>
  <w:style w:type="paragraph" w:styleId="NormalWeb">
    <w:name w:val="Normal (Web)"/>
    <w:basedOn w:val="Normal"/>
    <w:uiPriority w:val="99"/>
    <w:unhideWhenUsed/>
    <w:rsid w:val="00D256C7"/>
    <w:pPr>
      <w:spacing w:before="0" w:after="0"/>
    </w:pPr>
    <w:rPr>
      <w:rFonts w:ascii="Times New Roman" w:eastAsia="Calibri" w:hAnsi="Times New Roman"/>
      <w:szCs w:val="24"/>
    </w:rPr>
  </w:style>
  <w:style w:type="paragraph" w:styleId="NoSpacing">
    <w:name w:val="No Spacing"/>
    <w:uiPriority w:val="1"/>
    <w:qFormat/>
    <w:rsid w:val="0007793C"/>
    <w:rPr>
      <w:rFonts w:ascii="Calibri" w:eastAsia="Calibri" w:hAnsi="Calibri"/>
      <w:sz w:val="22"/>
      <w:szCs w:val="22"/>
      <w:lang w:eastAsia="en-US"/>
    </w:rPr>
  </w:style>
  <w:style w:type="character" w:styleId="CommentReference">
    <w:name w:val="annotation reference"/>
    <w:rsid w:val="006C2E4E"/>
    <w:rPr>
      <w:sz w:val="16"/>
      <w:szCs w:val="16"/>
    </w:rPr>
  </w:style>
  <w:style w:type="paragraph" w:styleId="CommentText">
    <w:name w:val="annotation text"/>
    <w:basedOn w:val="Normal"/>
    <w:link w:val="CommentTextChar"/>
    <w:rsid w:val="006C2E4E"/>
    <w:rPr>
      <w:sz w:val="20"/>
    </w:rPr>
  </w:style>
  <w:style w:type="character" w:customStyle="1" w:styleId="CommentTextChar">
    <w:name w:val="Comment Text Char"/>
    <w:link w:val="CommentText"/>
    <w:rsid w:val="006C2E4E"/>
    <w:rPr>
      <w:rFonts w:ascii="Helvetica" w:eastAsia="Times" w:hAnsi="Helvetica"/>
    </w:rPr>
  </w:style>
  <w:style w:type="paragraph" w:styleId="CommentSubject">
    <w:name w:val="annotation subject"/>
    <w:basedOn w:val="CommentText"/>
    <w:next w:val="CommentText"/>
    <w:link w:val="CommentSubjectChar"/>
    <w:rsid w:val="006C2E4E"/>
    <w:rPr>
      <w:b/>
      <w:bCs/>
    </w:rPr>
  </w:style>
  <w:style w:type="character" w:customStyle="1" w:styleId="CommentSubjectChar">
    <w:name w:val="Comment Subject Char"/>
    <w:link w:val="CommentSubject"/>
    <w:rsid w:val="006C2E4E"/>
    <w:rPr>
      <w:rFonts w:ascii="Helvetica" w:eastAsia="Times" w:hAnsi="Helvetica"/>
      <w:b/>
      <w:bCs/>
    </w:rPr>
  </w:style>
  <w:style w:type="paragraph" w:styleId="ListParagraph">
    <w:name w:val="List Paragraph"/>
    <w:basedOn w:val="Normal"/>
    <w:uiPriority w:val="34"/>
    <w:qFormat/>
    <w:rsid w:val="001509A7"/>
    <w:pPr>
      <w:ind w:left="720"/>
    </w:pPr>
  </w:style>
  <w:style w:type="character" w:customStyle="1" w:styleId="s7">
    <w:name w:val="s7"/>
    <w:rsid w:val="004135B9"/>
  </w:style>
  <w:style w:type="table" w:customStyle="1" w:styleId="TableGrid11">
    <w:name w:val="Table Grid11"/>
    <w:basedOn w:val="TableNormal"/>
    <w:next w:val="TableGrid"/>
    <w:rsid w:val="00145E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20D16"/>
    <w:pPr>
      <w:autoSpaceDE w:val="0"/>
      <w:autoSpaceDN w:val="0"/>
      <w:adjustRightInd w:val="0"/>
    </w:pPr>
    <w:rPr>
      <w:rFonts w:ascii="Arial" w:hAnsi="Arial" w:cs="Arial"/>
      <w:color w:val="000000"/>
      <w:sz w:val="24"/>
      <w:szCs w:val="24"/>
    </w:rPr>
  </w:style>
  <w:style w:type="paragraph" w:customStyle="1" w:styleId="Pa9">
    <w:name w:val="Pa9"/>
    <w:basedOn w:val="Default"/>
    <w:next w:val="Default"/>
    <w:uiPriority w:val="99"/>
    <w:rsid w:val="00FF741B"/>
    <w:pPr>
      <w:spacing w:line="321" w:lineRule="atLeast"/>
    </w:pPr>
    <w:rPr>
      <w:rFonts w:ascii="Stone Sans" w:hAnsi="Stone Sans" w:cs="Times New Roman"/>
      <w:color w:val="auto"/>
    </w:rPr>
  </w:style>
  <w:style w:type="paragraph" w:customStyle="1" w:styleId="Pa3">
    <w:name w:val="Pa3"/>
    <w:basedOn w:val="Default"/>
    <w:next w:val="Default"/>
    <w:uiPriority w:val="99"/>
    <w:rsid w:val="00FF741B"/>
    <w:pPr>
      <w:spacing w:line="241" w:lineRule="atLeast"/>
    </w:pPr>
    <w:rPr>
      <w:rFonts w:ascii="Stone Sans" w:hAnsi="Stone Sans" w:cs="Times New Roman"/>
      <w:color w:val="auto"/>
    </w:rPr>
  </w:style>
  <w:style w:type="paragraph" w:customStyle="1" w:styleId="Pa13">
    <w:name w:val="Pa13"/>
    <w:basedOn w:val="Default"/>
    <w:next w:val="Default"/>
    <w:uiPriority w:val="99"/>
    <w:rsid w:val="00FF741B"/>
    <w:pPr>
      <w:spacing w:line="241" w:lineRule="atLeast"/>
    </w:pPr>
    <w:rPr>
      <w:rFonts w:ascii="Stone Sans" w:hAnsi="Stone Sans" w:cs="Times New Roman"/>
      <w:color w:val="auto"/>
    </w:rPr>
  </w:style>
  <w:style w:type="character" w:customStyle="1" w:styleId="Heading4Char">
    <w:name w:val="Heading 4 Char"/>
    <w:link w:val="Heading4"/>
    <w:rsid w:val="002512E1"/>
    <w:rPr>
      <w:rFonts w:ascii="Helvetica" w:eastAsia="Times" w:hAnsi="Helvetica"/>
      <w:b/>
      <w:sz w:val="24"/>
    </w:rPr>
  </w:style>
  <w:style w:type="character" w:customStyle="1" w:styleId="FooterChar">
    <w:name w:val="Footer Char"/>
    <w:link w:val="Footer"/>
    <w:uiPriority w:val="99"/>
    <w:rsid w:val="00972F1D"/>
    <w:rPr>
      <w:rFonts w:ascii="Helvetica" w:eastAsia="Times" w:hAnsi="Helvetica"/>
      <w:sz w:val="24"/>
    </w:rPr>
  </w:style>
  <w:style w:type="paragraph" w:styleId="Title">
    <w:name w:val="Title"/>
    <w:basedOn w:val="Normal"/>
    <w:link w:val="TitleChar"/>
    <w:qFormat/>
    <w:rsid w:val="004E5E84"/>
    <w:pPr>
      <w:spacing w:before="0" w:after="0"/>
      <w:jc w:val="center"/>
    </w:pPr>
    <w:rPr>
      <w:rFonts w:ascii="Centaur" w:eastAsia="Times New Roman" w:hAnsi="Centaur"/>
      <w:b/>
      <w:bCs/>
      <w:szCs w:val="24"/>
      <w:u w:val="single"/>
      <w:lang w:eastAsia="en-US"/>
    </w:rPr>
  </w:style>
  <w:style w:type="character" w:customStyle="1" w:styleId="TitleChar">
    <w:name w:val="Title Char"/>
    <w:link w:val="Title"/>
    <w:rsid w:val="004E5E84"/>
    <w:rPr>
      <w:rFonts w:ascii="Centaur" w:hAnsi="Centaur"/>
      <w:b/>
      <w:bCs/>
      <w:sz w:val="24"/>
      <w:szCs w:val="24"/>
      <w:u w:val="single"/>
      <w:lang w:eastAsia="en-US"/>
    </w:rPr>
  </w:style>
  <w:style w:type="paragraph" w:customStyle="1" w:styleId="ParaX1">
    <w:name w:val="Para X.1"/>
    <w:basedOn w:val="Normal"/>
    <w:rsid w:val="00C97522"/>
    <w:pPr>
      <w:spacing w:before="0" w:after="0"/>
      <w:ind w:left="731" w:hanging="731"/>
    </w:pPr>
    <w:rPr>
      <w:rFonts w:ascii="Arial" w:hAnsi="Arial"/>
    </w:rPr>
  </w:style>
  <w:style w:type="paragraph" w:customStyle="1" w:styleId="Char0">
    <w:name w:val="Char"/>
    <w:basedOn w:val="Normal"/>
    <w:rsid w:val="00520993"/>
    <w:pPr>
      <w:spacing w:before="0" w:after="160" w:line="240" w:lineRule="exact"/>
    </w:pPr>
    <w:rPr>
      <w:rFonts w:ascii="Tahoma" w:eastAsia="Times New Roman" w:hAnsi="Tahoma"/>
      <w:sz w:val="20"/>
      <w:lang w:val="en-US" w:eastAsia="en-US"/>
    </w:rPr>
  </w:style>
  <w:style w:type="paragraph" w:customStyle="1" w:styleId="p1">
    <w:name w:val="p1"/>
    <w:basedOn w:val="Normal"/>
    <w:rsid w:val="00F63F72"/>
    <w:pPr>
      <w:spacing w:before="0" w:after="0"/>
    </w:pPr>
    <w:rPr>
      <w:rFonts w:ascii=".SF UI Text" w:eastAsia="Calibri" w:hAnsi=".SF UI Text"/>
      <w:color w:val="454545"/>
      <w:sz w:val="26"/>
      <w:szCs w:val="26"/>
    </w:rPr>
  </w:style>
  <w:style w:type="character" w:customStyle="1" w:styleId="s1">
    <w:name w:val="s1"/>
    <w:rsid w:val="00F63F72"/>
    <w:rPr>
      <w:rFonts w:ascii=".SFUIText" w:hAnsi=".SFUIText" w:hint="default"/>
      <w:b w:val="0"/>
      <w:bCs w:val="0"/>
      <w:i w:val="0"/>
      <w:iCs w:val="0"/>
      <w:sz w:val="34"/>
      <w:szCs w:val="34"/>
    </w:rPr>
  </w:style>
  <w:style w:type="paragraph" w:styleId="PlainText">
    <w:name w:val="Plain Text"/>
    <w:basedOn w:val="Normal"/>
    <w:link w:val="PlainTextChar"/>
    <w:uiPriority w:val="99"/>
    <w:unhideWhenUsed/>
    <w:rsid w:val="00BC294C"/>
    <w:pPr>
      <w:spacing w:before="0" w:after="0"/>
    </w:pPr>
    <w:rPr>
      <w:rFonts w:ascii="Calibri" w:eastAsia="Calibri" w:hAnsi="Calibri"/>
      <w:sz w:val="22"/>
      <w:szCs w:val="21"/>
      <w:lang w:eastAsia="en-US"/>
    </w:rPr>
  </w:style>
  <w:style w:type="character" w:customStyle="1" w:styleId="PlainTextChar">
    <w:name w:val="Plain Text Char"/>
    <w:link w:val="PlainText"/>
    <w:uiPriority w:val="99"/>
    <w:rsid w:val="00BC294C"/>
    <w:rPr>
      <w:rFonts w:ascii="Calibri" w:eastAsia="Calibri" w:hAnsi="Calibri"/>
      <w:sz w:val="22"/>
      <w:szCs w:val="21"/>
      <w:lang w:eastAsia="en-US"/>
    </w:rPr>
  </w:style>
  <w:style w:type="character" w:styleId="UnresolvedMention">
    <w:name w:val="Unresolved Mention"/>
    <w:basedOn w:val="DefaultParagraphFont"/>
    <w:uiPriority w:val="99"/>
    <w:semiHidden/>
    <w:unhideWhenUsed/>
    <w:rsid w:val="00353AE1"/>
    <w:rPr>
      <w:color w:val="605E5C"/>
      <w:shd w:val="clear" w:color="auto" w:fill="E1DFDD"/>
    </w:rPr>
  </w:style>
  <w:style w:type="character" w:customStyle="1" w:styleId="Heading1Char">
    <w:name w:val="Heading 1 Char"/>
    <w:basedOn w:val="DefaultParagraphFont"/>
    <w:link w:val="Heading1"/>
    <w:rsid w:val="00353AE1"/>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353AE1"/>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77834">
      <w:bodyDiv w:val="1"/>
      <w:marLeft w:val="0"/>
      <w:marRight w:val="0"/>
      <w:marTop w:val="0"/>
      <w:marBottom w:val="0"/>
      <w:divBdr>
        <w:top w:val="none" w:sz="0" w:space="0" w:color="auto"/>
        <w:left w:val="none" w:sz="0" w:space="0" w:color="auto"/>
        <w:bottom w:val="none" w:sz="0" w:space="0" w:color="auto"/>
        <w:right w:val="none" w:sz="0" w:space="0" w:color="auto"/>
      </w:divBdr>
    </w:div>
    <w:div w:id="78840428">
      <w:bodyDiv w:val="1"/>
      <w:marLeft w:val="0"/>
      <w:marRight w:val="0"/>
      <w:marTop w:val="0"/>
      <w:marBottom w:val="0"/>
      <w:divBdr>
        <w:top w:val="none" w:sz="0" w:space="0" w:color="auto"/>
        <w:left w:val="none" w:sz="0" w:space="0" w:color="auto"/>
        <w:bottom w:val="none" w:sz="0" w:space="0" w:color="auto"/>
        <w:right w:val="none" w:sz="0" w:space="0" w:color="auto"/>
      </w:divBdr>
    </w:div>
    <w:div w:id="115369002">
      <w:bodyDiv w:val="1"/>
      <w:marLeft w:val="0"/>
      <w:marRight w:val="0"/>
      <w:marTop w:val="0"/>
      <w:marBottom w:val="0"/>
      <w:divBdr>
        <w:top w:val="none" w:sz="0" w:space="0" w:color="auto"/>
        <w:left w:val="none" w:sz="0" w:space="0" w:color="auto"/>
        <w:bottom w:val="none" w:sz="0" w:space="0" w:color="auto"/>
        <w:right w:val="none" w:sz="0" w:space="0" w:color="auto"/>
      </w:divBdr>
    </w:div>
    <w:div w:id="282272338">
      <w:bodyDiv w:val="1"/>
      <w:marLeft w:val="0"/>
      <w:marRight w:val="0"/>
      <w:marTop w:val="0"/>
      <w:marBottom w:val="0"/>
      <w:divBdr>
        <w:top w:val="none" w:sz="0" w:space="0" w:color="auto"/>
        <w:left w:val="none" w:sz="0" w:space="0" w:color="auto"/>
        <w:bottom w:val="none" w:sz="0" w:space="0" w:color="auto"/>
        <w:right w:val="none" w:sz="0" w:space="0" w:color="auto"/>
      </w:divBdr>
    </w:div>
    <w:div w:id="356123358">
      <w:bodyDiv w:val="1"/>
      <w:marLeft w:val="0"/>
      <w:marRight w:val="0"/>
      <w:marTop w:val="0"/>
      <w:marBottom w:val="0"/>
      <w:divBdr>
        <w:top w:val="none" w:sz="0" w:space="0" w:color="auto"/>
        <w:left w:val="none" w:sz="0" w:space="0" w:color="auto"/>
        <w:bottom w:val="none" w:sz="0" w:space="0" w:color="auto"/>
        <w:right w:val="none" w:sz="0" w:space="0" w:color="auto"/>
      </w:divBdr>
    </w:div>
    <w:div w:id="365957792">
      <w:bodyDiv w:val="1"/>
      <w:marLeft w:val="80"/>
      <w:marRight w:val="80"/>
      <w:marTop w:val="80"/>
      <w:marBottom w:val="20"/>
      <w:divBdr>
        <w:top w:val="none" w:sz="0" w:space="0" w:color="auto"/>
        <w:left w:val="none" w:sz="0" w:space="0" w:color="auto"/>
        <w:bottom w:val="none" w:sz="0" w:space="0" w:color="auto"/>
        <w:right w:val="none" w:sz="0" w:space="0" w:color="auto"/>
      </w:divBdr>
      <w:divsChild>
        <w:div w:id="1641956144">
          <w:marLeft w:val="0"/>
          <w:marRight w:val="0"/>
          <w:marTop w:val="0"/>
          <w:marBottom w:val="0"/>
          <w:divBdr>
            <w:top w:val="none" w:sz="0" w:space="0" w:color="auto"/>
            <w:left w:val="none" w:sz="0" w:space="0" w:color="auto"/>
            <w:bottom w:val="none" w:sz="0" w:space="0" w:color="auto"/>
            <w:right w:val="none" w:sz="0" w:space="0" w:color="auto"/>
          </w:divBdr>
        </w:div>
        <w:div w:id="1852985586">
          <w:marLeft w:val="0"/>
          <w:marRight w:val="0"/>
          <w:marTop w:val="0"/>
          <w:marBottom w:val="0"/>
          <w:divBdr>
            <w:top w:val="none" w:sz="0" w:space="0" w:color="auto"/>
            <w:left w:val="none" w:sz="0" w:space="0" w:color="auto"/>
            <w:bottom w:val="none" w:sz="0" w:space="0" w:color="auto"/>
            <w:right w:val="none" w:sz="0" w:space="0" w:color="auto"/>
          </w:divBdr>
        </w:div>
      </w:divsChild>
    </w:div>
    <w:div w:id="408231853">
      <w:bodyDiv w:val="1"/>
      <w:marLeft w:val="80"/>
      <w:marRight w:val="80"/>
      <w:marTop w:val="80"/>
      <w:marBottom w:val="20"/>
      <w:divBdr>
        <w:top w:val="none" w:sz="0" w:space="0" w:color="auto"/>
        <w:left w:val="none" w:sz="0" w:space="0" w:color="auto"/>
        <w:bottom w:val="none" w:sz="0" w:space="0" w:color="auto"/>
        <w:right w:val="none" w:sz="0" w:space="0" w:color="auto"/>
      </w:divBdr>
      <w:divsChild>
        <w:div w:id="1960186255">
          <w:marLeft w:val="0"/>
          <w:marRight w:val="0"/>
          <w:marTop w:val="0"/>
          <w:marBottom w:val="0"/>
          <w:divBdr>
            <w:top w:val="none" w:sz="0" w:space="0" w:color="auto"/>
            <w:left w:val="none" w:sz="0" w:space="0" w:color="auto"/>
            <w:bottom w:val="none" w:sz="0" w:space="0" w:color="auto"/>
            <w:right w:val="none" w:sz="0" w:space="0" w:color="auto"/>
          </w:divBdr>
          <w:divsChild>
            <w:div w:id="1686438585">
              <w:marLeft w:val="0"/>
              <w:marRight w:val="0"/>
              <w:marTop w:val="0"/>
              <w:marBottom w:val="0"/>
              <w:divBdr>
                <w:top w:val="none" w:sz="0" w:space="0" w:color="auto"/>
                <w:left w:val="none" w:sz="0" w:space="0" w:color="auto"/>
                <w:bottom w:val="none" w:sz="0" w:space="0" w:color="auto"/>
                <w:right w:val="none" w:sz="0" w:space="0" w:color="auto"/>
              </w:divBdr>
              <w:divsChild>
                <w:div w:id="311912668">
                  <w:marLeft w:val="0"/>
                  <w:marRight w:val="0"/>
                  <w:marTop w:val="0"/>
                  <w:marBottom w:val="0"/>
                  <w:divBdr>
                    <w:top w:val="none" w:sz="0" w:space="0" w:color="auto"/>
                    <w:left w:val="none" w:sz="0" w:space="0" w:color="auto"/>
                    <w:bottom w:val="none" w:sz="0" w:space="0" w:color="auto"/>
                    <w:right w:val="none" w:sz="0" w:space="0" w:color="auto"/>
                  </w:divBdr>
                </w:div>
                <w:div w:id="772554188">
                  <w:marLeft w:val="0"/>
                  <w:marRight w:val="0"/>
                  <w:marTop w:val="0"/>
                  <w:marBottom w:val="0"/>
                  <w:divBdr>
                    <w:top w:val="none" w:sz="0" w:space="0" w:color="auto"/>
                    <w:left w:val="none" w:sz="0" w:space="0" w:color="auto"/>
                    <w:bottom w:val="none" w:sz="0" w:space="0" w:color="auto"/>
                    <w:right w:val="none" w:sz="0" w:space="0" w:color="auto"/>
                  </w:divBdr>
                </w:div>
                <w:div w:id="1120342731">
                  <w:marLeft w:val="0"/>
                  <w:marRight w:val="0"/>
                  <w:marTop w:val="0"/>
                  <w:marBottom w:val="0"/>
                  <w:divBdr>
                    <w:top w:val="none" w:sz="0" w:space="0" w:color="auto"/>
                    <w:left w:val="none" w:sz="0" w:space="0" w:color="auto"/>
                    <w:bottom w:val="none" w:sz="0" w:space="0" w:color="auto"/>
                    <w:right w:val="none" w:sz="0" w:space="0" w:color="auto"/>
                  </w:divBdr>
                </w:div>
                <w:div w:id="1514149051">
                  <w:marLeft w:val="0"/>
                  <w:marRight w:val="0"/>
                  <w:marTop w:val="0"/>
                  <w:marBottom w:val="0"/>
                  <w:divBdr>
                    <w:top w:val="none" w:sz="0" w:space="0" w:color="auto"/>
                    <w:left w:val="none" w:sz="0" w:space="0" w:color="auto"/>
                    <w:bottom w:val="none" w:sz="0" w:space="0" w:color="auto"/>
                    <w:right w:val="none" w:sz="0" w:space="0" w:color="auto"/>
                  </w:divBdr>
                </w:div>
                <w:div w:id="1622687583">
                  <w:marLeft w:val="0"/>
                  <w:marRight w:val="0"/>
                  <w:marTop w:val="0"/>
                  <w:marBottom w:val="0"/>
                  <w:divBdr>
                    <w:top w:val="none" w:sz="0" w:space="0" w:color="auto"/>
                    <w:left w:val="none" w:sz="0" w:space="0" w:color="auto"/>
                    <w:bottom w:val="none" w:sz="0" w:space="0" w:color="auto"/>
                    <w:right w:val="none" w:sz="0" w:space="0" w:color="auto"/>
                  </w:divBdr>
                </w:div>
                <w:div w:id="188556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396996">
      <w:bodyDiv w:val="1"/>
      <w:marLeft w:val="80"/>
      <w:marRight w:val="80"/>
      <w:marTop w:val="80"/>
      <w:marBottom w:val="20"/>
      <w:divBdr>
        <w:top w:val="none" w:sz="0" w:space="0" w:color="auto"/>
        <w:left w:val="none" w:sz="0" w:space="0" w:color="auto"/>
        <w:bottom w:val="none" w:sz="0" w:space="0" w:color="auto"/>
        <w:right w:val="none" w:sz="0" w:space="0" w:color="auto"/>
      </w:divBdr>
      <w:divsChild>
        <w:div w:id="145249010">
          <w:marLeft w:val="0"/>
          <w:marRight w:val="0"/>
          <w:marTop w:val="0"/>
          <w:marBottom w:val="0"/>
          <w:divBdr>
            <w:top w:val="none" w:sz="0" w:space="0" w:color="auto"/>
            <w:left w:val="none" w:sz="0" w:space="0" w:color="auto"/>
            <w:bottom w:val="none" w:sz="0" w:space="0" w:color="auto"/>
            <w:right w:val="none" w:sz="0" w:space="0" w:color="auto"/>
          </w:divBdr>
          <w:divsChild>
            <w:div w:id="1511065604">
              <w:marLeft w:val="0"/>
              <w:marRight w:val="0"/>
              <w:marTop w:val="0"/>
              <w:marBottom w:val="0"/>
              <w:divBdr>
                <w:top w:val="none" w:sz="0" w:space="0" w:color="auto"/>
                <w:left w:val="none" w:sz="0" w:space="0" w:color="auto"/>
                <w:bottom w:val="none" w:sz="0" w:space="0" w:color="auto"/>
                <w:right w:val="none" w:sz="0" w:space="0" w:color="auto"/>
              </w:divBdr>
              <w:divsChild>
                <w:div w:id="472528248">
                  <w:marLeft w:val="0"/>
                  <w:marRight w:val="0"/>
                  <w:marTop w:val="0"/>
                  <w:marBottom w:val="0"/>
                  <w:divBdr>
                    <w:top w:val="none" w:sz="0" w:space="0" w:color="auto"/>
                    <w:left w:val="none" w:sz="0" w:space="0" w:color="auto"/>
                    <w:bottom w:val="none" w:sz="0" w:space="0" w:color="auto"/>
                    <w:right w:val="none" w:sz="0" w:space="0" w:color="auto"/>
                  </w:divBdr>
                </w:div>
                <w:div w:id="1189443101">
                  <w:marLeft w:val="0"/>
                  <w:marRight w:val="0"/>
                  <w:marTop w:val="0"/>
                  <w:marBottom w:val="0"/>
                  <w:divBdr>
                    <w:top w:val="none" w:sz="0" w:space="0" w:color="auto"/>
                    <w:left w:val="none" w:sz="0" w:space="0" w:color="auto"/>
                    <w:bottom w:val="none" w:sz="0" w:space="0" w:color="auto"/>
                    <w:right w:val="none" w:sz="0" w:space="0" w:color="auto"/>
                  </w:divBdr>
                </w:div>
                <w:div w:id="1388408998">
                  <w:marLeft w:val="0"/>
                  <w:marRight w:val="0"/>
                  <w:marTop w:val="0"/>
                  <w:marBottom w:val="0"/>
                  <w:divBdr>
                    <w:top w:val="none" w:sz="0" w:space="0" w:color="auto"/>
                    <w:left w:val="none" w:sz="0" w:space="0" w:color="auto"/>
                    <w:bottom w:val="none" w:sz="0" w:space="0" w:color="auto"/>
                    <w:right w:val="none" w:sz="0" w:space="0" w:color="auto"/>
                  </w:divBdr>
                </w:div>
                <w:div w:id="1428113100">
                  <w:marLeft w:val="0"/>
                  <w:marRight w:val="0"/>
                  <w:marTop w:val="0"/>
                  <w:marBottom w:val="0"/>
                  <w:divBdr>
                    <w:top w:val="none" w:sz="0" w:space="0" w:color="auto"/>
                    <w:left w:val="none" w:sz="0" w:space="0" w:color="auto"/>
                    <w:bottom w:val="none" w:sz="0" w:space="0" w:color="auto"/>
                    <w:right w:val="none" w:sz="0" w:space="0" w:color="auto"/>
                  </w:divBdr>
                </w:div>
                <w:div w:id="1518738731">
                  <w:marLeft w:val="0"/>
                  <w:marRight w:val="0"/>
                  <w:marTop w:val="0"/>
                  <w:marBottom w:val="0"/>
                  <w:divBdr>
                    <w:top w:val="none" w:sz="0" w:space="0" w:color="auto"/>
                    <w:left w:val="none" w:sz="0" w:space="0" w:color="auto"/>
                    <w:bottom w:val="none" w:sz="0" w:space="0" w:color="auto"/>
                    <w:right w:val="none" w:sz="0" w:space="0" w:color="auto"/>
                  </w:divBdr>
                </w:div>
                <w:div w:id="203168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048373">
      <w:bodyDiv w:val="1"/>
      <w:marLeft w:val="0"/>
      <w:marRight w:val="0"/>
      <w:marTop w:val="0"/>
      <w:marBottom w:val="0"/>
      <w:divBdr>
        <w:top w:val="none" w:sz="0" w:space="0" w:color="auto"/>
        <w:left w:val="none" w:sz="0" w:space="0" w:color="auto"/>
        <w:bottom w:val="none" w:sz="0" w:space="0" w:color="auto"/>
        <w:right w:val="none" w:sz="0" w:space="0" w:color="auto"/>
      </w:divBdr>
    </w:div>
    <w:div w:id="1163622424">
      <w:bodyDiv w:val="1"/>
      <w:marLeft w:val="0"/>
      <w:marRight w:val="0"/>
      <w:marTop w:val="0"/>
      <w:marBottom w:val="0"/>
      <w:divBdr>
        <w:top w:val="none" w:sz="0" w:space="0" w:color="auto"/>
        <w:left w:val="none" w:sz="0" w:space="0" w:color="auto"/>
        <w:bottom w:val="none" w:sz="0" w:space="0" w:color="auto"/>
        <w:right w:val="none" w:sz="0" w:space="0" w:color="auto"/>
      </w:divBdr>
    </w:div>
    <w:div w:id="1176845173">
      <w:bodyDiv w:val="1"/>
      <w:marLeft w:val="0"/>
      <w:marRight w:val="0"/>
      <w:marTop w:val="0"/>
      <w:marBottom w:val="0"/>
      <w:divBdr>
        <w:top w:val="none" w:sz="0" w:space="0" w:color="auto"/>
        <w:left w:val="none" w:sz="0" w:space="0" w:color="auto"/>
        <w:bottom w:val="none" w:sz="0" w:space="0" w:color="auto"/>
        <w:right w:val="none" w:sz="0" w:space="0" w:color="auto"/>
      </w:divBdr>
    </w:div>
    <w:div w:id="1219441233">
      <w:bodyDiv w:val="1"/>
      <w:marLeft w:val="0"/>
      <w:marRight w:val="0"/>
      <w:marTop w:val="0"/>
      <w:marBottom w:val="0"/>
      <w:divBdr>
        <w:top w:val="none" w:sz="0" w:space="0" w:color="auto"/>
        <w:left w:val="none" w:sz="0" w:space="0" w:color="auto"/>
        <w:bottom w:val="none" w:sz="0" w:space="0" w:color="auto"/>
        <w:right w:val="none" w:sz="0" w:space="0" w:color="auto"/>
      </w:divBdr>
    </w:div>
    <w:div w:id="1256553438">
      <w:bodyDiv w:val="1"/>
      <w:marLeft w:val="0"/>
      <w:marRight w:val="0"/>
      <w:marTop w:val="0"/>
      <w:marBottom w:val="0"/>
      <w:divBdr>
        <w:top w:val="none" w:sz="0" w:space="0" w:color="auto"/>
        <w:left w:val="none" w:sz="0" w:space="0" w:color="auto"/>
        <w:bottom w:val="none" w:sz="0" w:space="0" w:color="auto"/>
        <w:right w:val="none" w:sz="0" w:space="0" w:color="auto"/>
      </w:divBdr>
    </w:div>
    <w:div w:id="1292320826">
      <w:bodyDiv w:val="1"/>
      <w:marLeft w:val="0"/>
      <w:marRight w:val="0"/>
      <w:marTop w:val="0"/>
      <w:marBottom w:val="0"/>
      <w:divBdr>
        <w:top w:val="none" w:sz="0" w:space="0" w:color="auto"/>
        <w:left w:val="none" w:sz="0" w:space="0" w:color="auto"/>
        <w:bottom w:val="none" w:sz="0" w:space="0" w:color="auto"/>
        <w:right w:val="none" w:sz="0" w:space="0" w:color="auto"/>
      </w:divBdr>
    </w:div>
    <w:div w:id="1513379916">
      <w:bodyDiv w:val="1"/>
      <w:marLeft w:val="0"/>
      <w:marRight w:val="0"/>
      <w:marTop w:val="0"/>
      <w:marBottom w:val="0"/>
      <w:divBdr>
        <w:top w:val="none" w:sz="0" w:space="0" w:color="auto"/>
        <w:left w:val="none" w:sz="0" w:space="0" w:color="auto"/>
        <w:bottom w:val="none" w:sz="0" w:space="0" w:color="auto"/>
        <w:right w:val="none" w:sz="0" w:space="0" w:color="auto"/>
      </w:divBdr>
      <w:divsChild>
        <w:div w:id="970523073">
          <w:marLeft w:val="0"/>
          <w:marRight w:val="0"/>
          <w:marTop w:val="0"/>
          <w:marBottom w:val="0"/>
          <w:divBdr>
            <w:top w:val="none" w:sz="0" w:space="0" w:color="auto"/>
            <w:left w:val="none" w:sz="0" w:space="0" w:color="auto"/>
            <w:bottom w:val="none" w:sz="0" w:space="0" w:color="auto"/>
            <w:right w:val="none" w:sz="0" w:space="0" w:color="auto"/>
          </w:divBdr>
        </w:div>
      </w:divsChild>
    </w:div>
    <w:div w:id="1559588302">
      <w:bodyDiv w:val="1"/>
      <w:marLeft w:val="80"/>
      <w:marRight w:val="80"/>
      <w:marTop w:val="80"/>
      <w:marBottom w:val="20"/>
      <w:divBdr>
        <w:top w:val="none" w:sz="0" w:space="0" w:color="auto"/>
        <w:left w:val="none" w:sz="0" w:space="0" w:color="auto"/>
        <w:bottom w:val="none" w:sz="0" w:space="0" w:color="auto"/>
        <w:right w:val="none" w:sz="0" w:space="0" w:color="auto"/>
      </w:divBdr>
      <w:divsChild>
        <w:div w:id="211770417">
          <w:marLeft w:val="0"/>
          <w:marRight w:val="0"/>
          <w:marTop w:val="0"/>
          <w:marBottom w:val="0"/>
          <w:divBdr>
            <w:top w:val="none" w:sz="0" w:space="0" w:color="auto"/>
            <w:left w:val="none" w:sz="0" w:space="0" w:color="auto"/>
            <w:bottom w:val="none" w:sz="0" w:space="0" w:color="auto"/>
            <w:right w:val="none" w:sz="0" w:space="0" w:color="auto"/>
          </w:divBdr>
        </w:div>
      </w:divsChild>
    </w:div>
    <w:div w:id="1665277678">
      <w:bodyDiv w:val="1"/>
      <w:marLeft w:val="80"/>
      <w:marRight w:val="80"/>
      <w:marTop w:val="80"/>
      <w:marBottom w:val="20"/>
      <w:divBdr>
        <w:top w:val="none" w:sz="0" w:space="0" w:color="auto"/>
        <w:left w:val="none" w:sz="0" w:space="0" w:color="auto"/>
        <w:bottom w:val="none" w:sz="0" w:space="0" w:color="auto"/>
        <w:right w:val="none" w:sz="0" w:space="0" w:color="auto"/>
      </w:divBdr>
      <w:divsChild>
        <w:div w:id="196625976">
          <w:marLeft w:val="0"/>
          <w:marRight w:val="0"/>
          <w:marTop w:val="0"/>
          <w:marBottom w:val="0"/>
          <w:divBdr>
            <w:top w:val="none" w:sz="0" w:space="0" w:color="auto"/>
            <w:left w:val="none" w:sz="0" w:space="0" w:color="auto"/>
            <w:bottom w:val="none" w:sz="0" w:space="0" w:color="auto"/>
            <w:right w:val="none" w:sz="0" w:space="0" w:color="auto"/>
          </w:divBdr>
        </w:div>
      </w:divsChild>
    </w:div>
    <w:div w:id="1698769336">
      <w:bodyDiv w:val="1"/>
      <w:marLeft w:val="0"/>
      <w:marRight w:val="0"/>
      <w:marTop w:val="0"/>
      <w:marBottom w:val="0"/>
      <w:divBdr>
        <w:top w:val="none" w:sz="0" w:space="0" w:color="auto"/>
        <w:left w:val="none" w:sz="0" w:space="0" w:color="auto"/>
        <w:bottom w:val="none" w:sz="0" w:space="0" w:color="auto"/>
        <w:right w:val="none" w:sz="0" w:space="0" w:color="auto"/>
      </w:divBdr>
    </w:div>
    <w:div w:id="1771126455">
      <w:bodyDiv w:val="1"/>
      <w:marLeft w:val="0"/>
      <w:marRight w:val="0"/>
      <w:marTop w:val="0"/>
      <w:marBottom w:val="0"/>
      <w:divBdr>
        <w:top w:val="none" w:sz="0" w:space="0" w:color="auto"/>
        <w:left w:val="none" w:sz="0" w:space="0" w:color="auto"/>
        <w:bottom w:val="none" w:sz="0" w:space="0" w:color="auto"/>
        <w:right w:val="none" w:sz="0" w:space="0" w:color="auto"/>
      </w:divBdr>
    </w:div>
    <w:div w:id="1789658811">
      <w:bodyDiv w:val="1"/>
      <w:marLeft w:val="0"/>
      <w:marRight w:val="0"/>
      <w:marTop w:val="0"/>
      <w:marBottom w:val="0"/>
      <w:divBdr>
        <w:top w:val="none" w:sz="0" w:space="0" w:color="auto"/>
        <w:left w:val="none" w:sz="0" w:space="0" w:color="auto"/>
        <w:bottom w:val="none" w:sz="0" w:space="0" w:color="auto"/>
        <w:right w:val="none" w:sz="0" w:space="0" w:color="auto"/>
      </w:divBdr>
    </w:div>
    <w:div w:id="1814372750">
      <w:bodyDiv w:val="1"/>
      <w:marLeft w:val="0"/>
      <w:marRight w:val="0"/>
      <w:marTop w:val="0"/>
      <w:marBottom w:val="0"/>
      <w:divBdr>
        <w:top w:val="none" w:sz="0" w:space="0" w:color="auto"/>
        <w:left w:val="none" w:sz="0" w:space="0" w:color="auto"/>
        <w:bottom w:val="none" w:sz="0" w:space="0" w:color="auto"/>
        <w:right w:val="none" w:sz="0" w:space="0" w:color="auto"/>
      </w:divBdr>
    </w:div>
    <w:div w:id="1870218329">
      <w:bodyDiv w:val="1"/>
      <w:marLeft w:val="0"/>
      <w:marRight w:val="0"/>
      <w:marTop w:val="0"/>
      <w:marBottom w:val="0"/>
      <w:divBdr>
        <w:top w:val="none" w:sz="0" w:space="0" w:color="auto"/>
        <w:left w:val="none" w:sz="0" w:space="0" w:color="auto"/>
        <w:bottom w:val="none" w:sz="0" w:space="0" w:color="auto"/>
        <w:right w:val="none" w:sz="0" w:space="0" w:color="auto"/>
      </w:divBdr>
    </w:div>
    <w:div w:id="1896231185">
      <w:bodyDiv w:val="1"/>
      <w:marLeft w:val="0"/>
      <w:marRight w:val="0"/>
      <w:marTop w:val="0"/>
      <w:marBottom w:val="0"/>
      <w:divBdr>
        <w:top w:val="none" w:sz="0" w:space="0" w:color="auto"/>
        <w:left w:val="none" w:sz="0" w:space="0" w:color="auto"/>
        <w:bottom w:val="none" w:sz="0" w:space="0" w:color="auto"/>
        <w:right w:val="none" w:sz="0" w:space="0" w:color="auto"/>
      </w:divBdr>
    </w:div>
    <w:div w:id="1927229257">
      <w:bodyDiv w:val="1"/>
      <w:marLeft w:val="0"/>
      <w:marRight w:val="0"/>
      <w:marTop w:val="0"/>
      <w:marBottom w:val="0"/>
      <w:divBdr>
        <w:top w:val="none" w:sz="0" w:space="0" w:color="auto"/>
        <w:left w:val="none" w:sz="0" w:space="0" w:color="auto"/>
        <w:bottom w:val="none" w:sz="0" w:space="0" w:color="auto"/>
        <w:right w:val="none" w:sz="0" w:space="0" w:color="auto"/>
      </w:divBdr>
    </w:div>
    <w:div w:id="206493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9.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10" Type="http://schemas.openxmlformats.org/officeDocument/2006/relationships/image" Target="media/image2.png"/><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hyperlink" Target="mailto:Jacqui.prokes@fife.gov.uk" TargetMode="Externa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5.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HQCLUSTER_HQDATA6_SERVER\HQDATA6\FH01\HOME\HSNG\CORPORATEDEVELOPMENT\T%20Management\T2%20Performance%20Mgmt\02%20Perf%20Reporting\Performance%20Committee%20Reporting\2019-20\Finance%20&amp;%20Corporate%20Services\FCS%20Performance%20Data.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HQCLUSTER_HQDATA6_SERVER\HQDATA6\FH01\HOME\HSNG\CORPORATEDEVELOPMENT\T%20Management\T2%20Performance%20Mgmt\02%20Perf%20Reporting\Performance%20Committee%20Reporting\2019-20\Finance%20&amp;%20Corporate%20Services\FCS%20Performance%20Data.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HQCLUSTER_HQDATA6_SERVER\HQDATA6\FH01\HOME\HSNG\CORPORATEDEVELOPMENT\T%20Management\T2%20Performance%20Mgmt\02%20Perf%20Reporting\Performance%20Committee%20Reporting\2019-20\Finance%20&amp;%20Corporate%20Services\FCS%20Performance%20Data.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17.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18.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19.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0.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1.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2.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3.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4.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HQCLUSTER_HQDATA6_SERVER\HQDATA6\FH01\HOME\HSNG\CORPORATEDEVELOPMENT\T%20Management\T2%20Performance%20Mgmt\02%20Perf%20Reporting\Performance%20Committee%20Reporting\2019-20\Customer%20&amp;%20Online%20Services\COS%20Performance%20Data.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HQCLUSTER_HQDATA6_SERVER\HQDATA6\FH01\HOME\HSNG\CORPORATEDEVELOPMENT\T%20Management\T2%20Performance%20Mgmt\02%20Perf%20Reporting\Performance%20Committee%20Reporting\2019-20\Customer%20&amp;%20Online%20Services\Customer%20Service%20Improvement%20Data.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Stage 1 Complaints dealt with within 5 days (%)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COS!$B$7</c:f>
              <c:strCache>
                <c:ptCount val="1"/>
                <c:pt idx="0">
                  <c:v>Fife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COS!$A$8:$A$11</c:f>
              <c:strCache>
                <c:ptCount val="4"/>
                <c:pt idx="0">
                  <c:v>2016/17</c:v>
                </c:pt>
                <c:pt idx="1">
                  <c:v>2017/18</c:v>
                </c:pt>
                <c:pt idx="2">
                  <c:v>2018/19</c:v>
                </c:pt>
                <c:pt idx="3">
                  <c:v>2019/20</c:v>
                </c:pt>
              </c:strCache>
            </c:strRef>
          </c:cat>
          <c:val>
            <c:numRef>
              <c:f>COS!$B$8:$B$11</c:f>
              <c:numCache>
                <c:formatCode>0.00</c:formatCode>
                <c:ptCount val="4"/>
                <c:pt idx="0">
                  <c:v>92.07</c:v>
                </c:pt>
                <c:pt idx="1">
                  <c:v>88.31</c:v>
                </c:pt>
                <c:pt idx="2">
                  <c:v>89.994</c:v>
                </c:pt>
                <c:pt idx="3">
                  <c:v>85.51</c:v>
                </c:pt>
              </c:numCache>
            </c:numRef>
          </c:val>
          <c:smooth val="0"/>
          <c:extLst>
            <c:ext xmlns:c16="http://schemas.microsoft.com/office/drawing/2014/chart" uri="{C3380CC4-5D6E-409C-BE32-E72D297353CC}">
              <c16:uniqueId val="{00000000-6FBB-4E1E-8570-391B7E2B64F3}"/>
            </c:ext>
          </c:extLst>
        </c:ser>
        <c:ser>
          <c:idx val="1"/>
          <c:order val="1"/>
          <c:tx>
            <c:strRef>
              <c:f>COS!$C$7</c:f>
              <c:strCache>
                <c:ptCount val="1"/>
                <c:pt idx="0">
                  <c:v>COS</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COS!$A$8:$A$11</c:f>
              <c:strCache>
                <c:ptCount val="4"/>
                <c:pt idx="0">
                  <c:v>2016/17</c:v>
                </c:pt>
                <c:pt idx="1">
                  <c:v>2017/18</c:v>
                </c:pt>
                <c:pt idx="2">
                  <c:v>2018/19</c:v>
                </c:pt>
                <c:pt idx="3">
                  <c:v>2019/20</c:v>
                </c:pt>
              </c:strCache>
            </c:strRef>
          </c:cat>
          <c:val>
            <c:numRef>
              <c:f>COS!$C$8:$C$11</c:f>
              <c:numCache>
                <c:formatCode>0.00</c:formatCode>
                <c:ptCount val="4"/>
                <c:pt idx="0">
                  <c:v>96.51</c:v>
                </c:pt>
                <c:pt idx="1">
                  <c:v>93.94</c:v>
                </c:pt>
                <c:pt idx="2">
                  <c:v>96.93</c:v>
                </c:pt>
                <c:pt idx="3">
                  <c:v>93.52</c:v>
                </c:pt>
              </c:numCache>
            </c:numRef>
          </c:val>
          <c:smooth val="0"/>
          <c:extLst>
            <c:ext xmlns:c16="http://schemas.microsoft.com/office/drawing/2014/chart" uri="{C3380CC4-5D6E-409C-BE32-E72D297353CC}">
              <c16:uniqueId val="{00000001-6FBB-4E1E-8570-391B7E2B64F3}"/>
            </c:ext>
          </c:extLst>
        </c:ser>
        <c:dLbls>
          <c:dLblPos val="b"/>
          <c:showLegendKey val="0"/>
          <c:showVal val="1"/>
          <c:showCatName val="0"/>
          <c:showSerName val="0"/>
          <c:showPercent val="0"/>
          <c:showBubbleSize val="0"/>
        </c:dLbls>
        <c:marker val="1"/>
        <c:smooth val="0"/>
        <c:axId val="426064520"/>
        <c:axId val="426064912"/>
      </c:lineChart>
      <c:catAx>
        <c:axId val="4260645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064912"/>
        <c:crosses val="autoZero"/>
        <c:auto val="1"/>
        <c:lblAlgn val="ctr"/>
        <c:lblOffset val="100"/>
        <c:noMultiLvlLbl val="0"/>
      </c:catAx>
      <c:valAx>
        <c:axId val="426064912"/>
        <c:scaling>
          <c:orientation val="minMax"/>
          <c:max val="100"/>
          <c:min val="8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064520"/>
        <c:crosses val="autoZero"/>
        <c:crossBetween val="between"/>
        <c:majorUnit val="10"/>
        <c:min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Average WDL per FTE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93482492243019"/>
          <c:y val="0.19042467291882739"/>
          <c:w val="0.8388209386783646"/>
          <c:h val="0.5642120638004452"/>
        </c:manualLayout>
      </c:layout>
      <c:lineChart>
        <c:grouping val="standard"/>
        <c:varyColors val="0"/>
        <c:ser>
          <c:idx val="0"/>
          <c:order val="0"/>
          <c:tx>
            <c:strRef>
              <c:f>COS!$B$113</c:f>
              <c:strCache>
                <c:ptCount val="1"/>
                <c:pt idx="0">
                  <c:v>Fife Council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t" anchorCtr="0">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COS!$A$114:$A$117</c:f>
              <c:strCache>
                <c:ptCount val="4"/>
                <c:pt idx="0">
                  <c:v>2016/17</c:v>
                </c:pt>
                <c:pt idx="1">
                  <c:v>2017/18</c:v>
                </c:pt>
                <c:pt idx="2">
                  <c:v>2018/19</c:v>
                </c:pt>
                <c:pt idx="3">
                  <c:v>2019/20</c:v>
                </c:pt>
              </c:strCache>
            </c:strRef>
          </c:cat>
          <c:val>
            <c:numRef>
              <c:f>COS!$B$114:$B$117</c:f>
              <c:numCache>
                <c:formatCode>0.00</c:formatCode>
                <c:ptCount val="4"/>
                <c:pt idx="0">
                  <c:v>10.130000000000001</c:v>
                </c:pt>
                <c:pt idx="1">
                  <c:v>11.78</c:v>
                </c:pt>
                <c:pt idx="2">
                  <c:v>11.59</c:v>
                </c:pt>
                <c:pt idx="3">
                  <c:v>13.02</c:v>
                </c:pt>
              </c:numCache>
            </c:numRef>
          </c:val>
          <c:smooth val="0"/>
          <c:extLst>
            <c:ext xmlns:c16="http://schemas.microsoft.com/office/drawing/2014/chart" uri="{C3380CC4-5D6E-409C-BE32-E72D297353CC}">
              <c16:uniqueId val="{00000000-E672-4016-AE6C-42FB7946D0D4}"/>
            </c:ext>
          </c:extLst>
        </c:ser>
        <c:ser>
          <c:idx val="1"/>
          <c:order val="1"/>
          <c:tx>
            <c:strRef>
              <c:f>COS!$C$113</c:f>
              <c:strCache>
                <c:ptCount val="1"/>
                <c:pt idx="0">
                  <c:v>COS</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COS!$A$114:$A$117</c:f>
              <c:strCache>
                <c:ptCount val="4"/>
                <c:pt idx="0">
                  <c:v>2016/17</c:v>
                </c:pt>
                <c:pt idx="1">
                  <c:v>2017/18</c:v>
                </c:pt>
                <c:pt idx="2">
                  <c:v>2018/19</c:v>
                </c:pt>
                <c:pt idx="3">
                  <c:v>2019/20</c:v>
                </c:pt>
              </c:strCache>
            </c:strRef>
          </c:cat>
          <c:val>
            <c:numRef>
              <c:f>COS!$C$114:$C$117</c:f>
              <c:numCache>
                <c:formatCode>0.00</c:formatCode>
                <c:ptCount val="4"/>
                <c:pt idx="0">
                  <c:v>11.31</c:v>
                </c:pt>
                <c:pt idx="1">
                  <c:v>12.88</c:v>
                </c:pt>
                <c:pt idx="2">
                  <c:v>13.1</c:v>
                </c:pt>
                <c:pt idx="3">
                  <c:v>12.06</c:v>
                </c:pt>
              </c:numCache>
            </c:numRef>
          </c:val>
          <c:smooth val="0"/>
          <c:extLst>
            <c:ext xmlns:c16="http://schemas.microsoft.com/office/drawing/2014/chart" uri="{C3380CC4-5D6E-409C-BE32-E72D297353CC}">
              <c16:uniqueId val="{00000001-E672-4016-AE6C-42FB7946D0D4}"/>
            </c:ext>
          </c:extLst>
        </c:ser>
        <c:dLbls>
          <c:dLblPos val="b"/>
          <c:showLegendKey val="0"/>
          <c:showVal val="1"/>
          <c:showCatName val="0"/>
          <c:showSerName val="0"/>
          <c:showPercent val="0"/>
          <c:showBubbleSize val="0"/>
        </c:dLbls>
        <c:marker val="1"/>
        <c:smooth val="0"/>
        <c:axId val="426171664"/>
        <c:axId val="426172056"/>
      </c:lineChart>
      <c:catAx>
        <c:axId val="4261716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72056"/>
        <c:crosses val="autoZero"/>
        <c:auto val="1"/>
        <c:lblAlgn val="ctr"/>
        <c:lblOffset val="100"/>
        <c:noMultiLvlLbl val="0"/>
      </c:catAx>
      <c:valAx>
        <c:axId val="426172056"/>
        <c:scaling>
          <c:orientation val="minMax"/>
          <c:max val="15"/>
          <c:min val="8"/>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71664"/>
        <c:crosses val="autoZero"/>
        <c:crossBetween val="between"/>
        <c:majorUnit val="1.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LT WDL per FTE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COS!$B$128</c:f>
              <c:strCache>
                <c:ptCount val="1"/>
                <c:pt idx="0">
                  <c:v>Fife Council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COS!$A$129:$A$132</c:f>
              <c:strCache>
                <c:ptCount val="4"/>
                <c:pt idx="0">
                  <c:v>2016/17</c:v>
                </c:pt>
                <c:pt idx="1">
                  <c:v>2017/18</c:v>
                </c:pt>
                <c:pt idx="2">
                  <c:v>2018/19</c:v>
                </c:pt>
                <c:pt idx="3">
                  <c:v>2019/20</c:v>
                </c:pt>
              </c:strCache>
            </c:strRef>
          </c:cat>
          <c:val>
            <c:numRef>
              <c:f>COS!$B$129:$B$132</c:f>
              <c:numCache>
                <c:formatCode>0.00</c:formatCode>
                <c:ptCount val="4"/>
                <c:pt idx="0">
                  <c:v>6.88</c:v>
                </c:pt>
                <c:pt idx="1">
                  <c:v>7.79</c:v>
                </c:pt>
                <c:pt idx="2">
                  <c:v>7.76</c:v>
                </c:pt>
                <c:pt idx="3">
                  <c:v>7.92</c:v>
                </c:pt>
              </c:numCache>
            </c:numRef>
          </c:val>
          <c:smooth val="0"/>
          <c:extLst>
            <c:ext xmlns:c16="http://schemas.microsoft.com/office/drawing/2014/chart" uri="{C3380CC4-5D6E-409C-BE32-E72D297353CC}">
              <c16:uniqueId val="{00000000-DDDB-47F3-96D0-06CF9AA5CD90}"/>
            </c:ext>
          </c:extLst>
        </c:ser>
        <c:ser>
          <c:idx val="1"/>
          <c:order val="1"/>
          <c:tx>
            <c:strRef>
              <c:f>COS!$C$128</c:f>
              <c:strCache>
                <c:ptCount val="1"/>
                <c:pt idx="0">
                  <c:v>COS</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dLbl>
              <c:idx val="1"/>
              <c:layout>
                <c:manualLayout>
                  <c:x val="-4.6849326468899041E-2"/>
                  <c:y val="4.17120002384670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DB-47F3-96D0-06CF9AA5CD90}"/>
                </c:ext>
              </c:extLst>
            </c:dLbl>
            <c:dLbl>
              <c:idx val="2"/>
              <c:layout>
                <c:manualLayout>
                  <c:x val="-5.7279572759591307E-2"/>
                  <c:y val="-5.29295934926561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DB-47F3-96D0-06CF9AA5CD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COS!$A$129:$A$132</c:f>
              <c:strCache>
                <c:ptCount val="4"/>
                <c:pt idx="0">
                  <c:v>2016/17</c:v>
                </c:pt>
                <c:pt idx="1">
                  <c:v>2017/18</c:v>
                </c:pt>
                <c:pt idx="2">
                  <c:v>2018/19</c:v>
                </c:pt>
                <c:pt idx="3">
                  <c:v>2019/20</c:v>
                </c:pt>
              </c:strCache>
            </c:strRef>
          </c:cat>
          <c:val>
            <c:numRef>
              <c:f>COS!$C$129:$C$132</c:f>
              <c:numCache>
                <c:formatCode>0.00</c:formatCode>
                <c:ptCount val="4"/>
                <c:pt idx="0">
                  <c:v>6.35</c:v>
                </c:pt>
                <c:pt idx="1">
                  <c:v>6.78</c:v>
                </c:pt>
                <c:pt idx="2">
                  <c:v>8.67</c:v>
                </c:pt>
                <c:pt idx="3">
                  <c:v>7.52</c:v>
                </c:pt>
              </c:numCache>
            </c:numRef>
          </c:val>
          <c:smooth val="0"/>
          <c:extLst>
            <c:ext xmlns:c16="http://schemas.microsoft.com/office/drawing/2014/chart" uri="{C3380CC4-5D6E-409C-BE32-E72D297353CC}">
              <c16:uniqueId val="{00000003-DDDB-47F3-96D0-06CF9AA5CD90}"/>
            </c:ext>
          </c:extLst>
        </c:ser>
        <c:dLbls>
          <c:dLblPos val="b"/>
          <c:showLegendKey val="0"/>
          <c:showVal val="1"/>
          <c:showCatName val="0"/>
          <c:showSerName val="0"/>
          <c:showPercent val="0"/>
          <c:showBubbleSize val="0"/>
        </c:dLbls>
        <c:marker val="1"/>
        <c:smooth val="0"/>
        <c:axId val="426172840"/>
        <c:axId val="426173232"/>
      </c:lineChart>
      <c:catAx>
        <c:axId val="42617284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73232"/>
        <c:crosses val="autoZero"/>
        <c:auto val="1"/>
        <c:lblAlgn val="ctr"/>
        <c:lblOffset val="100"/>
        <c:noMultiLvlLbl val="0"/>
      </c:catAx>
      <c:valAx>
        <c:axId val="426173232"/>
        <c:scaling>
          <c:orientation val="minMax"/>
          <c:min val="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72840"/>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 Absence Rate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COS!$B$143</c:f>
              <c:strCache>
                <c:ptCount val="1"/>
                <c:pt idx="0">
                  <c:v>Fife Council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COS!$A$144:$A$147</c:f>
              <c:strCache>
                <c:ptCount val="4"/>
                <c:pt idx="0">
                  <c:v>2016/17</c:v>
                </c:pt>
                <c:pt idx="1">
                  <c:v>2017/18</c:v>
                </c:pt>
                <c:pt idx="2">
                  <c:v>2018/19</c:v>
                </c:pt>
                <c:pt idx="3">
                  <c:v>2019/20</c:v>
                </c:pt>
              </c:strCache>
            </c:strRef>
          </c:cat>
          <c:val>
            <c:numRef>
              <c:f>COS!$B$144:$B$147</c:f>
              <c:numCache>
                <c:formatCode>0.00</c:formatCode>
                <c:ptCount val="4"/>
                <c:pt idx="0">
                  <c:v>4.67</c:v>
                </c:pt>
                <c:pt idx="1">
                  <c:v>5.43</c:v>
                </c:pt>
                <c:pt idx="2">
                  <c:v>5.3</c:v>
                </c:pt>
                <c:pt idx="3">
                  <c:v>5.51</c:v>
                </c:pt>
              </c:numCache>
            </c:numRef>
          </c:val>
          <c:smooth val="0"/>
          <c:extLst>
            <c:ext xmlns:c16="http://schemas.microsoft.com/office/drawing/2014/chart" uri="{C3380CC4-5D6E-409C-BE32-E72D297353CC}">
              <c16:uniqueId val="{00000000-FC76-4536-B93B-E21F90E59F33}"/>
            </c:ext>
          </c:extLst>
        </c:ser>
        <c:ser>
          <c:idx val="1"/>
          <c:order val="1"/>
          <c:tx>
            <c:strRef>
              <c:f>COS!$C$143</c:f>
              <c:strCache>
                <c:ptCount val="1"/>
                <c:pt idx="0">
                  <c:v>COS</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COS!$A$144:$A$147</c:f>
              <c:strCache>
                <c:ptCount val="4"/>
                <c:pt idx="0">
                  <c:v>2016/17</c:v>
                </c:pt>
                <c:pt idx="1">
                  <c:v>2017/18</c:v>
                </c:pt>
                <c:pt idx="2">
                  <c:v>2018/19</c:v>
                </c:pt>
                <c:pt idx="3">
                  <c:v>2019/20</c:v>
                </c:pt>
              </c:strCache>
            </c:strRef>
          </c:cat>
          <c:val>
            <c:numRef>
              <c:f>COS!$C$144:$C$147</c:f>
              <c:numCache>
                <c:formatCode>0.00</c:formatCode>
                <c:ptCount val="4"/>
                <c:pt idx="0">
                  <c:v>5.01</c:v>
                </c:pt>
                <c:pt idx="1">
                  <c:v>5.78</c:v>
                </c:pt>
                <c:pt idx="2">
                  <c:v>5.85</c:v>
                </c:pt>
                <c:pt idx="3">
                  <c:v>5.72</c:v>
                </c:pt>
              </c:numCache>
            </c:numRef>
          </c:val>
          <c:smooth val="0"/>
          <c:extLst>
            <c:ext xmlns:c16="http://schemas.microsoft.com/office/drawing/2014/chart" uri="{C3380CC4-5D6E-409C-BE32-E72D297353CC}">
              <c16:uniqueId val="{00000001-FC76-4536-B93B-E21F90E59F33}"/>
            </c:ext>
          </c:extLst>
        </c:ser>
        <c:dLbls>
          <c:dLblPos val="t"/>
          <c:showLegendKey val="0"/>
          <c:showVal val="1"/>
          <c:showCatName val="0"/>
          <c:showSerName val="0"/>
          <c:showPercent val="0"/>
          <c:showBubbleSize val="0"/>
        </c:dLbls>
        <c:marker val="1"/>
        <c:smooth val="0"/>
        <c:axId val="426174016"/>
        <c:axId val="426174408"/>
      </c:lineChart>
      <c:catAx>
        <c:axId val="4261740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74408"/>
        <c:crosses val="autoZero"/>
        <c:auto val="1"/>
        <c:lblAlgn val="ctr"/>
        <c:lblOffset val="100"/>
        <c:noMultiLvlLbl val="0"/>
      </c:catAx>
      <c:valAx>
        <c:axId val="426174408"/>
        <c:scaling>
          <c:orientation val="minMax"/>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74016"/>
        <c:crosses val="autoZero"/>
        <c:crossBetween val="between"/>
        <c:majorUnit val="1.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 Calls Answered - General</a:t>
            </a:r>
          </a:p>
        </c:rich>
      </c:tx>
      <c:layout>
        <c:manualLayout>
          <c:xMode val="edge"/>
          <c:yMode val="edge"/>
          <c:x val="0.37090831840886457"/>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93482492243019"/>
          <c:y val="0.12918599462221828"/>
          <c:w val="0.8388209386783646"/>
          <c:h val="0.75349525126269157"/>
        </c:manualLayout>
      </c:layout>
      <c:lineChart>
        <c:grouping val="standard"/>
        <c:varyColors val="0"/>
        <c:ser>
          <c:idx val="0"/>
          <c:order val="0"/>
          <c:tx>
            <c:strRef>
              <c:f>COS!$B$158</c:f>
              <c:strCache>
                <c:ptCount val="1"/>
                <c:pt idx="0">
                  <c:v>General</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COS!$A$159:$A$162</c:f>
              <c:strCache>
                <c:ptCount val="4"/>
                <c:pt idx="0">
                  <c:v>2016/17</c:v>
                </c:pt>
                <c:pt idx="1">
                  <c:v>2017/18</c:v>
                </c:pt>
                <c:pt idx="2">
                  <c:v>2018/19</c:v>
                </c:pt>
                <c:pt idx="3">
                  <c:v>2019/20 </c:v>
                </c:pt>
              </c:strCache>
            </c:strRef>
          </c:cat>
          <c:val>
            <c:numRef>
              <c:f>COS!$B$159:$B$162</c:f>
              <c:numCache>
                <c:formatCode>0.00</c:formatCode>
                <c:ptCount val="4"/>
                <c:pt idx="0">
                  <c:v>87.55</c:v>
                </c:pt>
                <c:pt idx="1">
                  <c:v>80.22</c:v>
                </c:pt>
                <c:pt idx="2">
                  <c:v>73.08</c:v>
                </c:pt>
                <c:pt idx="3">
                  <c:v>84.9</c:v>
                </c:pt>
              </c:numCache>
            </c:numRef>
          </c:val>
          <c:smooth val="0"/>
          <c:extLst>
            <c:ext xmlns:c16="http://schemas.microsoft.com/office/drawing/2014/chart" uri="{C3380CC4-5D6E-409C-BE32-E72D297353CC}">
              <c16:uniqueId val="{00000000-4DE9-4266-9D28-0AF4991AB522}"/>
            </c:ext>
          </c:extLst>
        </c:ser>
        <c:dLbls>
          <c:dLblPos val="b"/>
          <c:showLegendKey val="0"/>
          <c:showVal val="1"/>
          <c:showCatName val="0"/>
          <c:showSerName val="0"/>
          <c:showPercent val="0"/>
          <c:showBubbleSize val="0"/>
        </c:dLbls>
        <c:marker val="1"/>
        <c:smooth val="0"/>
        <c:axId val="426175192"/>
        <c:axId val="426175584"/>
      </c:lineChart>
      <c:catAx>
        <c:axId val="42617519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75584"/>
        <c:crosses val="autoZero"/>
        <c:auto val="1"/>
        <c:lblAlgn val="ctr"/>
        <c:lblOffset val="100"/>
        <c:noMultiLvlLbl val="0"/>
      </c:catAx>
      <c:valAx>
        <c:axId val="426175584"/>
        <c:scaling>
          <c:orientation val="minMax"/>
          <c:max val="100"/>
          <c:min val="6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75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 Calls Answered - Out of Hours</a:t>
            </a:r>
          </a:p>
        </c:rich>
      </c:tx>
      <c:layout>
        <c:manualLayout>
          <c:xMode val="edge"/>
          <c:yMode val="edge"/>
          <c:x val="0.37090831840886457"/>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50457863173784"/>
          <c:y val="0.1580743613078516"/>
          <c:w val="0.84925118496905694"/>
          <c:h val="0.71999419670531128"/>
        </c:manualLayout>
      </c:layout>
      <c:lineChart>
        <c:grouping val="standard"/>
        <c:varyColors val="0"/>
        <c:ser>
          <c:idx val="1"/>
          <c:order val="1"/>
          <c:tx>
            <c:strRef>
              <c:f>COS!$C$158</c:f>
              <c:strCache>
                <c:ptCount val="1"/>
                <c:pt idx="0">
                  <c:v>Out of Hours</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COS!$A$159:$A$162</c:f>
              <c:strCache>
                <c:ptCount val="4"/>
                <c:pt idx="0">
                  <c:v>2016/17</c:v>
                </c:pt>
                <c:pt idx="1">
                  <c:v>2017/18</c:v>
                </c:pt>
                <c:pt idx="2">
                  <c:v>2018/19</c:v>
                </c:pt>
                <c:pt idx="3">
                  <c:v>2019/20 </c:v>
                </c:pt>
              </c:strCache>
            </c:strRef>
          </c:cat>
          <c:val>
            <c:numRef>
              <c:f>COS!$C$159:$C$162</c:f>
              <c:numCache>
                <c:formatCode>0.00</c:formatCode>
                <c:ptCount val="4"/>
                <c:pt idx="0">
                  <c:v>91.66</c:v>
                </c:pt>
                <c:pt idx="1">
                  <c:v>90.08</c:v>
                </c:pt>
                <c:pt idx="2">
                  <c:v>92.43</c:v>
                </c:pt>
                <c:pt idx="3">
                  <c:v>93.39</c:v>
                </c:pt>
              </c:numCache>
            </c:numRef>
          </c:val>
          <c:smooth val="0"/>
          <c:extLst>
            <c:ext xmlns:c16="http://schemas.microsoft.com/office/drawing/2014/chart" uri="{C3380CC4-5D6E-409C-BE32-E72D297353CC}">
              <c16:uniqueId val="{00000000-689E-4647-9BFD-7FB72071B875}"/>
            </c:ext>
          </c:extLst>
        </c:ser>
        <c:dLbls>
          <c:dLblPos val="b"/>
          <c:showLegendKey val="0"/>
          <c:showVal val="1"/>
          <c:showCatName val="0"/>
          <c:showSerName val="0"/>
          <c:showPercent val="0"/>
          <c:showBubbleSize val="0"/>
        </c:dLbls>
        <c:marker val="1"/>
        <c:smooth val="0"/>
        <c:axId val="426177544"/>
        <c:axId val="426177936"/>
        <c:extLst>
          <c:ext xmlns:c15="http://schemas.microsoft.com/office/drawing/2012/chart" uri="{02D57815-91ED-43cb-92C2-25804820EDAC}">
            <c15:filteredLineSeries>
              <c15:ser>
                <c:idx val="0"/>
                <c:order val="0"/>
                <c:tx>
                  <c:strRef>
                    <c:extLst>
                      <c:ext uri="{02D57815-91ED-43cb-92C2-25804820EDAC}">
                        <c15:formulaRef>
                          <c15:sqref>COS!$B$158</c15:sqref>
                        </c15:formulaRef>
                      </c:ext>
                    </c:extLst>
                    <c:strCache>
                      <c:ptCount val="1"/>
                      <c:pt idx="0">
                        <c:v>General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COS!$A$159:$A$162</c15:sqref>
                        </c15:formulaRef>
                      </c:ext>
                    </c:extLst>
                    <c:strCache>
                      <c:ptCount val="4"/>
                      <c:pt idx="0">
                        <c:v>2016/17</c:v>
                      </c:pt>
                      <c:pt idx="1">
                        <c:v>2017/18</c:v>
                      </c:pt>
                      <c:pt idx="2">
                        <c:v>2018/19</c:v>
                      </c:pt>
                      <c:pt idx="3">
                        <c:v>2019/20 </c:v>
                      </c:pt>
                    </c:strCache>
                  </c:strRef>
                </c:cat>
                <c:val>
                  <c:numRef>
                    <c:extLst>
                      <c:ext uri="{02D57815-91ED-43cb-92C2-25804820EDAC}">
                        <c15:formulaRef>
                          <c15:sqref>COS!$B$159:$B$162</c15:sqref>
                        </c15:formulaRef>
                      </c:ext>
                    </c:extLst>
                    <c:numCache>
                      <c:formatCode>0.00</c:formatCode>
                      <c:ptCount val="4"/>
                      <c:pt idx="0">
                        <c:v>87.55</c:v>
                      </c:pt>
                      <c:pt idx="1">
                        <c:v>80.22</c:v>
                      </c:pt>
                      <c:pt idx="2">
                        <c:v>73.08</c:v>
                      </c:pt>
                      <c:pt idx="3">
                        <c:v>84.9</c:v>
                      </c:pt>
                    </c:numCache>
                  </c:numRef>
                </c:val>
                <c:smooth val="0"/>
                <c:extLst>
                  <c:ext xmlns:c16="http://schemas.microsoft.com/office/drawing/2014/chart" uri="{C3380CC4-5D6E-409C-BE32-E72D297353CC}">
                    <c16:uniqueId val="{00000001-689E-4647-9BFD-7FB72071B875}"/>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COS!$D$158</c15:sqref>
                        </c15:formulaRef>
                      </c:ext>
                    </c:extLst>
                    <c:strCache>
                      <c:ptCount val="1"/>
                      <c:pt idx="0">
                        <c:v>Repairs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COS!$A$159:$A$162</c15:sqref>
                        </c15:formulaRef>
                      </c:ext>
                    </c:extLst>
                    <c:strCache>
                      <c:ptCount val="4"/>
                      <c:pt idx="0">
                        <c:v>2016/17</c:v>
                      </c:pt>
                      <c:pt idx="1">
                        <c:v>2017/18</c:v>
                      </c:pt>
                      <c:pt idx="2">
                        <c:v>2018/19</c:v>
                      </c:pt>
                      <c:pt idx="3">
                        <c:v>2019/20 </c:v>
                      </c:pt>
                    </c:strCache>
                  </c:strRef>
                </c:cat>
                <c:val>
                  <c:numRef>
                    <c:extLst xmlns:c15="http://schemas.microsoft.com/office/drawing/2012/chart">
                      <c:ext xmlns:c15="http://schemas.microsoft.com/office/drawing/2012/chart" uri="{02D57815-91ED-43cb-92C2-25804820EDAC}">
                        <c15:formulaRef>
                          <c15:sqref>COS!$D$159:$D$162</c15:sqref>
                        </c15:formulaRef>
                      </c:ext>
                    </c:extLst>
                    <c:numCache>
                      <c:formatCode>0.00</c:formatCode>
                      <c:ptCount val="4"/>
                      <c:pt idx="0">
                        <c:v>87.55</c:v>
                      </c:pt>
                      <c:pt idx="1">
                        <c:v>80.22</c:v>
                      </c:pt>
                      <c:pt idx="2">
                        <c:v>77.81</c:v>
                      </c:pt>
                      <c:pt idx="3">
                        <c:v>73.34</c:v>
                      </c:pt>
                    </c:numCache>
                  </c:numRef>
                </c:val>
                <c:smooth val="0"/>
                <c:extLst xmlns:c15="http://schemas.microsoft.com/office/drawing/2012/chart">
                  <c:ext xmlns:c16="http://schemas.microsoft.com/office/drawing/2014/chart" uri="{C3380CC4-5D6E-409C-BE32-E72D297353CC}">
                    <c16:uniqueId val="{00000002-689E-4647-9BFD-7FB72071B875}"/>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COS!$E$158</c15:sqref>
                        </c15:formulaRef>
                      </c:ext>
                    </c:extLst>
                    <c:strCache>
                      <c:ptCount val="1"/>
                      <c:pt idx="0">
                        <c:v>Social Work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COS!$A$159:$A$162</c15:sqref>
                        </c15:formulaRef>
                      </c:ext>
                    </c:extLst>
                    <c:strCache>
                      <c:ptCount val="4"/>
                      <c:pt idx="0">
                        <c:v>2016/17</c:v>
                      </c:pt>
                      <c:pt idx="1">
                        <c:v>2017/18</c:v>
                      </c:pt>
                      <c:pt idx="2">
                        <c:v>2018/19</c:v>
                      </c:pt>
                      <c:pt idx="3">
                        <c:v>2019/20 </c:v>
                      </c:pt>
                    </c:strCache>
                  </c:strRef>
                </c:cat>
                <c:val>
                  <c:numRef>
                    <c:extLst xmlns:c15="http://schemas.microsoft.com/office/drawing/2012/chart">
                      <c:ext xmlns:c15="http://schemas.microsoft.com/office/drawing/2012/chart" uri="{02D57815-91ED-43cb-92C2-25804820EDAC}">
                        <c15:formulaRef>
                          <c15:sqref>COS!$E$159:$E$162</c15:sqref>
                        </c15:formulaRef>
                      </c:ext>
                    </c:extLst>
                    <c:numCache>
                      <c:formatCode>0.00</c:formatCode>
                      <c:ptCount val="4"/>
                      <c:pt idx="0">
                        <c:v>84</c:v>
                      </c:pt>
                      <c:pt idx="1">
                        <c:v>82.65</c:v>
                      </c:pt>
                      <c:pt idx="2">
                        <c:v>83.16</c:v>
                      </c:pt>
                      <c:pt idx="3">
                        <c:v>76.989999999999995</c:v>
                      </c:pt>
                    </c:numCache>
                  </c:numRef>
                </c:val>
                <c:smooth val="0"/>
                <c:extLst xmlns:c15="http://schemas.microsoft.com/office/drawing/2012/chart">
                  <c:ext xmlns:c16="http://schemas.microsoft.com/office/drawing/2014/chart" uri="{C3380CC4-5D6E-409C-BE32-E72D297353CC}">
                    <c16:uniqueId val="{00000003-689E-4647-9BFD-7FB72071B875}"/>
                  </c:ext>
                </c:extLst>
              </c15:ser>
            </c15:filteredLineSeries>
          </c:ext>
        </c:extLst>
      </c:lineChart>
      <c:catAx>
        <c:axId val="42617754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77936"/>
        <c:crosses val="autoZero"/>
        <c:auto val="1"/>
        <c:lblAlgn val="ctr"/>
        <c:lblOffset val="100"/>
        <c:noMultiLvlLbl val="0"/>
      </c:catAx>
      <c:valAx>
        <c:axId val="426177936"/>
        <c:scaling>
          <c:orientation val="minMax"/>
          <c:min val="8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77544"/>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 Calls Answered - Repairs</a:t>
            </a:r>
          </a:p>
        </c:rich>
      </c:tx>
      <c:layout>
        <c:manualLayout>
          <c:xMode val="edge"/>
          <c:yMode val="edge"/>
          <c:x val="0.37090831840886457"/>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945807615886608"/>
          <c:y val="0.12918599462221828"/>
          <c:w val="0.84229768744192857"/>
          <c:h val="0.75349525126269157"/>
        </c:manualLayout>
      </c:layout>
      <c:lineChart>
        <c:grouping val="standard"/>
        <c:varyColors val="0"/>
        <c:ser>
          <c:idx val="2"/>
          <c:order val="2"/>
          <c:tx>
            <c:strRef>
              <c:f>COS!$D$158</c:f>
              <c:strCache>
                <c:ptCount val="1"/>
                <c:pt idx="0">
                  <c:v>Repairs</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COS!$A$159:$A$162</c:f>
              <c:strCache>
                <c:ptCount val="4"/>
                <c:pt idx="0">
                  <c:v>2016/17</c:v>
                </c:pt>
                <c:pt idx="1">
                  <c:v>2017/18</c:v>
                </c:pt>
                <c:pt idx="2">
                  <c:v>2018/19</c:v>
                </c:pt>
                <c:pt idx="3">
                  <c:v>2019/20 </c:v>
                </c:pt>
              </c:strCache>
            </c:strRef>
          </c:cat>
          <c:val>
            <c:numRef>
              <c:f>COS!$D$159:$D$162</c:f>
              <c:numCache>
                <c:formatCode>0.00</c:formatCode>
                <c:ptCount val="4"/>
                <c:pt idx="0">
                  <c:v>87.55</c:v>
                </c:pt>
                <c:pt idx="1">
                  <c:v>80.22</c:v>
                </c:pt>
                <c:pt idx="2">
                  <c:v>77.81</c:v>
                </c:pt>
                <c:pt idx="3">
                  <c:v>73.34</c:v>
                </c:pt>
              </c:numCache>
            </c:numRef>
          </c:val>
          <c:smooth val="0"/>
          <c:extLst>
            <c:ext xmlns:c16="http://schemas.microsoft.com/office/drawing/2014/chart" uri="{C3380CC4-5D6E-409C-BE32-E72D297353CC}">
              <c16:uniqueId val="{00000000-EC09-4DC4-B672-F2A982E60F32}"/>
            </c:ext>
          </c:extLst>
        </c:ser>
        <c:dLbls>
          <c:dLblPos val="b"/>
          <c:showLegendKey val="0"/>
          <c:showVal val="1"/>
          <c:showCatName val="0"/>
          <c:showSerName val="0"/>
          <c:showPercent val="0"/>
          <c:showBubbleSize val="0"/>
        </c:dLbls>
        <c:marker val="1"/>
        <c:smooth val="0"/>
        <c:axId val="426178720"/>
        <c:axId val="426179112"/>
        <c:extLst>
          <c:ext xmlns:c15="http://schemas.microsoft.com/office/drawing/2012/chart" uri="{02D57815-91ED-43cb-92C2-25804820EDAC}">
            <c15:filteredLineSeries>
              <c15:ser>
                <c:idx val="0"/>
                <c:order val="0"/>
                <c:tx>
                  <c:strRef>
                    <c:extLst>
                      <c:ext uri="{02D57815-91ED-43cb-92C2-25804820EDAC}">
                        <c15:formulaRef>
                          <c15:sqref>COS!$B$158</c15:sqref>
                        </c15:formulaRef>
                      </c:ext>
                    </c:extLst>
                    <c:strCache>
                      <c:ptCount val="1"/>
                      <c:pt idx="0">
                        <c:v>General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COS!$A$159:$A$162</c15:sqref>
                        </c15:formulaRef>
                      </c:ext>
                    </c:extLst>
                    <c:strCache>
                      <c:ptCount val="4"/>
                      <c:pt idx="0">
                        <c:v>2016/17</c:v>
                      </c:pt>
                      <c:pt idx="1">
                        <c:v>2017/18</c:v>
                      </c:pt>
                      <c:pt idx="2">
                        <c:v>2018/19</c:v>
                      </c:pt>
                      <c:pt idx="3">
                        <c:v>2019/20 </c:v>
                      </c:pt>
                    </c:strCache>
                  </c:strRef>
                </c:cat>
                <c:val>
                  <c:numRef>
                    <c:extLst>
                      <c:ext uri="{02D57815-91ED-43cb-92C2-25804820EDAC}">
                        <c15:formulaRef>
                          <c15:sqref>COS!$B$159:$B$162</c15:sqref>
                        </c15:formulaRef>
                      </c:ext>
                    </c:extLst>
                    <c:numCache>
                      <c:formatCode>0.00</c:formatCode>
                      <c:ptCount val="4"/>
                      <c:pt idx="0">
                        <c:v>87.55</c:v>
                      </c:pt>
                      <c:pt idx="1">
                        <c:v>80.22</c:v>
                      </c:pt>
                      <c:pt idx="2">
                        <c:v>73.08</c:v>
                      </c:pt>
                      <c:pt idx="3">
                        <c:v>84.9</c:v>
                      </c:pt>
                    </c:numCache>
                  </c:numRef>
                </c:val>
                <c:smooth val="0"/>
                <c:extLst>
                  <c:ext xmlns:c16="http://schemas.microsoft.com/office/drawing/2014/chart" uri="{C3380CC4-5D6E-409C-BE32-E72D297353CC}">
                    <c16:uniqueId val="{00000001-EC09-4DC4-B672-F2A982E60F32}"/>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COS!$C$158</c15:sqref>
                        </c15:formulaRef>
                      </c:ext>
                    </c:extLst>
                    <c:strCache>
                      <c:ptCount val="1"/>
                      <c:pt idx="0">
                        <c:v>Out of Hours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COS!$A$159:$A$162</c15:sqref>
                        </c15:formulaRef>
                      </c:ext>
                    </c:extLst>
                    <c:strCache>
                      <c:ptCount val="4"/>
                      <c:pt idx="0">
                        <c:v>2016/17</c:v>
                      </c:pt>
                      <c:pt idx="1">
                        <c:v>2017/18</c:v>
                      </c:pt>
                      <c:pt idx="2">
                        <c:v>2018/19</c:v>
                      </c:pt>
                      <c:pt idx="3">
                        <c:v>2019/20 </c:v>
                      </c:pt>
                    </c:strCache>
                  </c:strRef>
                </c:cat>
                <c:val>
                  <c:numRef>
                    <c:extLst xmlns:c15="http://schemas.microsoft.com/office/drawing/2012/chart">
                      <c:ext xmlns:c15="http://schemas.microsoft.com/office/drawing/2012/chart" uri="{02D57815-91ED-43cb-92C2-25804820EDAC}">
                        <c15:formulaRef>
                          <c15:sqref>COS!$C$159:$C$162</c15:sqref>
                        </c15:formulaRef>
                      </c:ext>
                    </c:extLst>
                    <c:numCache>
                      <c:formatCode>0.00</c:formatCode>
                      <c:ptCount val="4"/>
                      <c:pt idx="0">
                        <c:v>91.66</c:v>
                      </c:pt>
                      <c:pt idx="1">
                        <c:v>90.08</c:v>
                      </c:pt>
                      <c:pt idx="2">
                        <c:v>92.43</c:v>
                      </c:pt>
                      <c:pt idx="3">
                        <c:v>93.39</c:v>
                      </c:pt>
                    </c:numCache>
                  </c:numRef>
                </c:val>
                <c:smooth val="0"/>
                <c:extLst xmlns:c15="http://schemas.microsoft.com/office/drawing/2012/chart">
                  <c:ext xmlns:c16="http://schemas.microsoft.com/office/drawing/2014/chart" uri="{C3380CC4-5D6E-409C-BE32-E72D297353CC}">
                    <c16:uniqueId val="{00000002-EC09-4DC4-B672-F2A982E60F3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COS!$E$158</c15:sqref>
                        </c15:formulaRef>
                      </c:ext>
                    </c:extLst>
                    <c:strCache>
                      <c:ptCount val="1"/>
                      <c:pt idx="0">
                        <c:v>Social Work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COS!$A$159:$A$162</c15:sqref>
                        </c15:formulaRef>
                      </c:ext>
                    </c:extLst>
                    <c:strCache>
                      <c:ptCount val="4"/>
                      <c:pt idx="0">
                        <c:v>2016/17</c:v>
                      </c:pt>
                      <c:pt idx="1">
                        <c:v>2017/18</c:v>
                      </c:pt>
                      <c:pt idx="2">
                        <c:v>2018/19</c:v>
                      </c:pt>
                      <c:pt idx="3">
                        <c:v>2019/20 </c:v>
                      </c:pt>
                    </c:strCache>
                  </c:strRef>
                </c:cat>
                <c:val>
                  <c:numRef>
                    <c:extLst xmlns:c15="http://schemas.microsoft.com/office/drawing/2012/chart">
                      <c:ext xmlns:c15="http://schemas.microsoft.com/office/drawing/2012/chart" uri="{02D57815-91ED-43cb-92C2-25804820EDAC}">
                        <c15:formulaRef>
                          <c15:sqref>COS!$E$159:$E$162</c15:sqref>
                        </c15:formulaRef>
                      </c:ext>
                    </c:extLst>
                    <c:numCache>
                      <c:formatCode>0.00</c:formatCode>
                      <c:ptCount val="4"/>
                      <c:pt idx="0">
                        <c:v>84</c:v>
                      </c:pt>
                      <c:pt idx="1">
                        <c:v>82.65</c:v>
                      </c:pt>
                      <c:pt idx="2">
                        <c:v>83.16</c:v>
                      </c:pt>
                      <c:pt idx="3">
                        <c:v>76.989999999999995</c:v>
                      </c:pt>
                    </c:numCache>
                  </c:numRef>
                </c:val>
                <c:smooth val="0"/>
                <c:extLst xmlns:c15="http://schemas.microsoft.com/office/drawing/2012/chart">
                  <c:ext xmlns:c16="http://schemas.microsoft.com/office/drawing/2014/chart" uri="{C3380CC4-5D6E-409C-BE32-E72D297353CC}">
                    <c16:uniqueId val="{00000003-EC09-4DC4-B672-F2A982E60F32}"/>
                  </c:ext>
                </c:extLst>
              </c15:ser>
            </c15:filteredLineSeries>
          </c:ext>
        </c:extLst>
      </c:lineChart>
      <c:catAx>
        <c:axId val="4261787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79112"/>
        <c:crosses val="autoZero"/>
        <c:auto val="1"/>
        <c:lblAlgn val="ctr"/>
        <c:lblOffset val="100"/>
        <c:noMultiLvlLbl val="0"/>
      </c:catAx>
      <c:valAx>
        <c:axId val="426179112"/>
        <c:scaling>
          <c:orientation val="minMax"/>
          <c:max val="90"/>
          <c:min val="6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rgbClr val="00B05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78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 Combined Contacts - Social Work</a:t>
            </a:r>
          </a:p>
        </c:rich>
      </c:tx>
      <c:layout>
        <c:manualLayout>
          <c:xMode val="edge"/>
          <c:yMode val="edge"/>
          <c:x val="0.30137334313758229"/>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598132739530195"/>
          <c:y val="0.12918599462221828"/>
          <c:w val="0.84577443620549275"/>
          <c:h val="0.75349525126269157"/>
        </c:manualLayout>
      </c:layout>
      <c:lineChart>
        <c:grouping val="standard"/>
        <c:varyColors val="0"/>
        <c:ser>
          <c:idx val="3"/>
          <c:order val="3"/>
          <c:tx>
            <c:strRef>
              <c:f>COS!$E$158</c:f>
              <c:strCache>
                <c:ptCount val="1"/>
                <c:pt idx="0">
                  <c:v>Social Work</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COS!$A$159:$A$162</c:f>
              <c:strCache>
                <c:ptCount val="4"/>
                <c:pt idx="0">
                  <c:v>2016/17</c:v>
                </c:pt>
                <c:pt idx="1">
                  <c:v>2017/18</c:v>
                </c:pt>
                <c:pt idx="2">
                  <c:v>2018/19</c:v>
                </c:pt>
                <c:pt idx="3">
                  <c:v>2019/20 </c:v>
                </c:pt>
              </c:strCache>
            </c:strRef>
          </c:cat>
          <c:val>
            <c:numRef>
              <c:f>COS!$E$159:$E$162</c:f>
              <c:numCache>
                <c:formatCode>0.00</c:formatCode>
                <c:ptCount val="4"/>
                <c:pt idx="0">
                  <c:v>84</c:v>
                </c:pt>
                <c:pt idx="1">
                  <c:v>82.65</c:v>
                </c:pt>
                <c:pt idx="2">
                  <c:v>83.16</c:v>
                </c:pt>
                <c:pt idx="3">
                  <c:v>84.92</c:v>
                </c:pt>
              </c:numCache>
            </c:numRef>
          </c:val>
          <c:smooth val="0"/>
          <c:extLst>
            <c:ext xmlns:c16="http://schemas.microsoft.com/office/drawing/2014/chart" uri="{C3380CC4-5D6E-409C-BE32-E72D297353CC}">
              <c16:uniqueId val="{00000000-3070-41C5-A2A3-0F3B2C0CA886}"/>
            </c:ext>
          </c:extLst>
        </c:ser>
        <c:dLbls>
          <c:dLblPos val="b"/>
          <c:showLegendKey val="0"/>
          <c:showVal val="1"/>
          <c:showCatName val="0"/>
          <c:showSerName val="0"/>
          <c:showPercent val="0"/>
          <c:showBubbleSize val="0"/>
        </c:dLbls>
        <c:marker val="1"/>
        <c:smooth val="0"/>
        <c:axId val="426179896"/>
        <c:axId val="426180288"/>
        <c:extLst>
          <c:ext xmlns:c15="http://schemas.microsoft.com/office/drawing/2012/chart" uri="{02D57815-91ED-43cb-92C2-25804820EDAC}">
            <c15:filteredLineSeries>
              <c15:ser>
                <c:idx val="0"/>
                <c:order val="0"/>
                <c:tx>
                  <c:strRef>
                    <c:extLst>
                      <c:ext uri="{02D57815-91ED-43cb-92C2-25804820EDAC}">
                        <c15:formulaRef>
                          <c15:sqref>COS!$B$158</c15:sqref>
                        </c15:formulaRef>
                      </c:ext>
                    </c:extLst>
                    <c:strCache>
                      <c:ptCount val="1"/>
                      <c:pt idx="0">
                        <c:v>General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COS!$A$159:$A$162</c15:sqref>
                        </c15:formulaRef>
                      </c:ext>
                    </c:extLst>
                    <c:strCache>
                      <c:ptCount val="4"/>
                      <c:pt idx="0">
                        <c:v>2016/17</c:v>
                      </c:pt>
                      <c:pt idx="1">
                        <c:v>2017/18</c:v>
                      </c:pt>
                      <c:pt idx="2">
                        <c:v>2018/19</c:v>
                      </c:pt>
                      <c:pt idx="3">
                        <c:v>2019/20 </c:v>
                      </c:pt>
                    </c:strCache>
                  </c:strRef>
                </c:cat>
                <c:val>
                  <c:numRef>
                    <c:extLst>
                      <c:ext uri="{02D57815-91ED-43cb-92C2-25804820EDAC}">
                        <c15:formulaRef>
                          <c15:sqref>COS!$B$159:$B$162</c15:sqref>
                        </c15:formulaRef>
                      </c:ext>
                    </c:extLst>
                    <c:numCache>
                      <c:formatCode>0.00</c:formatCode>
                      <c:ptCount val="4"/>
                      <c:pt idx="0">
                        <c:v>87.55</c:v>
                      </c:pt>
                      <c:pt idx="1">
                        <c:v>80.22</c:v>
                      </c:pt>
                      <c:pt idx="2">
                        <c:v>73.08</c:v>
                      </c:pt>
                      <c:pt idx="3">
                        <c:v>84.9</c:v>
                      </c:pt>
                    </c:numCache>
                  </c:numRef>
                </c:val>
                <c:smooth val="0"/>
                <c:extLst>
                  <c:ext xmlns:c16="http://schemas.microsoft.com/office/drawing/2014/chart" uri="{C3380CC4-5D6E-409C-BE32-E72D297353CC}">
                    <c16:uniqueId val="{00000001-3070-41C5-A2A3-0F3B2C0CA886}"/>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COS!$C$158</c15:sqref>
                        </c15:formulaRef>
                      </c:ext>
                    </c:extLst>
                    <c:strCache>
                      <c:ptCount val="1"/>
                      <c:pt idx="0">
                        <c:v>Out of Hours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COS!$A$159:$A$162</c15:sqref>
                        </c15:formulaRef>
                      </c:ext>
                    </c:extLst>
                    <c:strCache>
                      <c:ptCount val="4"/>
                      <c:pt idx="0">
                        <c:v>2016/17</c:v>
                      </c:pt>
                      <c:pt idx="1">
                        <c:v>2017/18</c:v>
                      </c:pt>
                      <c:pt idx="2">
                        <c:v>2018/19</c:v>
                      </c:pt>
                      <c:pt idx="3">
                        <c:v>2019/20 </c:v>
                      </c:pt>
                    </c:strCache>
                  </c:strRef>
                </c:cat>
                <c:val>
                  <c:numRef>
                    <c:extLst xmlns:c15="http://schemas.microsoft.com/office/drawing/2012/chart">
                      <c:ext xmlns:c15="http://schemas.microsoft.com/office/drawing/2012/chart" uri="{02D57815-91ED-43cb-92C2-25804820EDAC}">
                        <c15:formulaRef>
                          <c15:sqref>COS!$C$159:$C$162</c15:sqref>
                        </c15:formulaRef>
                      </c:ext>
                    </c:extLst>
                    <c:numCache>
                      <c:formatCode>0.00</c:formatCode>
                      <c:ptCount val="4"/>
                      <c:pt idx="0">
                        <c:v>91.66</c:v>
                      </c:pt>
                      <c:pt idx="1">
                        <c:v>90.08</c:v>
                      </c:pt>
                      <c:pt idx="2">
                        <c:v>92.43</c:v>
                      </c:pt>
                      <c:pt idx="3">
                        <c:v>93.39</c:v>
                      </c:pt>
                    </c:numCache>
                  </c:numRef>
                </c:val>
                <c:smooth val="0"/>
                <c:extLst xmlns:c15="http://schemas.microsoft.com/office/drawing/2012/chart">
                  <c:ext xmlns:c16="http://schemas.microsoft.com/office/drawing/2014/chart" uri="{C3380CC4-5D6E-409C-BE32-E72D297353CC}">
                    <c16:uniqueId val="{00000002-3070-41C5-A2A3-0F3B2C0CA886}"/>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COS!$D$158</c15:sqref>
                        </c15:formulaRef>
                      </c:ext>
                    </c:extLst>
                    <c:strCache>
                      <c:ptCount val="1"/>
                      <c:pt idx="0">
                        <c:v>Repairs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COS!$A$159:$A$162</c15:sqref>
                        </c15:formulaRef>
                      </c:ext>
                    </c:extLst>
                    <c:strCache>
                      <c:ptCount val="4"/>
                      <c:pt idx="0">
                        <c:v>2016/17</c:v>
                      </c:pt>
                      <c:pt idx="1">
                        <c:v>2017/18</c:v>
                      </c:pt>
                      <c:pt idx="2">
                        <c:v>2018/19</c:v>
                      </c:pt>
                      <c:pt idx="3">
                        <c:v>2019/20 </c:v>
                      </c:pt>
                    </c:strCache>
                  </c:strRef>
                </c:cat>
                <c:val>
                  <c:numRef>
                    <c:extLst xmlns:c15="http://schemas.microsoft.com/office/drawing/2012/chart">
                      <c:ext xmlns:c15="http://schemas.microsoft.com/office/drawing/2012/chart" uri="{02D57815-91ED-43cb-92C2-25804820EDAC}">
                        <c15:formulaRef>
                          <c15:sqref>COS!$D$159:$D$162</c15:sqref>
                        </c15:formulaRef>
                      </c:ext>
                    </c:extLst>
                    <c:numCache>
                      <c:formatCode>0.00</c:formatCode>
                      <c:ptCount val="4"/>
                      <c:pt idx="0">
                        <c:v>87.55</c:v>
                      </c:pt>
                      <c:pt idx="1">
                        <c:v>80.22</c:v>
                      </c:pt>
                      <c:pt idx="2">
                        <c:v>77.81</c:v>
                      </c:pt>
                      <c:pt idx="3">
                        <c:v>73.34</c:v>
                      </c:pt>
                    </c:numCache>
                  </c:numRef>
                </c:val>
                <c:smooth val="0"/>
                <c:extLst xmlns:c15="http://schemas.microsoft.com/office/drawing/2012/chart">
                  <c:ext xmlns:c16="http://schemas.microsoft.com/office/drawing/2014/chart" uri="{C3380CC4-5D6E-409C-BE32-E72D297353CC}">
                    <c16:uniqueId val="{00000003-3070-41C5-A2A3-0F3B2C0CA886}"/>
                  </c:ext>
                </c:extLst>
              </c15:ser>
            </c15:filteredLineSeries>
          </c:ext>
        </c:extLst>
      </c:lineChart>
      <c:catAx>
        <c:axId val="42617989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80288"/>
        <c:crosses val="autoZero"/>
        <c:auto val="1"/>
        <c:lblAlgn val="ctr"/>
        <c:lblOffset val="100"/>
        <c:noMultiLvlLbl val="0"/>
      </c:catAx>
      <c:valAx>
        <c:axId val="426180288"/>
        <c:scaling>
          <c:orientation val="minMax"/>
          <c:max val="90"/>
          <c:min val="7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79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 FOI Requests completed on time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93482492243017"/>
          <c:y val="0.17929036777398938"/>
          <c:w val="0.8388209386783646"/>
          <c:h val="0.70339087811092049"/>
        </c:manualLayout>
      </c:layout>
      <c:lineChart>
        <c:grouping val="standard"/>
        <c:varyColors val="0"/>
        <c:ser>
          <c:idx val="0"/>
          <c:order val="0"/>
          <c:tx>
            <c:strRef>
              <c:f>COS!$B$173</c:f>
              <c:strCache>
                <c:ptCount val="1"/>
                <c:pt idx="0">
                  <c:v>FOI</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COS!$A$174:$A$178</c:f>
              <c:strCache>
                <c:ptCount val="4"/>
                <c:pt idx="0">
                  <c:v>2016/17</c:v>
                </c:pt>
                <c:pt idx="1">
                  <c:v>2017/18</c:v>
                </c:pt>
                <c:pt idx="2">
                  <c:v>2018/19</c:v>
                </c:pt>
                <c:pt idx="3">
                  <c:v>2019/20</c:v>
                </c:pt>
              </c:strCache>
            </c:strRef>
          </c:cat>
          <c:val>
            <c:numRef>
              <c:f>COS!$B$174:$B$178</c:f>
              <c:numCache>
                <c:formatCode>0.00</c:formatCode>
                <c:ptCount val="4"/>
                <c:pt idx="0">
                  <c:v>87.05</c:v>
                </c:pt>
                <c:pt idx="1">
                  <c:v>78.56</c:v>
                </c:pt>
                <c:pt idx="2">
                  <c:v>80.73</c:v>
                </c:pt>
                <c:pt idx="3">
                  <c:v>84.5</c:v>
                </c:pt>
              </c:numCache>
            </c:numRef>
          </c:val>
          <c:smooth val="0"/>
          <c:extLst>
            <c:ext xmlns:c16="http://schemas.microsoft.com/office/drawing/2014/chart" uri="{C3380CC4-5D6E-409C-BE32-E72D297353CC}">
              <c16:uniqueId val="{00000000-D3BB-47CE-A7A7-D1B574F730A1}"/>
            </c:ext>
          </c:extLst>
        </c:ser>
        <c:dLbls>
          <c:dLblPos val="b"/>
          <c:showLegendKey val="0"/>
          <c:showVal val="1"/>
          <c:showCatName val="0"/>
          <c:showSerName val="0"/>
          <c:showPercent val="0"/>
          <c:showBubbleSize val="0"/>
        </c:dLbls>
        <c:marker val="1"/>
        <c:smooth val="0"/>
        <c:axId val="426176368"/>
        <c:axId val="426176760"/>
        <c:extLst>
          <c:ext xmlns:c15="http://schemas.microsoft.com/office/drawing/2012/chart" uri="{02D57815-91ED-43cb-92C2-25804820EDAC}">
            <c15:filteredLineSeries>
              <c15:ser>
                <c:idx val="1"/>
                <c:order val="1"/>
                <c:tx>
                  <c:strRef>
                    <c:extLst>
                      <c:ext uri="{02D57815-91ED-43cb-92C2-25804820EDAC}">
                        <c15:formulaRef>
                          <c15:sqref>COS!$C$173</c15:sqref>
                        </c15:formulaRef>
                      </c:ext>
                    </c:extLst>
                    <c:strCache>
                      <c:ptCount val="1"/>
                      <c:pt idx="0">
                        <c:v>EIR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COS!$A$174:$A$178</c15:sqref>
                        </c15:formulaRef>
                      </c:ext>
                    </c:extLst>
                    <c:strCache>
                      <c:ptCount val="4"/>
                      <c:pt idx="0">
                        <c:v>2016/17</c:v>
                      </c:pt>
                      <c:pt idx="1">
                        <c:v>2017/18</c:v>
                      </c:pt>
                      <c:pt idx="2">
                        <c:v>2018/19</c:v>
                      </c:pt>
                      <c:pt idx="3">
                        <c:v>2019/20</c:v>
                      </c:pt>
                    </c:strCache>
                  </c:strRef>
                </c:cat>
                <c:val>
                  <c:numRef>
                    <c:extLst>
                      <c:ext uri="{02D57815-91ED-43cb-92C2-25804820EDAC}">
                        <c15:formulaRef>
                          <c15:sqref>COS!$C$174:$C$178</c15:sqref>
                        </c15:formulaRef>
                      </c:ext>
                    </c:extLst>
                    <c:numCache>
                      <c:formatCode>0.00</c:formatCode>
                      <c:ptCount val="4"/>
                      <c:pt idx="0">
                        <c:v>93.52</c:v>
                      </c:pt>
                      <c:pt idx="1">
                        <c:v>83.71</c:v>
                      </c:pt>
                      <c:pt idx="2">
                        <c:v>78.22</c:v>
                      </c:pt>
                      <c:pt idx="3">
                        <c:v>89.3</c:v>
                      </c:pt>
                    </c:numCache>
                  </c:numRef>
                </c:val>
                <c:smooth val="0"/>
                <c:extLst>
                  <c:ext xmlns:c16="http://schemas.microsoft.com/office/drawing/2014/chart" uri="{C3380CC4-5D6E-409C-BE32-E72D297353CC}">
                    <c16:uniqueId val="{00000001-D3BB-47CE-A7A7-D1B574F730A1}"/>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COS!$D$173</c15:sqref>
                        </c15:formulaRef>
                      </c:ext>
                    </c:extLst>
                    <c:strCache>
                      <c:ptCount val="1"/>
                      <c:pt idx="0">
                        <c:v>SAR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COS!$A$174:$A$178</c15:sqref>
                        </c15:formulaRef>
                      </c:ext>
                    </c:extLst>
                    <c:strCache>
                      <c:ptCount val="4"/>
                      <c:pt idx="0">
                        <c:v>2016/17</c:v>
                      </c:pt>
                      <c:pt idx="1">
                        <c:v>2017/18</c:v>
                      </c:pt>
                      <c:pt idx="2">
                        <c:v>2018/19</c:v>
                      </c:pt>
                      <c:pt idx="3">
                        <c:v>2019/20</c:v>
                      </c:pt>
                    </c:strCache>
                  </c:strRef>
                </c:cat>
                <c:val>
                  <c:numRef>
                    <c:extLst xmlns:c15="http://schemas.microsoft.com/office/drawing/2012/chart">
                      <c:ext xmlns:c15="http://schemas.microsoft.com/office/drawing/2012/chart" uri="{02D57815-91ED-43cb-92C2-25804820EDAC}">
                        <c15:formulaRef>
                          <c15:sqref>COS!$D$174:$D$178</c15:sqref>
                        </c15:formulaRef>
                      </c:ext>
                    </c:extLst>
                    <c:numCache>
                      <c:formatCode>0.00</c:formatCode>
                      <c:ptCount val="4"/>
                      <c:pt idx="0">
                        <c:v>86.77</c:v>
                      </c:pt>
                      <c:pt idx="1">
                        <c:v>81.5</c:v>
                      </c:pt>
                      <c:pt idx="2">
                        <c:v>76.73</c:v>
                      </c:pt>
                      <c:pt idx="3">
                        <c:v>78.2</c:v>
                      </c:pt>
                    </c:numCache>
                  </c:numRef>
                </c:val>
                <c:smooth val="0"/>
                <c:extLst xmlns:c15="http://schemas.microsoft.com/office/drawing/2012/chart">
                  <c:ext xmlns:c16="http://schemas.microsoft.com/office/drawing/2014/chart" uri="{C3380CC4-5D6E-409C-BE32-E72D297353CC}">
                    <c16:uniqueId val="{00000002-D3BB-47CE-A7A7-D1B574F730A1}"/>
                  </c:ext>
                </c:extLst>
              </c15:ser>
            </c15:filteredLineSeries>
          </c:ext>
        </c:extLst>
      </c:lineChart>
      <c:catAx>
        <c:axId val="4261763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76760"/>
        <c:crosses val="autoZero"/>
        <c:auto val="1"/>
        <c:lblAlgn val="ctr"/>
        <c:lblOffset val="100"/>
        <c:noMultiLvlLbl val="0"/>
      </c:catAx>
      <c:valAx>
        <c:axId val="426176760"/>
        <c:scaling>
          <c:orientation val="minMax"/>
          <c:max val="100"/>
          <c:min val="7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76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 Environmental</a:t>
            </a:r>
            <a:r>
              <a:rPr lang="en-GB" sz="1000" baseline="0"/>
              <a:t> </a:t>
            </a:r>
            <a:r>
              <a:rPr lang="en-GB" sz="1000"/>
              <a:t>Information Requests completed on time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641157368599432"/>
          <c:y val="0.17929036777398938"/>
          <c:w val="0.83534418991480053"/>
          <c:h val="0.71939709929433049"/>
        </c:manualLayout>
      </c:layout>
      <c:lineChart>
        <c:grouping val="standard"/>
        <c:varyColors val="0"/>
        <c:ser>
          <c:idx val="1"/>
          <c:order val="1"/>
          <c:tx>
            <c:strRef>
              <c:f>COS!$C$173</c:f>
              <c:strCache>
                <c:ptCount val="1"/>
                <c:pt idx="0">
                  <c:v>EIR</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COS!$A$174:$A$178</c:f>
              <c:strCache>
                <c:ptCount val="4"/>
                <c:pt idx="0">
                  <c:v>2016/17</c:v>
                </c:pt>
                <c:pt idx="1">
                  <c:v>2017/18</c:v>
                </c:pt>
                <c:pt idx="2">
                  <c:v>2018/19</c:v>
                </c:pt>
                <c:pt idx="3">
                  <c:v>2019/20</c:v>
                </c:pt>
              </c:strCache>
            </c:strRef>
          </c:cat>
          <c:val>
            <c:numRef>
              <c:f>COS!$C$174:$C$178</c:f>
              <c:numCache>
                <c:formatCode>0.00</c:formatCode>
                <c:ptCount val="4"/>
                <c:pt idx="0">
                  <c:v>93.52</c:v>
                </c:pt>
                <c:pt idx="1">
                  <c:v>83.71</c:v>
                </c:pt>
                <c:pt idx="2">
                  <c:v>78.22</c:v>
                </c:pt>
                <c:pt idx="3">
                  <c:v>89.3</c:v>
                </c:pt>
              </c:numCache>
            </c:numRef>
          </c:val>
          <c:smooth val="0"/>
          <c:extLst>
            <c:ext xmlns:c16="http://schemas.microsoft.com/office/drawing/2014/chart" uri="{C3380CC4-5D6E-409C-BE32-E72D297353CC}">
              <c16:uniqueId val="{00000000-DABB-4F79-90C1-5E544D7A9D49}"/>
            </c:ext>
          </c:extLst>
        </c:ser>
        <c:dLbls>
          <c:dLblPos val="b"/>
          <c:showLegendKey val="0"/>
          <c:showVal val="1"/>
          <c:showCatName val="0"/>
          <c:showSerName val="0"/>
          <c:showPercent val="0"/>
          <c:showBubbleSize val="0"/>
        </c:dLbls>
        <c:marker val="1"/>
        <c:smooth val="0"/>
        <c:axId val="426836760"/>
        <c:axId val="426837152"/>
        <c:extLst>
          <c:ext xmlns:c15="http://schemas.microsoft.com/office/drawing/2012/chart" uri="{02D57815-91ED-43cb-92C2-25804820EDAC}">
            <c15:filteredLineSeries>
              <c15:ser>
                <c:idx val="0"/>
                <c:order val="0"/>
                <c:tx>
                  <c:strRef>
                    <c:extLst>
                      <c:ext uri="{02D57815-91ED-43cb-92C2-25804820EDAC}">
                        <c15:formulaRef>
                          <c15:sqref>COS!$B$173</c15:sqref>
                        </c15:formulaRef>
                      </c:ext>
                    </c:extLst>
                    <c:strCache>
                      <c:ptCount val="1"/>
                      <c:pt idx="0">
                        <c:v>FOI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COS!$A$174:$A$178</c15:sqref>
                        </c15:formulaRef>
                      </c:ext>
                    </c:extLst>
                    <c:strCache>
                      <c:ptCount val="4"/>
                      <c:pt idx="0">
                        <c:v>2016/17</c:v>
                      </c:pt>
                      <c:pt idx="1">
                        <c:v>2017/18</c:v>
                      </c:pt>
                      <c:pt idx="2">
                        <c:v>2018/19</c:v>
                      </c:pt>
                      <c:pt idx="3">
                        <c:v>2019/20</c:v>
                      </c:pt>
                    </c:strCache>
                  </c:strRef>
                </c:cat>
                <c:val>
                  <c:numRef>
                    <c:extLst>
                      <c:ext uri="{02D57815-91ED-43cb-92C2-25804820EDAC}">
                        <c15:formulaRef>
                          <c15:sqref>COS!$B$174:$B$178</c15:sqref>
                        </c15:formulaRef>
                      </c:ext>
                    </c:extLst>
                    <c:numCache>
                      <c:formatCode>0.00</c:formatCode>
                      <c:ptCount val="4"/>
                      <c:pt idx="0">
                        <c:v>87.05</c:v>
                      </c:pt>
                      <c:pt idx="1">
                        <c:v>78.56</c:v>
                      </c:pt>
                      <c:pt idx="2">
                        <c:v>80.73</c:v>
                      </c:pt>
                      <c:pt idx="3">
                        <c:v>84.5</c:v>
                      </c:pt>
                    </c:numCache>
                  </c:numRef>
                </c:val>
                <c:smooth val="0"/>
                <c:extLst>
                  <c:ext xmlns:c16="http://schemas.microsoft.com/office/drawing/2014/chart" uri="{C3380CC4-5D6E-409C-BE32-E72D297353CC}">
                    <c16:uniqueId val="{00000001-DABB-4F79-90C1-5E544D7A9D49}"/>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COS!$D$173</c15:sqref>
                        </c15:formulaRef>
                      </c:ext>
                    </c:extLst>
                    <c:strCache>
                      <c:ptCount val="1"/>
                      <c:pt idx="0">
                        <c:v>SAR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COS!$A$174:$A$178</c15:sqref>
                        </c15:formulaRef>
                      </c:ext>
                    </c:extLst>
                    <c:strCache>
                      <c:ptCount val="4"/>
                      <c:pt idx="0">
                        <c:v>2016/17</c:v>
                      </c:pt>
                      <c:pt idx="1">
                        <c:v>2017/18</c:v>
                      </c:pt>
                      <c:pt idx="2">
                        <c:v>2018/19</c:v>
                      </c:pt>
                      <c:pt idx="3">
                        <c:v>2019/20</c:v>
                      </c:pt>
                    </c:strCache>
                  </c:strRef>
                </c:cat>
                <c:val>
                  <c:numRef>
                    <c:extLst xmlns:c15="http://schemas.microsoft.com/office/drawing/2012/chart">
                      <c:ext xmlns:c15="http://schemas.microsoft.com/office/drawing/2012/chart" uri="{02D57815-91ED-43cb-92C2-25804820EDAC}">
                        <c15:formulaRef>
                          <c15:sqref>COS!$D$174:$D$178</c15:sqref>
                        </c15:formulaRef>
                      </c:ext>
                    </c:extLst>
                    <c:numCache>
                      <c:formatCode>0.00</c:formatCode>
                      <c:ptCount val="4"/>
                      <c:pt idx="0">
                        <c:v>86.77</c:v>
                      </c:pt>
                      <c:pt idx="1">
                        <c:v>81.5</c:v>
                      </c:pt>
                      <c:pt idx="2">
                        <c:v>76.73</c:v>
                      </c:pt>
                      <c:pt idx="3">
                        <c:v>78.2</c:v>
                      </c:pt>
                    </c:numCache>
                  </c:numRef>
                </c:val>
                <c:smooth val="0"/>
                <c:extLst xmlns:c15="http://schemas.microsoft.com/office/drawing/2012/chart">
                  <c:ext xmlns:c16="http://schemas.microsoft.com/office/drawing/2014/chart" uri="{C3380CC4-5D6E-409C-BE32-E72D297353CC}">
                    <c16:uniqueId val="{00000002-DABB-4F79-90C1-5E544D7A9D49}"/>
                  </c:ext>
                </c:extLst>
              </c15:ser>
            </c15:filteredLineSeries>
          </c:ext>
        </c:extLst>
      </c:lineChart>
      <c:catAx>
        <c:axId val="4268367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837152"/>
        <c:crosses val="autoZero"/>
        <c:auto val="1"/>
        <c:lblAlgn val="ctr"/>
        <c:lblOffset val="100"/>
        <c:noMultiLvlLbl val="0"/>
      </c:catAx>
      <c:valAx>
        <c:axId val="426837152"/>
        <c:scaling>
          <c:orientation val="minMax"/>
          <c:max val="100"/>
          <c:min val="7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836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 Subject Access Requests completed on time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93482492243017"/>
          <c:y val="0.17929036777398938"/>
          <c:w val="0.8388209386783646"/>
          <c:h val="0.71939709929433049"/>
        </c:manualLayout>
      </c:layout>
      <c:lineChart>
        <c:grouping val="standard"/>
        <c:varyColors val="0"/>
        <c:ser>
          <c:idx val="2"/>
          <c:order val="2"/>
          <c:tx>
            <c:strRef>
              <c:f>COS!$D$173</c:f>
              <c:strCache>
                <c:ptCount val="1"/>
                <c:pt idx="0">
                  <c:v>SAR</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COS!$A$174:$A$178</c:f>
              <c:strCache>
                <c:ptCount val="4"/>
                <c:pt idx="0">
                  <c:v>2016/17</c:v>
                </c:pt>
                <c:pt idx="1">
                  <c:v>2017/18</c:v>
                </c:pt>
                <c:pt idx="2">
                  <c:v>2018/19</c:v>
                </c:pt>
                <c:pt idx="3">
                  <c:v>2019/20</c:v>
                </c:pt>
              </c:strCache>
            </c:strRef>
          </c:cat>
          <c:val>
            <c:numRef>
              <c:f>COS!$D$174:$D$178</c:f>
              <c:numCache>
                <c:formatCode>0.00</c:formatCode>
                <c:ptCount val="4"/>
                <c:pt idx="0">
                  <c:v>86.77</c:v>
                </c:pt>
                <c:pt idx="1">
                  <c:v>81.5</c:v>
                </c:pt>
                <c:pt idx="2">
                  <c:v>76.73</c:v>
                </c:pt>
                <c:pt idx="3">
                  <c:v>78.2</c:v>
                </c:pt>
              </c:numCache>
            </c:numRef>
          </c:val>
          <c:smooth val="0"/>
          <c:extLst>
            <c:ext xmlns:c16="http://schemas.microsoft.com/office/drawing/2014/chart" uri="{C3380CC4-5D6E-409C-BE32-E72D297353CC}">
              <c16:uniqueId val="{00000000-32E2-4C0A-93F1-0CB33A9060FB}"/>
            </c:ext>
          </c:extLst>
        </c:ser>
        <c:dLbls>
          <c:dLblPos val="b"/>
          <c:showLegendKey val="0"/>
          <c:showVal val="1"/>
          <c:showCatName val="0"/>
          <c:showSerName val="0"/>
          <c:showPercent val="0"/>
          <c:showBubbleSize val="0"/>
        </c:dLbls>
        <c:marker val="1"/>
        <c:smooth val="0"/>
        <c:axId val="426837936"/>
        <c:axId val="426838328"/>
        <c:extLst>
          <c:ext xmlns:c15="http://schemas.microsoft.com/office/drawing/2012/chart" uri="{02D57815-91ED-43cb-92C2-25804820EDAC}">
            <c15:filteredLineSeries>
              <c15:ser>
                <c:idx val="0"/>
                <c:order val="0"/>
                <c:tx>
                  <c:strRef>
                    <c:extLst>
                      <c:ext uri="{02D57815-91ED-43cb-92C2-25804820EDAC}">
                        <c15:formulaRef>
                          <c15:sqref>COS!$B$173</c15:sqref>
                        </c15:formulaRef>
                      </c:ext>
                    </c:extLst>
                    <c:strCache>
                      <c:ptCount val="1"/>
                      <c:pt idx="0">
                        <c:v>FOI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COS!$A$174:$A$178</c15:sqref>
                        </c15:formulaRef>
                      </c:ext>
                    </c:extLst>
                    <c:strCache>
                      <c:ptCount val="4"/>
                      <c:pt idx="0">
                        <c:v>2016/17</c:v>
                      </c:pt>
                      <c:pt idx="1">
                        <c:v>2017/18</c:v>
                      </c:pt>
                      <c:pt idx="2">
                        <c:v>2018/19</c:v>
                      </c:pt>
                      <c:pt idx="3">
                        <c:v>2019/20</c:v>
                      </c:pt>
                    </c:strCache>
                  </c:strRef>
                </c:cat>
                <c:val>
                  <c:numRef>
                    <c:extLst>
                      <c:ext uri="{02D57815-91ED-43cb-92C2-25804820EDAC}">
                        <c15:formulaRef>
                          <c15:sqref>COS!$B$174:$B$178</c15:sqref>
                        </c15:formulaRef>
                      </c:ext>
                    </c:extLst>
                    <c:numCache>
                      <c:formatCode>0.00</c:formatCode>
                      <c:ptCount val="4"/>
                      <c:pt idx="0">
                        <c:v>87.05</c:v>
                      </c:pt>
                      <c:pt idx="1">
                        <c:v>78.56</c:v>
                      </c:pt>
                      <c:pt idx="2">
                        <c:v>80.73</c:v>
                      </c:pt>
                      <c:pt idx="3">
                        <c:v>84.5</c:v>
                      </c:pt>
                    </c:numCache>
                  </c:numRef>
                </c:val>
                <c:smooth val="0"/>
                <c:extLst>
                  <c:ext xmlns:c16="http://schemas.microsoft.com/office/drawing/2014/chart" uri="{C3380CC4-5D6E-409C-BE32-E72D297353CC}">
                    <c16:uniqueId val="{00000001-32E2-4C0A-93F1-0CB33A9060FB}"/>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COS!$C$173</c15:sqref>
                        </c15:formulaRef>
                      </c:ext>
                    </c:extLst>
                    <c:strCache>
                      <c:ptCount val="1"/>
                      <c:pt idx="0">
                        <c:v>EIR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COS!$A$174:$A$178</c15:sqref>
                        </c15:formulaRef>
                      </c:ext>
                    </c:extLst>
                    <c:strCache>
                      <c:ptCount val="4"/>
                      <c:pt idx="0">
                        <c:v>2016/17</c:v>
                      </c:pt>
                      <c:pt idx="1">
                        <c:v>2017/18</c:v>
                      </c:pt>
                      <c:pt idx="2">
                        <c:v>2018/19</c:v>
                      </c:pt>
                      <c:pt idx="3">
                        <c:v>2019/20</c:v>
                      </c:pt>
                    </c:strCache>
                  </c:strRef>
                </c:cat>
                <c:val>
                  <c:numRef>
                    <c:extLst xmlns:c15="http://schemas.microsoft.com/office/drawing/2012/chart">
                      <c:ext xmlns:c15="http://schemas.microsoft.com/office/drawing/2012/chart" uri="{02D57815-91ED-43cb-92C2-25804820EDAC}">
                        <c15:formulaRef>
                          <c15:sqref>COS!$C$174:$C$178</c15:sqref>
                        </c15:formulaRef>
                      </c:ext>
                    </c:extLst>
                    <c:numCache>
                      <c:formatCode>0.00</c:formatCode>
                      <c:ptCount val="4"/>
                      <c:pt idx="0">
                        <c:v>93.52</c:v>
                      </c:pt>
                      <c:pt idx="1">
                        <c:v>83.71</c:v>
                      </c:pt>
                      <c:pt idx="2">
                        <c:v>78.22</c:v>
                      </c:pt>
                      <c:pt idx="3">
                        <c:v>89.3</c:v>
                      </c:pt>
                    </c:numCache>
                  </c:numRef>
                </c:val>
                <c:smooth val="0"/>
                <c:extLst xmlns:c15="http://schemas.microsoft.com/office/drawing/2012/chart">
                  <c:ext xmlns:c16="http://schemas.microsoft.com/office/drawing/2014/chart" uri="{C3380CC4-5D6E-409C-BE32-E72D297353CC}">
                    <c16:uniqueId val="{00000002-32E2-4C0A-93F1-0CB33A9060FB}"/>
                  </c:ext>
                </c:extLst>
              </c15:ser>
            </c15:filteredLineSeries>
          </c:ext>
        </c:extLst>
      </c:lineChart>
      <c:catAx>
        <c:axId val="42683793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838328"/>
        <c:crosses val="autoZero"/>
        <c:auto val="1"/>
        <c:lblAlgn val="ctr"/>
        <c:lblOffset val="100"/>
        <c:noMultiLvlLbl val="0"/>
      </c:catAx>
      <c:valAx>
        <c:axId val="426838328"/>
        <c:scaling>
          <c:orientation val="minMax"/>
          <c:max val="100"/>
          <c:min val="7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8379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Stage 2 Complaints dealt with within 20 days (%)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COS!$B$22</c:f>
              <c:strCache>
                <c:ptCount val="1"/>
                <c:pt idx="0">
                  <c:v>Fife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520655994051755E-2"/>
                  <c:y val="-4.7561025534475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20-4884-80FA-EC2ACAB9A1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COS!$A$23:$A$26</c:f>
              <c:strCache>
                <c:ptCount val="4"/>
                <c:pt idx="0">
                  <c:v>2016/17</c:v>
                </c:pt>
                <c:pt idx="1">
                  <c:v>2017/18</c:v>
                </c:pt>
                <c:pt idx="2">
                  <c:v>2018/19</c:v>
                </c:pt>
                <c:pt idx="3">
                  <c:v>2019/20</c:v>
                </c:pt>
              </c:strCache>
            </c:strRef>
          </c:cat>
          <c:val>
            <c:numRef>
              <c:f>COS!$B$23:$B$26</c:f>
              <c:numCache>
                <c:formatCode>0.00</c:formatCode>
                <c:ptCount val="4"/>
                <c:pt idx="0">
                  <c:v>73.77</c:v>
                </c:pt>
                <c:pt idx="1">
                  <c:v>86.59</c:v>
                </c:pt>
                <c:pt idx="2">
                  <c:v>81.37</c:v>
                </c:pt>
                <c:pt idx="3">
                  <c:v>75</c:v>
                </c:pt>
              </c:numCache>
            </c:numRef>
          </c:val>
          <c:smooth val="0"/>
          <c:extLst>
            <c:ext xmlns:c16="http://schemas.microsoft.com/office/drawing/2014/chart" uri="{C3380CC4-5D6E-409C-BE32-E72D297353CC}">
              <c16:uniqueId val="{00000001-5E20-4884-80FA-EC2ACAB9A1DC}"/>
            </c:ext>
          </c:extLst>
        </c:ser>
        <c:ser>
          <c:idx val="1"/>
          <c:order val="1"/>
          <c:tx>
            <c:strRef>
              <c:f>COS!$C$22</c:f>
              <c:strCache>
                <c:ptCount val="1"/>
                <c:pt idx="0">
                  <c:v>COS</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dLbl>
              <c:idx val="0"/>
              <c:layout>
                <c:manualLayout>
                  <c:x val="-6.520655994051755E-2"/>
                  <c:y val="4.75610255344755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20-4884-80FA-EC2ACAB9A1DC}"/>
                </c:ext>
              </c:extLst>
            </c:dLbl>
            <c:dLbl>
              <c:idx val="1"/>
              <c:layout>
                <c:manualLayout>
                  <c:x val="-4.1842808249366654E-2"/>
                  <c:y val="5.31515204605511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20-4884-80FA-EC2ACAB9A1DC}"/>
                </c:ext>
              </c:extLst>
            </c:dLbl>
            <c:dLbl>
              <c:idx val="2"/>
              <c:layout>
                <c:manualLayout>
                  <c:x val="-7.3133547121443654E-2"/>
                  <c:y val="4.75610255344755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20-4884-80FA-EC2ACAB9A1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COS!$A$23:$A$26</c:f>
              <c:strCache>
                <c:ptCount val="4"/>
                <c:pt idx="0">
                  <c:v>2016/17</c:v>
                </c:pt>
                <c:pt idx="1">
                  <c:v>2017/18</c:v>
                </c:pt>
                <c:pt idx="2">
                  <c:v>2018/19</c:v>
                </c:pt>
                <c:pt idx="3">
                  <c:v>2019/20</c:v>
                </c:pt>
              </c:strCache>
            </c:strRef>
          </c:cat>
          <c:val>
            <c:numRef>
              <c:f>COS!$C$23:$C$26</c:f>
              <c:numCache>
                <c:formatCode>0.00</c:formatCode>
                <c:ptCount val="4"/>
                <c:pt idx="0">
                  <c:v>71.430000000000007</c:v>
                </c:pt>
                <c:pt idx="1">
                  <c:v>100</c:v>
                </c:pt>
                <c:pt idx="2">
                  <c:v>100</c:v>
                </c:pt>
                <c:pt idx="3">
                  <c:v>94.29</c:v>
                </c:pt>
              </c:numCache>
            </c:numRef>
          </c:val>
          <c:smooth val="0"/>
          <c:extLst>
            <c:ext xmlns:c16="http://schemas.microsoft.com/office/drawing/2014/chart" uri="{C3380CC4-5D6E-409C-BE32-E72D297353CC}">
              <c16:uniqueId val="{00000005-5E20-4884-80FA-EC2ACAB9A1DC}"/>
            </c:ext>
          </c:extLst>
        </c:ser>
        <c:dLbls>
          <c:dLblPos val="t"/>
          <c:showLegendKey val="0"/>
          <c:showVal val="1"/>
          <c:showCatName val="0"/>
          <c:showSerName val="0"/>
          <c:showPercent val="0"/>
          <c:showBubbleSize val="0"/>
        </c:dLbls>
        <c:marker val="1"/>
        <c:smooth val="0"/>
        <c:axId val="426164608"/>
        <c:axId val="426165000"/>
      </c:lineChart>
      <c:catAx>
        <c:axId val="42616460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65000"/>
        <c:crosses val="autoZero"/>
        <c:auto val="1"/>
        <c:lblAlgn val="ctr"/>
        <c:lblOffset val="100"/>
        <c:noMultiLvlLbl val="0"/>
      </c:catAx>
      <c:valAx>
        <c:axId val="426165000"/>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64608"/>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Average Time to process new Housing/Council</a:t>
            </a:r>
            <a:r>
              <a:rPr lang="en-US" sz="1000" baseline="0"/>
              <a:t> </a:t>
            </a:r>
            <a:r>
              <a:rPr lang="en-US" sz="1000"/>
              <a:t>Tax </a:t>
            </a:r>
          </a:p>
          <a:p>
            <a:pPr>
              <a:defRPr sz="1000"/>
            </a:pPr>
            <a:r>
              <a:rPr lang="en-US" sz="1000"/>
              <a:t>Benefit claims (in days)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Sheet1!$B$199</c:f>
              <c:strCache>
                <c:ptCount val="1"/>
                <c:pt idx="0">
                  <c:v>Fife</c:v>
                </c:pt>
              </c:strCache>
            </c:strRef>
          </c:tx>
          <c:spPr>
            <a:ln w="28575" cap="rnd">
              <a:solidFill>
                <a:schemeClr val="accent1"/>
              </a:solidFill>
              <a:prstDash val="solid"/>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Sheet1!$A$200:$A$204</c:f>
              <c:strCache>
                <c:ptCount val="4"/>
                <c:pt idx="0">
                  <c:v>2016/17</c:v>
                </c:pt>
                <c:pt idx="1">
                  <c:v>2017/18</c:v>
                </c:pt>
                <c:pt idx="2">
                  <c:v>2018/19</c:v>
                </c:pt>
                <c:pt idx="3">
                  <c:v>2019/20</c:v>
                </c:pt>
              </c:strCache>
            </c:strRef>
          </c:cat>
          <c:val>
            <c:numRef>
              <c:f>Sheet1!$B$200:$B$204</c:f>
              <c:numCache>
                <c:formatCode>0.00</c:formatCode>
                <c:ptCount val="4"/>
                <c:pt idx="0">
                  <c:v>17.5</c:v>
                </c:pt>
                <c:pt idx="1">
                  <c:v>19.5</c:v>
                </c:pt>
                <c:pt idx="2">
                  <c:v>18.899999999999999</c:v>
                </c:pt>
                <c:pt idx="3">
                  <c:v>14.2</c:v>
                </c:pt>
              </c:numCache>
            </c:numRef>
          </c:val>
          <c:smooth val="0"/>
          <c:extLst>
            <c:ext xmlns:c16="http://schemas.microsoft.com/office/drawing/2014/chart" uri="{C3380CC4-5D6E-409C-BE32-E72D297353CC}">
              <c16:uniqueId val="{00000000-4AFB-4BD6-B3FC-34EA2D34253A}"/>
            </c:ext>
          </c:extLst>
        </c:ser>
        <c:dLbls>
          <c:dLblPos val="t"/>
          <c:showLegendKey val="0"/>
          <c:showVal val="1"/>
          <c:showCatName val="0"/>
          <c:showSerName val="0"/>
          <c:showPercent val="0"/>
          <c:showBubbleSize val="0"/>
        </c:dLbls>
        <c:marker val="1"/>
        <c:smooth val="0"/>
        <c:axId val="411733072"/>
        <c:axId val="411733464"/>
      </c:lineChart>
      <c:catAx>
        <c:axId val="41173307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733464"/>
        <c:crosses val="autoZero"/>
        <c:auto val="1"/>
        <c:lblAlgn val="ctr"/>
        <c:lblOffset val="100"/>
        <c:noMultiLvlLbl val="0"/>
      </c:catAx>
      <c:valAx>
        <c:axId val="411733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733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 of income due from council tax received </a:t>
            </a:r>
          </a:p>
          <a:p>
            <a:pPr>
              <a:defRPr sz="1000"/>
            </a:pPr>
            <a:r>
              <a:rPr lang="en-GB" sz="1000"/>
              <a:t>by the end of the year</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708085056057783"/>
          <c:y val="0.24723724574112829"/>
          <c:w val="0.85467491304021692"/>
          <c:h val="0.55750386412991537"/>
        </c:manualLayout>
      </c:layout>
      <c:lineChart>
        <c:grouping val="standard"/>
        <c:varyColors val="0"/>
        <c:ser>
          <c:idx val="0"/>
          <c:order val="0"/>
          <c:tx>
            <c:strRef>
              <c:f>Sheet1!$B$215</c:f>
              <c:strCache>
                <c:ptCount val="1"/>
                <c:pt idx="0">
                  <c:v>Fife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1558914826946427E-2"/>
                  <c:y val="3.92593689456987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C8-4EE7-9193-8EDED24278A9}"/>
                </c:ext>
              </c:extLst>
            </c:dLbl>
            <c:dLbl>
              <c:idx val="1"/>
              <c:layout>
                <c:manualLayout>
                  <c:x val="-8.718763634769984E-3"/>
                  <c:y val="3.9259368945698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C8-4EE7-9193-8EDED24278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Sheet1!$A$216:$A$220</c:f>
              <c:strCache>
                <c:ptCount val="4"/>
                <c:pt idx="0">
                  <c:v>2016/17</c:v>
                </c:pt>
                <c:pt idx="1">
                  <c:v>2017/18</c:v>
                </c:pt>
                <c:pt idx="2">
                  <c:v>2018/19</c:v>
                </c:pt>
                <c:pt idx="3">
                  <c:v>2019/20</c:v>
                </c:pt>
              </c:strCache>
            </c:strRef>
          </c:cat>
          <c:val>
            <c:numRef>
              <c:f>Sheet1!$B$216:$B$220</c:f>
              <c:numCache>
                <c:formatCode>0.00</c:formatCode>
                <c:ptCount val="4"/>
                <c:pt idx="0">
                  <c:v>95.77</c:v>
                </c:pt>
                <c:pt idx="1">
                  <c:v>95.79</c:v>
                </c:pt>
                <c:pt idx="2">
                  <c:v>95.7</c:v>
                </c:pt>
                <c:pt idx="3">
                  <c:v>95.33</c:v>
                </c:pt>
              </c:numCache>
            </c:numRef>
          </c:val>
          <c:smooth val="0"/>
          <c:extLst>
            <c:ext xmlns:c16="http://schemas.microsoft.com/office/drawing/2014/chart" uri="{C3380CC4-5D6E-409C-BE32-E72D297353CC}">
              <c16:uniqueId val="{00000002-3BC8-4EE7-9193-8EDED24278A9}"/>
            </c:ext>
          </c:extLst>
        </c:ser>
        <c:ser>
          <c:idx val="1"/>
          <c:order val="1"/>
          <c:tx>
            <c:strRef>
              <c:f>Sheet1!$C$215</c:f>
              <c:strCache>
                <c:ptCount val="1"/>
                <c:pt idx="0">
                  <c:v>Top Quartile</c:v>
                </c:pt>
              </c:strCache>
            </c:strRef>
          </c:tx>
          <c:spPr>
            <a:ln w="28575" cap="rnd">
              <a:solidFill>
                <a:schemeClr val="accent4"/>
              </a:solidFill>
              <a:prstDash val="dashDot"/>
              <a:round/>
            </a:ln>
            <a:effectLst/>
          </c:spPr>
          <c:marker>
            <c:symbol val="circle"/>
            <c:size val="5"/>
            <c:spPr>
              <a:solidFill>
                <a:schemeClr val="accent4"/>
              </a:solidFill>
              <a:ln w="9525">
                <a:solidFill>
                  <a:schemeClr val="accent4"/>
                </a:solidFill>
              </a:ln>
              <a:effectLst/>
            </c:spPr>
          </c:marker>
          <c:dLbls>
            <c:dLbl>
              <c:idx val="0"/>
              <c:layout>
                <c:manualLayout>
                  <c:x val="-6.606794106201215E-2"/>
                  <c:y val="-6.34468159463838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C8-4EE7-9193-8EDED24278A9}"/>
                </c:ext>
              </c:extLst>
            </c:dLbl>
            <c:dLbl>
              <c:idx val="1"/>
              <c:layout>
                <c:manualLayout>
                  <c:x val="-4.6006158304654952E-2"/>
                  <c:y val="-5.7399954196212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C8-4EE7-9193-8EDED24278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Sheet1!$A$216:$A$220</c:f>
              <c:strCache>
                <c:ptCount val="4"/>
                <c:pt idx="0">
                  <c:v>2016/17</c:v>
                </c:pt>
                <c:pt idx="1">
                  <c:v>2017/18</c:v>
                </c:pt>
                <c:pt idx="2">
                  <c:v>2018/19</c:v>
                </c:pt>
                <c:pt idx="3">
                  <c:v>2019/20</c:v>
                </c:pt>
              </c:strCache>
            </c:strRef>
          </c:cat>
          <c:val>
            <c:numRef>
              <c:f>Sheet1!$C$216:$C$220</c:f>
              <c:numCache>
                <c:formatCode>0.00</c:formatCode>
                <c:ptCount val="4"/>
                <c:pt idx="0">
                  <c:v>96.84</c:v>
                </c:pt>
                <c:pt idx="1">
                  <c:v>96.99</c:v>
                </c:pt>
                <c:pt idx="2">
                  <c:v>96.94</c:v>
                </c:pt>
              </c:numCache>
            </c:numRef>
          </c:val>
          <c:smooth val="0"/>
          <c:extLst>
            <c:ext xmlns:c16="http://schemas.microsoft.com/office/drawing/2014/chart" uri="{C3380CC4-5D6E-409C-BE32-E72D297353CC}">
              <c16:uniqueId val="{00000005-3BC8-4EE7-9193-8EDED24278A9}"/>
            </c:ext>
          </c:extLst>
        </c:ser>
        <c:ser>
          <c:idx val="2"/>
          <c:order val="2"/>
          <c:tx>
            <c:strRef>
              <c:f>Sheet1!$D$215</c:f>
              <c:strCache>
                <c:ptCount val="1"/>
                <c:pt idx="0">
                  <c:v>Scotland</c:v>
                </c:pt>
              </c:strCache>
            </c:strRef>
          </c:tx>
          <c:spPr>
            <a:ln w="28575" cap="rnd">
              <a:solidFill>
                <a:schemeClr val="accent3"/>
              </a:solidFill>
              <a:prstDash val="sysDot"/>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Sheet1!$A$216:$A$220</c:f>
              <c:strCache>
                <c:ptCount val="4"/>
                <c:pt idx="0">
                  <c:v>2016/17</c:v>
                </c:pt>
                <c:pt idx="1">
                  <c:v>2017/18</c:v>
                </c:pt>
                <c:pt idx="2">
                  <c:v>2018/19</c:v>
                </c:pt>
                <c:pt idx="3">
                  <c:v>2019/20</c:v>
                </c:pt>
              </c:strCache>
            </c:strRef>
          </c:cat>
          <c:val>
            <c:numRef>
              <c:f>Sheet1!$D$216:$D$220</c:f>
              <c:numCache>
                <c:formatCode>0.00</c:formatCode>
                <c:ptCount val="4"/>
                <c:pt idx="0">
                  <c:v>95.83</c:v>
                </c:pt>
                <c:pt idx="1">
                  <c:v>96</c:v>
                </c:pt>
                <c:pt idx="2">
                  <c:v>96.01</c:v>
                </c:pt>
              </c:numCache>
            </c:numRef>
          </c:val>
          <c:smooth val="0"/>
          <c:extLst>
            <c:ext xmlns:c16="http://schemas.microsoft.com/office/drawing/2014/chart" uri="{C3380CC4-5D6E-409C-BE32-E72D297353CC}">
              <c16:uniqueId val="{00000006-3BC8-4EE7-9193-8EDED24278A9}"/>
            </c:ext>
          </c:extLst>
        </c:ser>
        <c:dLbls>
          <c:dLblPos val="t"/>
          <c:showLegendKey val="0"/>
          <c:showVal val="1"/>
          <c:showCatName val="0"/>
          <c:showSerName val="0"/>
          <c:showPercent val="0"/>
          <c:showBubbleSize val="0"/>
        </c:dLbls>
        <c:marker val="1"/>
        <c:smooth val="0"/>
        <c:axId val="412046744"/>
        <c:axId val="412047136"/>
      </c:lineChart>
      <c:catAx>
        <c:axId val="41204674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047136"/>
        <c:crosses val="autoZero"/>
        <c:auto val="1"/>
        <c:lblAlgn val="ctr"/>
        <c:lblOffset val="100"/>
        <c:noMultiLvlLbl val="0"/>
      </c:catAx>
      <c:valAx>
        <c:axId val="412047136"/>
        <c:scaling>
          <c:orientation val="minMax"/>
          <c:min val="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046744"/>
        <c:crosses val="autoZero"/>
        <c:crossBetween val="between"/>
      </c:valAx>
      <c:spPr>
        <a:noFill/>
        <a:ln>
          <a:noFill/>
        </a:ln>
        <a:effectLst/>
      </c:spPr>
    </c:plotArea>
    <c:legend>
      <c:legendPos val="b"/>
      <c:layout>
        <c:manualLayout>
          <c:xMode val="edge"/>
          <c:yMode val="edge"/>
          <c:x val="5.0000027375974518E-2"/>
          <c:y val="0.89491933765788589"/>
          <c:w val="0.89999994524805094"/>
          <c:h val="9.39463571972762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3 year collection of Council Tax</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Sheet1!$B$231</c:f>
              <c:strCache>
                <c:ptCount val="1"/>
                <c:pt idx="0">
                  <c:v>Fife</c:v>
                </c:pt>
              </c:strCache>
            </c:strRef>
          </c:tx>
          <c:spPr>
            <a:ln w="28575" cap="rnd">
              <a:solidFill>
                <a:schemeClr val="accent1"/>
              </a:solidFill>
              <a:prstDash val="solid"/>
              <a:round/>
            </a:ln>
            <a:effectLst/>
          </c:spPr>
          <c:marker>
            <c:symbol val="circle"/>
            <c:size val="5"/>
            <c:spPr>
              <a:solidFill>
                <a:schemeClr val="accent1"/>
              </a:solidFill>
              <a:ln w="9525">
                <a:solidFill>
                  <a:schemeClr val="accent1"/>
                </a:solidFill>
              </a:ln>
              <a:effectLst/>
            </c:spPr>
          </c:marker>
          <c:dLbls>
            <c:dLbl>
              <c:idx val="0"/>
              <c:layout>
                <c:manualLayout>
                  <c:x val="-8.2806226091472243E-2"/>
                  <c:y val="6.9258583275528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FE-4CEB-970E-DBF8617058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Sheet1!$A$232:$A$236</c:f>
              <c:strCache>
                <c:ptCount val="4"/>
                <c:pt idx="0">
                  <c:v>2016/17</c:v>
                </c:pt>
                <c:pt idx="1">
                  <c:v>2017/18</c:v>
                </c:pt>
                <c:pt idx="2">
                  <c:v>2018/19</c:v>
                </c:pt>
                <c:pt idx="3">
                  <c:v>2019/20</c:v>
                </c:pt>
              </c:strCache>
            </c:strRef>
          </c:cat>
          <c:val>
            <c:numRef>
              <c:f>Sheet1!$B$232:$B$236</c:f>
              <c:numCache>
                <c:formatCode>0.00</c:formatCode>
                <c:ptCount val="4"/>
                <c:pt idx="0">
                  <c:v>97.41</c:v>
                </c:pt>
                <c:pt idx="1">
                  <c:v>97.23</c:v>
                </c:pt>
                <c:pt idx="2">
                  <c:v>97.26</c:v>
                </c:pt>
                <c:pt idx="3">
                  <c:v>97.16</c:v>
                </c:pt>
              </c:numCache>
            </c:numRef>
          </c:val>
          <c:smooth val="0"/>
          <c:extLst>
            <c:ext xmlns:c16="http://schemas.microsoft.com/office/drawing/2014/chart" uri="{C3380CC4-5D6E-409C-BE32-E72D297353CC}">
              <c16:uniqueId val="{00000001-4AFE-4CEB-970E-DBF8617058B0}"/>
            </c:ext>
          </c:extLst>
        </c:ser>
        <c:dLbls>
          <c:dLblPos val="t"/>
          <c:showLegendKey val="0"/>
          <c:showVal val="1"/>
          <c:showCatName val="0"/>
          <c:showSerName val="0"/>
          <c:showPercent val="0"/>
          <c:showBubbleSize val="0"/>
        </c:dLbls>
        <c:marker val="1"/>
        <c:smooth val="0"/>
        <c:axId val="411734248"/>
        <c:axId val="411734640"/>
      </c:lineChart>
      <c:catAx>
        <c:axId val="4117342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734640"/>
        <c:crosses val="autoZero"/>
        <c:auto val="1"/>
        <c:lblAlgn val="ctr"/>
        <c:lblOffset val="100"/>
        <c:noMultiLvlLbl val="0"/>
      </c:catAx>
      <c:valAx>
        <c:axId val="411734640"/>
        <c:scaling>
          <c:orientation val="minMax"/>
          <c:min val="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734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Percentage of workforce who are female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Sheet1!$B$5</c:f>
              <c:strCache>
                <c:ptCount val="1"/>
                <c:pt idx="0">
                  <c:v>COS</c:v>
                </c:pt>
              </c:strCache>
            </c:strRef>
          </c:tx>
          <c:spPr>
            <a:solidFill>
              <a:srgbClr val="00B050"/>
            </a:solidFill>
            <a:ln>
              <a:noFill/>
            </a:ln>
            <a:effectLst/>
          </c:spPr>
          <c:invertIfNegative val="0"/>
          <c:cat>
            <c:strRef>
              <c:f>Sheet1!$A$6:$A$7</c:f>
              <c:strCache>
                <c:ptCount val="2"/>
                <c:pt idx="0">
                  <c:v>2018/19</c:v>
                </c:pt>
                <c:pt idx="1">
                  <c:v>2019/20</c:v>
                </c:pt>
              </c:strCache>
            </c:strRef>
          </c:cat>
          <c:val>
            <c:numRef>
              <c:f>Sheet1!$B$6:$B$7</c:f>
              <c:numCache>
                <c:formatCode>0.00%</c:formatCode>
                <c:ptCount val="2"/>
                <c:pt idx="0">
                  <c:v>0.78380000000000005</c:v>
                </c:pt>
                <c:pt idx="1">
                  <c:v>0.80669999999999997</c:v>
                </c:pt>
              </c:numCache>
            </c:numRef>
          </c:val>
          <c:extLst>
            <c:ext xmlns:c16="http://schemas.microsoft.com/office/drawing/2014/chart" uri="{C3380CC4-5D6E-409C-BE32-E72D297353CC}">
              <c16:uniqueId val="{00000000-BCEA-4D96-AAAF-421ABEC4776A}"/>
            </c:ext>
          </c:extLst>
        </c:ser>
        <c:ser>
          <c:idx val="1"/>
          <c:order val="1"/>
          <c:tx>
            <c:strRef>
              <c:f>Sheet1!$C$5</c:f>
              <c:strCache>
                <c:ptCount val="1"/>
                <c:pt idx="0">
                  <c:v>Fife Council</c:v>
                </c:pt>
              </c:strCache>
            </c:strRef>
          </c:tx>
          <c:spPr>
            <a:solidFill>
              <a:srgbClr val="0070C0"/>
            </a:solidFill>
            <a:ln>
              <a:noFill/>
            </a:ln>
            <a:effectLst/>
          </c:spPr>
          <c:invertIfNegative val="0"/>
          <c:cat>
            <c:strRef>
              <c:f>Sheet1!$A$6:$A$7</c:f>
              <c:strCache>
                <c:ptCount val="2"/>
                <c:pt idx="0">
                  <c:v>2018/19</c:v>
                </c:pt>
                <c:pt idx="1">
                  <c:v>2019/20</c:v>
                </c:pt>
              </c:strCache>
            </c:strRef>
          </c:cat>
          <c:val>
            <c:numRef>
              <c:f>Sheet1!$C$6:$C$7</c:f>
              <c:numCache>
                <c:formatCode>0.00%</c:formatCode>
                <c:ptCount val="2"/>
                <c:pt idx="0">
                  <c:v>0.72399999999999998</c:v>
                </c:pt>
                <c:pt idx="1">
                  <c:v>0.72099999999999997</c:v>
                </c:pt>
              </c:numCache>
            </c:numRef>
          </c:val>
          <c:extLst>
            <c:ext xmlns:c16="http://schemas.microsoft.com/office/drawing/2014/chart" uri="{C3380CC4-5D6E-409C-BE32-E72D297353CC}">
              <c16:uniqueId val="{00000001-BCEA-4D96-AAAF-421ABEC4776A}"/>
            </c:ext>
          </c:extLst>
        </c:ser>
        <c:dLbls>
          <c:showLegendKey val="0"/>
          <c:showVal val="0"/>
          <c:showCatName val="0"/>
          <c:showSerName val="0"/>
          <c:showPercent val="0"/>
          <c:showBubbleSize val="0"/>
        </c:dLbls>
        <c:gapWidth val="219"/>
        <c:overlap val="-27"/>
        <c:axId val="707169888"/>
        <c:axId val="707170216"/>
      </c:barChart>
      <c:catAx>
        <c:axId val="70716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170216"/>
        <c:crosses val="autoZero"/>
        <c:auto val="1"/>
        <c:lblAlgn val="ctr"/>
        <c:lblOffset val="100"/>
        <c:noMultiLvlLbl val="0"/>
      </c:catAx>
      <c:valAx>
        <c:axId val="7071702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16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Percentage of workforce who are full time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Sheet1!$B$24</c:f>
              <c:strCache>
                <c:ptCount val="1"/>
                <c:pt idx="0">
                  <c:v>COS</c:v>
                </c:pt>
              </c:strCache>
            </c:strRef>
          </c:tx>
          <c:spPr>
            <a:solidFill>
              <a:srgbClr val="00B050"/>
            </a:solidFill>
            <a:ln>
              <a:noFill/>
            </a:ln>
            <a:effectLst/>
          </c:spPr>
          <c:invertIfNegative val="0"/>
          <c:cat>
            <c:strRef>
              <c:f>Sheet1!$A$25:$A$26</c:f>
              <c:strCache>
                <c:ptCount val="2"/>
                <c:pt idx="0">
                  <c:v>2018/19</c:v>
                </c:pt>
                <c:pt idx="1">
                  <c:v>2019/20</c:v>
                </c:pt>
              </c:strCache>
            </c:strRef>
          </c:cat>
          <c:val>
            <c:numRef>
              <c:f>Sheet1!$B$25:$B$26</c:f>
              <c:numCache>
                <c:formatCode>0.00%</c:formatCode>
                <c:ptCount val="2"/>
                <c:pt idx="0">
                  <c:v>0.6129</c:v>
                </c:pt>
                <c:pt idx="1">
                  <c:v>0.70730000000000004</c:v>
                </c:pt>
              </c:numCache>
            </c:numRef>
          </c:val>
          <c:extLst>
            <c:ext xmlns:c16="http://schemas.microsoft.com/office/drawing/2014/chart" uri="{C3380CC4-5D6E-409C-BE32-E72D297353CC}">
              <c16:uniqueId val="{00000000-A9C1-4ECD-A98B-43630EE873EF}"/>
            </c:ext>
          </c:extLst>
        </c:ser>
        <c:ser>
          <c:idx val="1"/>
          <c:order val="1"/>
          <c:tx>
            <c:strRef>
              <c:f>Sheet1!$C$24</c:f>
              <c:strCache>
                <c:ptCount val="1"/>
                <c:pt idx="0">
                  <c:v>Fife Council</c:v>
                </c:pt>
              </c:strCache>
            </c:strRef>
          </c:tx>
          <c:spPr>
            <a:solidFill>
              <a:srgbClr val="0070C0"/>
            </a:solidFill>
            <a:ln>
              <a:noFill/>
            </a:ln>
            <a:effectLst/>
          </c:spPr>
          <c:invertIfNegative val="0"/>
          <c:cat>
            <c:strRef>
              <c:f>Sheet1!$A$25:$A$26</c:f>
              <c:strCache>
                <c:ptCount val="2"/>
                <c:pt idx="0">
                  <c:v>2018/19</c:v>
                </c:pt>
                <c:pt idx="1">
                  <c:v>2019/20</c:v>
                </c:pt>
              </c:strCache>
            </c:strRef>
          </c:cat>
          <c:val>
            <c:numRef>
              <c:f>Sheet1!$C$25:$C$26</c:f>
              <c:numCache>
                <c:formatCode>0.00%</c:formatCode>
                <c:ptCount val="2"/>
                <c:pt idx="0">
                  <c:v>0.54810000000000003</c:v>
                </c:pt>
                <c:pt idx="1">
                  <c:v>0.5413</c:v>
                </c:pt>
              </c:numCache>
            </c:numRef>
          </c:val>
          <c:extLst>
            <c:ext xmlns:c16="http://schemas.microsoft.com/office/drawing/2014/chart" uri="{C3380CC4-5D6E-409C-BE32-E72D297353CC}">
              <c16:uniqueId val="{00000001-A9C1-4ECD-A98B-43630EE873EF}"/>
            </c:ext>
          </c:extLst>
        </c:ser>
        <c:dLbls>
          <c:showLegendKey val="0"/>
          <c:showVal val="0"/>
          <c:showCatName val="0"/>
          <c:showSerName val="0"/>
          <c:showPercent val="0"/>
          <c:showBubbleSize val="0"/>
        </c:dLbls>
        <c:gapWidth val="219"/>
        <c:overlap val="-27"/>
        <c:axId val="645988984"/>
        <c:axId val="645991280"/>
      </c:barChart>
      <c:catAx>
        <c:axId val="645988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991280"/>
        <c:crosses val="autoZero"/>
        <c:auto val="1"/>
        <c:lblAlgn val="ctr"/>
        <c:lblOffset val="100"/>
        <c:noMultiLvlLbl val="0"/>
      </c:catAx>
      <c:valAx>
        <c:axId val="645991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988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Percentage of workforce who are permanent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Sheet1!$B$40</c:f>
              <c:strCache>
                <c:ptCount val="1"/>
                <c:pt idx="0">
                  <c:v>COS</c:v>
                </c:pt>
              </c:strCache>
            </c:strRef>
          </c:tx>
          <c:spPr>
            <a:solidFill>
              <a:srgbClr val="00B050"/>
            </a:solidFill>
            <a:ln>
              <a:noFill/>
            </a:ln>
            <a:effectLst/>
          </c:spPr>
          <c:invertIfNegative val="0"/>
          <c:cat>
            <c:strRef>
              <c:f>Sheet1!$A$41:$A$42</c:f>
              <c:strCache>
                <c:ptCount val="2"/>
                <c:pt idx="0">
                  <c:v>2018/19</c:v>
                </c:pt>
                <c:pt idx="1">
                  <c:v>2019/20</c:v>
                </c:pt>
              </c:strCache>
            </c:strRef>
          </c:cat>
          <c:val>
            <c:numRef>
              <c:f>Sheet1!$B$41:$B$42</c:f>
              <c:numCache>
                <c:formatCode>0.00%</c:formatCode>
                <c:ptCount val="2"/>
                <c:pt idx="0">
                  <c:v>0.9032</c:v>
                </c:pt>
                <c:pt idx="1">
                  <c:v>0.88019999999999998</c:v>
                </c:pt>
              </c:numCache>
            </c:numRef>
          </c:val>
          <c:extLst>
            <c:ext xmlns:c16="http://schemas.microsoft.com/office/drawing/2014/chart" uri="{C3380CC4-5D6E-409C-BE32-E72D297353CC}">
              <c16:uniqueId val="{00000000-24E6-4529-B5CA-8851B5D543B7}"/>
            </c:ext>
          </c:extLst>
        </c:ser>
        <c:ser>
          <c:idx val="1"/>
          <c:order val="1"/>
          <c:tx>
            <c:strRef>
              <c:f>Sheet1!$C$40</c:f>
              <c:strCache>
                <c:ptCount val="1"/>
                <c:pt idx="0">
                  <c:v>Fife Council</c:v>
                </c:pt>
              </c:strCache>
            </c:strRef>
          </c:tx>
          <c:spPr>
            <a:solidFill>
              <a:srgbClr val="0070C0"/>
            </a:solidFill>
            <a:ln>
              <a:noFill/>
            </a:ln>
            <a:effectLst/>
          </c:spPr>
          <c:invertIfNegative val="0"/>
          <c:cat>
            <c:strRef>
              <c:f>Sheet1!$A$41:$A$42</c:f>
              <c:strCache>
                <c:ptCount val="2"/>
                <c:pt idx="0">
                  <c:v>2018/19</c:v>
                </c:pt>
                <c:pt idx="1">
                  <c:v>2019/20</c:v>
                </c:pt>
              </c:strCache>
            </c:strRef>
          </c:cat>
          <c:val>
            <c:numRef>
              <c:f>Sheet1!$C$41:$C$42</c:f>
              <c:numCache>
                <c:formatCode>0.00%</c:formatCode>
                <c:ptCount val="2"/>
                <c:pt idx="0">
                  <c:v>0.8216</c:v>
                </c:pt>
                <c:pt idx="1">
                  <c:v>0.80310000000000004</c:v>
                </c:pt>
              </c:numCache>
            </c:numRef>
          </c:val>
          <c:extLst>
            <c:ext xmlns:c16="http://schemas.microsoft.com/office/drawing/2014/chart" uri="{C3380CC4-5D6E-409C-BE32-E72D297353CC}">
              <c16:uniqueId val="{00000001-24E6-4529-B5CA-8851B5D543B7}"/>
            </c:ext>
          </c:extLst>
        </c:ser>
        <c:dLbls>
          <c:showLegendKey val="0"/>
          <c:showVal val="0"/>
          <c:showCatName val="0"/>
          <c:showSerName val="0"/>
          <c:showPercent val="0"/>
          <c:showBubbleSize val="0"/>
        </c:dLbls>
        <c:gapWidth val="219"/>
        <c:overlap val="-27"/>
        <c:axId val="645988984"/>
        <c:axId val="645991280"/>
      </c:barChart>
      <c:catAx>
        <c:axId val="645988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991280"/>
        <c:crosses val="autoZero"/>
        <c:auto val="1"/>
        <c:lblAlgn val="ctr"/>
        <c:lblOffset val="100"/>
        <c:noMultiLvlLbl val="0"/>
      </c:catAx>
      <c:valAx>
        <c:axId val="645991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988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voluntary redundancies (FTE)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Sheet1!$B$55</c:f>
              <c:strCache>
                <c:ptCount val="1"/>
                <c:pt idx="0">
                  <c:v>COS</c:v>
                </c:pt>
              </c:strCache>
            </c:strRef>
          </c:tx>
          <c:spPr>
            <a:solidFill>
              <a:srgbClr val="00B050"/>
            </a:solidFill>
            <a:ln>
              <a:noFill/>
            </a:ln>
            <a:effectLst/>
          </c:spPr>
          <c:invertIfNegative val="0"/>
          <c:cat>
            <c:strRef>
              <c:f>Sheet1!$A$56:$A$57</c:f>
              <c:strCache>
                <c:ptCount val="2"/>
                <c:pt idx="0">
                  <c:v>2018/19</c:v>
                </c:pt>
                <c:pt idx="1">
                  <c:v>2019/20</c:v>
                </c:pt>
              </c:strCache>
            </c:strRef>
          </c:cat>
          <c:val>
            <c:numRef>
              <c:f>Sheet1!$B$56:$B$57</c:f>
              <c:numCache>
                <c:formatCode>0.00</c:formatCode>
                <c:ptCount val="2"/>
                <c:pt idx="0">
                  <c:v>1</c:v>
                </c:pt>
                <c:pt idx="1">
                  <c:v>12.8</c:v>
                </c:pt>
              </c:numCache>
            </c:numRef>
          </c:val>
          <c:extLst>
            <c:ext xmlns:c16="http://schemas.microsoft.com/office/drawing/2014/chart" uri="{C3380CC4-5D6E-409C-BE32-E72D297353CC}">
              <c16:uniqueId val="{00000000-FDE9-4842-8C21-C70A01D75AFD}"/>
            </c:ext>
          </c:extLst>
        </c:ser>
        <c:ser>
          <c:idx val="1"/>
          <c:order val="1"/>
          <c:tx>
            <c:strRef>
              <c:f>Sheet1!$C$55</c:f>
              <c:strCache>
                <c:ptCount val="1"/>
                <c:pt idx="0">
                  <c:v>Fife Council</c:v>
                </c:pt>
              </c:strCache>
            </c:strRef>
          </c:tx>
          <c:spPr>
            <a:solidFill>
              <a:srgbClr val="0070C0"/>
            </a:solidFill>
            <a:ln>
              <a:noFill/>
            </a:ln>
            <a:effectLst/>
          </c:spPr>
          <c:invertIfNegative val="0"/>
          <c:cat>
            <c:strRef>
              <c:f>Sheet1!$A$56:$A$57</c:f>
              <c:strCache>
                <c:ptCount val="2"/>
                <c:pt idx="0">
                  <c:v>2018/19</c:v>
                </c:pt>
                <c:pt idx="1">
                  <c:v>2019/20</c:v>
                </c:pt>
              </c:strCache>
            </c:strRef>
          </c:cat>
          <c:val>
            <c:numRef>
              <c:f>Sheet1!$C$56:$C$57</c:f>
              <c:numCache>
                <c:formatCode>0.00</c:formatCode>
                <c:ptCount val="2"/>
                <c:pt idx="0">
                  <c:v>73.3</c:v>
                </c:pt>
                <c:pt idx="1">
                  <c:v>44.3</c:v>
                </c:pt>
              </c:numCache>
            </c:numRef>
          </c:val>
          <c:extLst>
            <c:ext xmlns:c16="http://schemas.microsoft.com/office/drawing/2014/chart" uri="{C3380CC4-5D6E-409C-BE32-E72D297353CC}">
              <c16:uniqueId val="{00000001-FDE9-4842-8C21-C70A01D75AFD}"/>
            </c:ext>
          </c:extLst>
        </c:ser>
        <c:dLbls>
          <c:showLegendKey val="0"/>
          <c:showVal val="0"/>
          <c:showCatName val="0"/>
          <c:showSerName val="0"/>
          <c:showPercent val="0"/>
          <c:showBubbleSize val="0"/>
        </c:dLbls>
        <c:gapWidth val="219"/>
        <c:overlap val="-27"/>
        <c:axId val="645988984"/>
        <c:axId val="645991280"/>
      </c:barChart>
      <c:catAx>
        <c:axId val="645988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991280"/>
        <c:crosses val="autoZero"/>
        <c:auto val="1"/>
        <c:lblAlgn val="ctr"/>
        <c:lblOffset val="100"/>
        <c:noMultiLvlLbl val="0"/>
      </c:catAx>
      <c:valAx>
        <c:axId val="645991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988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Percentage of employees aged 24 or under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Sheet1!$B$70</c:f>
              <c:strCache>
                <c:ptCount val="1"/>
                <c:pt idx="0">
                  <c:v>COS</c:v>
                </c:pt>
              </c:strCache>
            </c:strRef>
          </c:tx>
          <c:spPr>
            <a:solidFill>
              <a:srgbClr val="00B050"/>
            </a:solidFill>
            <a:ln>
              <a:noFill/>
            </a:ln>
            <a:effectLst/>
          </c:spPr>
          <c:invertIfNegative val="0"/>
          <c:cat>
            <c:strRef>
              <c:f>Sheet1!$A$71:$A$72</c:f>
              <c:strCache>
                <c:ptCount val="2"/>
                <c:pt idx="0">
                  <c:v>2018/19</c:v>
                </c:pt>
                <c:pt idx="1">
                  <c:v>2019/20</c:v>
                </c:pt>
              </c:strCache>
            </c:strRef>
          </c:cat>
          <c:val>
            <c:numRef>
              <c:f>Sheet1!$B$71:$B$72</c:f>
              <c:numCache>
                <c:formatCode>0.00%</c:formatCode>
                <c:ptCount val="2"/>
                <c:pt idx="0">
                  <c:v>3.2300000000000002E-2</c:v>
                </c:pt>
                <c:pt idx="1">
                  <c:v>0.1129</c:v>
                </c:pt>
              </c:numCache>
            </c:numRef>
          </c:val>
          <c:extLst>
            <c:ext xmlns:c16="http://schemas.microsoft.com/office/drawing/2014/chart" uri="{C3380CC4-5D6E-409C-BE32-E72D297353CC}">
              <c16:uniqueId val="{00000000-137D-49EE-96A0-019B8839CCB0}"/>
            </c:ext>
          </c:extLst>
        </c:ser>
        <c:ser>
          <c:idx val="1"/>
          <c:order val="1"/>
          <c:tx>
            <c:strRef>
              <c:f>Sheet1!$C$70</c:f>
              <c:strCache>
                <c:ptCount val="1"/>
                <c:pt idx="0">
                  <c:v>Fife Council</c:v>
                </c:pt>
              </c:strCache>
            </c:strRef>
          </c:tx>
          <c:spPr>
            <a:solidFill>
              <a:srgbClr val="0070C0"/>
            </a:solidFill>
            <a:ln>
              <a:noFill/>
            </a:ln>
            <a:effectLst/>
          </c:spPr>
          <c:invertIfNegative val="0"/>
          <c:cat>
            <c:strRef>
              <c:f>Sheet1!$A$71:$A$72</c:f>
              <c:strCache>
                <c:ptCount val="2"/>
                <c:pt idx="0">
                  <c:v>2018/19</c:v>
                </c:pt>
                <c:pt idx="1">
                  <c:v>2019/20</c:v>
                </c:pt>
              </c:strCache>
            </c:strRef>
          </c:cat>
          <c:val>
            <c:numRef>
              <c:f>Sheet1!$C$71:$C$72</c:f>
              <c:numCache>
                <c:formatCode>0.00%</c:formatCode>
                <c:ptCount val="2"/>
                <c:pt idx="0">
                  <c:v>4.9399999999999999E-2</c:v>
                </c:pt>
                <c:pt idx="1">
                  <c:v>5.3199999999999997E-2</c:v>
                </c:pt>
              </c:numCache>
            </c:numRef>
          </c:val>
          <c:extLst>
            <c:ext xmlns:c16="http://schemas.microsoft.com/office/drawing/2014/chart" uri="{C3380CC4-5D6E-409C-BE32-E72D297353CC}">
              <c16:uniqueId val="{00000001-137D-49EE-96A0-019B8839CCB0}"/>
            </c:ext>
          </c:extLst>
        </c:ser>
        <c:dLbls>
          <c:showLegendKey val="0"/>
          <c:showVal val="0"/>
          <c:showCatName val="0"/>
          <c:showSerName val="0"/>
          <c:showPercent val="0"/>
          <c:showBubbleSize val="0"/>
        </c:dLbls>
        <c:gapWidth val="219"/>
        <c:overlap val="-27"/>
        <c:axId val="645988984"/>
        <c:axId val="645991280"/>
      </c:barChart>
      <c:catAx>
        <c:axId val="645988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991280"/>
        <c:crosses val="autoZero"/>
        <c:auto val="1"/>
        <c:lblAlgn val="ctr"/>
        <c:lblOffset val="100"/>
        <c:noMultiLvlLbl val="0"/>
      </c:catAx>
      <c:valAx>
        <c:axId val="645991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988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Percentage of employees aged 29 or under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Sheet1!$B$85</c:f>
              <c:strCache>
                <c:ptCount val="1"/>
                <c:pt idx="0">
                  <c:v>COS</c:v>
                </c:pt>
              </c:strCache>
            </c:strRef>
          </c:tx>
          <c:spPr>
            <a:solidFill>
              <a:srgbClr val="00B050"/>
            </a:solidFill>
            <a:ln>
              <a:noFill/>
            </a:ln>
            <a:effectLst/>
          </c:spPr>
          <c:invertIfNegative val="0"/>
          <c:cat>
            <c:strRef>
              <c:f>Sheet1!$A$86:$A$87</c:f>
              <c:strCache>
                <c:ptCount val="2"/>
                <c:pt idx="0">
                  <c:v>2018/19</c:v>
                </c:pt>
                <c:pt idx="1">
                  <c:v>2019/20</c:v>
                </c:pt>
              </c:strCache>
            </c:strRef>
          </c:cat>
          <c:val>
            <c:numRef>
              <c:f>Sheet1!$B$86:$B$87</c:f>
              <c:numCache>
                <c:formatCode>0.00%</c:formatCode>
                <c:ptCount val="2"/>
                <c:pt idx="0">
                  <c:v>0.1129</c:v>
                </c:pt>
                <c:pt idx="1">
                  <c:v>7.5600000000000001E-2</c:v>
                </c:pt>
              </c:numCache>
            </c:numRef>
          </c:val>
          <c:extLst>
            <c:ext xmlns:c16="http://schemas.microsoft.com/office/drawing/2014/chart" uri="{C3380CC4-5D6E-409C-BE32-E72D297353CC}">
              <c16:uniqueId val="{00000000-BB4D-4953-9E6A-D77F53BAE724}"/>
            </c:ext>
          </c:extLst>
        </c:ser>
        <c:ser>
          <c:idx val="1"/>
          <c:order val="1"/>
          <c:tx>
            <c:strRef>
              <c:f>Sheet1!$C$85</c:f>
              <c:strCache>
                <c:ptCount val="1"/>
                <c:pt idx="0">
                  <c:v>Fife Council</c:v>
                </c:pt>
              </c:strCache>
            </c:strRef>
          </c:tx>
          <c:spPr>
            <a:solidFill>
              <a:srgbClr val="0070C0"/>
            </a:solidFill>
            <a:ln>
              <a:noFill/>
            </a:ln>
            <a:effectLst/>
          </c:spPr>
          <c:invertIfNegative val="0"/>
          <c:cat>
            <c:strRef>
              <c:f>Sheet1!$A$86:$A$87</c:f>
              <c:strCache>
                <c:ptCount val="2"/>
                <c:pt idx="0">
                  <c:v>2018/19</c:v>
                </c:pt>
                <c:pt idx="1">
                  <c:v>2019/20</c:v>
                </c:pt>
              </c:strCache>
            </c:strRef>
          </c:cat>
          <c:val>
            <c:numRef>
              <c:f>Sheet1!$C$86:$C$87</c:f>
              <c:numCache>
                <c:formatCode>0.00%</c:formatCode>
                <c:ptCount val="2"/>
                <c:pt idx="0">
                  <c:v>0.1217</c:v>
                </c:pt>
                <c:pt idx="1">
                  <c:v>0.12770000000000001</c:v>
                </c:pt>
              </c:numCache>
            </c:numRef>
          </c:val>
          <c:extLst>
            <c:ext xmlns:c16="http://schemas.microsoft.com/office/drawing/2014/chart" uri="{C3380CC4-5D6E-409C-BE32-E72D297353CC}">
              <c16:uniqueId val="{00000001-BB4D-4953-9E6A-D77F53BAE724}"/>
            </c:ext>
          </c:extLst>
        </c:ser>
        <c:dLbls>
          <c:showLegendKey val="0"/>
          <c:showVal val="0"/>
          <c:showCatName val="0"/>
          <c:showSerName val="0"/>
          <c:showPercent val="0"/>
          <c:showBubbleSize val="0"/>
        </c:dLbls>
        <c:gapWidth val="219"/>
        <c:overlap val="-27"/>
        <c:axId val="645988984"/>
        <c:axId val="645991280"/>
      </c:barChart>
      <c:catAx>
        <c:axId val="645988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991280"/>
        <c:crosses val="autoZero"/>
        <c:auto val="1"/>
        <c:lblAlgn val="ctr"/>
        <c:lblOffset val="100"/>
        <c:noMultiLvlLbl val="0"/>
      </c:catAx>
      <c:valAx>
        <c:axId val="645991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988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WYI bids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Sheet1!$B$100</c:f>
              <c:strCache>
                <c:ptCount val="1"/>
                <c:pt idx="0">
                  <c:v>COS</c:v>
                </c:pt>
              </c:strCache>
            </c:strRef>
          </c:tx>
          <c:spPr>
            <a:solidFill>
              <a:srgbClr val="00B050"/>
            </a:solidFill>
            <a:ln>
              <a:noFill/>
            </a:ln>
            <a:effectLst/>
          </c:spPr>
          <c:invertIfNegative val="0"/>
          <c:cat>
            <c:strRef>
              <c:f>Sheet1!$A$101:$A$102</c:f>
              <c:strCache>
                <c:ptCount val="2"/>
                <c:pt idx="0">
                  <c:v>2018/19</c:v>
                </c:pt>
                <c:pt idx="1">
                  <c:v>2019/20</c:v>
                </c:pt>
              </c:strCache>
            </c:strRef>
          </c:cat>
          <c:val>
            <c:numRef>
              <c:f>Sheet1!$B$101:$B$102</c:f>
              <c:numCache>
                <c:formatCode>0</c:formatCode>
                <c:ptCount val="2"/>
                <c:pt idx="0">
                  <c:v>3</c:v>
                </c:pt>
                <c:pt idx="1">
                  <c:v>2</c:v>
                </c:pt>
              </c:numCache>
            </c:numRef>
          </c:val>
          <c:extLst>
            <c:ext xmlns:c16="http://schemas.microsoft.com/office/drawing/2014/chart" uri="{C3380CC4-5D6E-409C-BE32-E72D297353CC}">
              <c16:uniqueId val="{00000000-8126-443D-A857-71A300DB014D}"/>
            </c:ext>
          </c:extLst>
        </c:ser>
        <c:ser>
          <c:idx val="1"/>
          <c:order val="1"/>
          <c:tx>
            <c:strRef>
              <c:f>Sheet1!$C$100</c:f>
              <c:strCache>
                <c:ptCount val="1"/>
                <c:pt idx="0">
                  <c:v>Fife Council</c:v>
                </c:pt>
              </c:strCache>
            </c:strRef>
          </c:tx>
          <c:spPr>
            <a:solidFill>
              <a:srgbClr val="0070C0"/>
            </a:solidFill>
            <a:ln>
              <a:noFill/>
            </a:ln>
            <a:effectLst/>
          </c:spPr>
          <c:invertIfNegative val="0"/>
          <c:cat>
            <c:strRef>
              <c:f>Sheet1!$A$101:$A$102</c:f>
              <c:strCache>
                <c:ptCount val="2"/>
                <c:pt idx="0">
                  <c:v>2018/19</c:v>
                </c:pt>
                <c:pt idx="1">
                  <c:v>2019/20</c:v>
                </c:pt>
              </c:strCache>
            </c:strRef>
          </c:cat>
          <c:val>
            <c:numRef>
              <c:f>Sheet1!$C$101:$C$102</c:f>
              <c:numCache>
                <c:formatCode>0</c:formatCode>
                <c:ptCount val="2"/>
                <c:pt idx="0">
                  <c:v>25</c:v>
                </c:pt>
                <c:pt idx="1">
                  <c:v>57</c:v>
                </c:pt>
              </c:numCache>
            </c:numRef>
          </c:val>
          <c:extLst>
            <c:ext xmlns:c16="http://schemas.microsoft.com/office/drawing/2014/chart" uri="{C3380CC4-5D6E-409C-BE32-E72D297353CC}">
              <c16:uniqueId val="{00000001-8126-443D-A857-71A300DB014D}"/>
            </c:ext>
          </c:extLst>
        </c:ser>
        <c:dLbls>
          <c:showLegendKey val="0"/>
          <c:showVal val="0"/>
          <c:showCatName val="0"/>
          <c:showSerName val="0"/>
          <c:showPercent val="0"/>
          <c:showBubbleSize val="0"/>
        </c:dLbls>
        <c:gapWidth val="219"/>
        <c:overlap val="-27"/>
        <c:axId val="645988984"/>
        <c:axId val="645991280"/>
      </c:barChart>
      <c:catAx>
        <c:axId val="645988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991280"/>
        <c:crosses val="autoZero"/>
        <c:auto val="1"/>
        <c:lblAlgn val="ctr"/>
        <c:lblOffset val="100"/>
        <c:noMultiLvlLbl val="0"/>
      </c:catAx>
      <c:valAx>
        <c:axId val="645991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988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Compliments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COS!$B$37</c:f>
              <c:strCache>
                <c:ptCount val="1"/>
                <c:pt idx="0">
                  <c:v>Customer Service Improvement</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COS!$A$38:$A$41</c:f>
              <c:strCache>
                <c:ptCount val="4"/>
                <c:pt idx="0">
                  <c:v>2016/17</c:v>
                </c:pt>
                <c:pt idx="1">
                  <c:v>2017/18</c:v>
                </c:pt>
                <c:pt idx="2">
                  <c:v>2018/19</c:v>
                </c:pt>
                <c:pt idx="3">
                  <c:v>2019/20</c:v>
                </c:pt>
              </c:strCache>
            </c:strRef>
          </c:cat>
          <c:val>
            <c:numRef>
              <c:f>COS!$B$38:$B$41</c:f>
              <c:numCache>
                <c:formatCode>0</c:formatCode>
                <c:ptCount val="4"/>
                <c:pt idx="0">
                  <c:v>316</c:v>
                </c:pt>
                <c:pt idx="1">
                  <c:v>261</c:v>
                </c:pt>
                <c:pt idx="2">
                  <c:v>228</c:v>
                </c:pt>
                <c:pt idx="3">
                  <c:v>186</c:v>
                </c:pt>
              </c:numCache>
            </c:numRef>
          </c:val>
          <c:smooth val="0"/>
          <c:extLst>
            <c:ext xmlns:c16="http://schemas.microsoft.com/office/drawing/2014/chart" uri="{C3380CC4-5D6E-409C-BE32-E72D297353CC}">
              <c16:uniqueId val="{00000000-F5A4-4967-999F-D1EC39F945E8}"/>
            </c:ext>
          </c:extLst>
        </c:ser>
        <c:dLbls>
          <c:dLblPos val="t"/>
          <c:showLegendKey val="0"/>
          <c:showVal val="1"/>
          <c:showCatName val="0"/>
          <c:showSerName val="0"/>
          <c:showPercent val="0"/>
          <c:showBubbleSize val="0"/>
        </c:dLbls>
        <c:marker val="1"/>
        <c:smooth val="0"/>
        <c:axId val="426165784"/>
        <c:axId val="426166176"/>
      </c:lineChart>
      <c:catAx>
        <c:axId val="42616578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66176"/>
        <c:crosses val="autoZero"/>
        <c:auto val="1"/>
        <c:lblAlgn val="ctr"/>
        <c:lblOffset val="100"/>
        <c:noMultiLvlLbl val="0"/>
      </c:catAx>
      <c:valAx>
        <c:axId val="426166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65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WYI programme new starts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Sheet1!$B$115</c:f>
              <c:strCache>
                <c:ptCount val="1"/>
                <c:pt idx="0">
                  <c:v>COS</c:v>
                </c:pt>
              </c:strCache>
            </c:strRef>
          </c:tx>
          <c:spPr>
            <a:solidFill>
              <a:srgbClr val="00B050"/>
            </a:solidFill>
            <a:ln>
              <a:noFill/>
            </a:ln>
            <a:effectLst/>
          </c:spPr>
          <c:invertIfNegative val="0"/>
          <c:cat>
            <c:strRef>
              <c:f>Sheet1!$A$116:$A$117</c:f>
              <c:strCache>
                <c:ptCount val="2"/>
                <c:pt idx="0">
                  <c:v>2018/19</c:v>
                </c:pt>
                <c:pt idx="1">
                  <c:v>2019/20</c:v>
                </c:pt>
              </c:strCache>
            </c:strRef>
          </c:cat>
          <c:val>
            <c:numRef>
              <c:f>Sheet1!$B$116:$B$117</c:f>
              <c:numCache>
                <c:formatCode>0</c:formatCode>
                <c:ptCount val="2"/>
                <c:pt idx="0">
                  <c:v>3</c:v>
                </c:pt>
                <c:pt idx="1">
                  <c:v>0</c:v>
                </c:pt>
              </c:numCache>
            </c:numRef>
          </c:val>
          <c:extLst>
            <c:ext xmlns:c16="http://schemas.microsoft.com/office/drawing/2014/chart" uri="{C3380CC4-5D6E-409C-BE32-E72D297353CC}">
              <c16:uniqueId val="{00000000-243A-4472-AC13-77F4B30152A9}"/>
            </c:ext>
          </c:extLst>
        </c:ser>
        <c:ser>
          <c:idx val="1"/>
          <c:order val="1"/>
          <c:tx>
            <c:strRef>
              <c:f>Sheet1!$C$115</c:f>
              <c:strCache>
                <c:ptCount val="1"/>
                <c:pt idx="0">
                  <c:v>Fife Council</c:v>
                </c:pt>
              </c:strCache>
            </c:strRef>
          </c:tx>
          <c:spPr>
            <a:solidFill>
              <a:srgbClr val="0070C0"/>
            </a:solidFill>
            <a:ln>
              <a:noFill/>
            </a:ln>
            <a:effectLst/>
          </c:spPr>
          <c:invertIfNegative val="0"/>
          <c:cat>
            <c:strRef>
              <c:f>Sheet1!$A$116:$A$117</c:f>
              <c:strCache>
                <c:ptCount val="2"/>
                <c:pt idx="0">
                  <c:v>2018/19</c:v>
                </c:pt>
                <c:pt idx="1">
                  <c:v>2019/20</c:v>
                </c:pt>
              </c:strCache>
            </c:strRef>
          </c:cat>
          <c:val>
            <c:numRef>
              <c:f>Sheet1!$C$116:$C$117</c:f>
              <c:numCache>
                <c:formatCode>0</c:formatCode>
                <c:ptCount val="2"/>
                <c:pt idx="0">
                  <c:v>51</c:v>
                </c:pt>
                <c:pt idx="1">
                  <c:v>24</c:v>
                </c:pt>
              </c:numCache>
            </c:numRef>
          </c:val>
          <c:extLst>
            <c:ext xmlns:c16="http://schemas.microsoft.com/office/drawing/2014/chart" uri="{C3380CC4-5D6E-409C-BE32-E72D297353CC}">
              <c16:uniqueId val="{00000001-243A-4472-AC13-77F4B30152A9}"/>
            </c:ext>
          </c:extLst>
        </c:ser>
        <c:dLbls>
          <c:showLegendKey val="0"/>
          <c:showVal val="0"/>
          <c:showCatName val="0"/>
          <c:showSerName val="0"/>
          <c:showPercent val="0"/>
          <c:showBubbleSize val="0"/>
        </c:dLbls>
        <c:gapWidth val="219"/>
        <c:overlap val="-27"/>
        <c:axId val="645988984"/>
        <c:axId val="645991280"/>
      </c:barChart>
      <c:catAx>
        <c:axId val="645988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991280"/>
        <c:crosses val="autoZero"/>
        <c:auto val="1"/>
        <c:lblAlgn val="ctr"/>
        <c:lblOffset val="100"/>
        <c:noMultiLvlLbl val="0"/>
      </c:catAx>
      <c:valAx>
        <c:axId val="645991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988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Social Media</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COS!$B$52</c:f>
              <c:strCache>
                <c:ptCount val="1"/>
                <c:pt idx="0">
                  <c:v>Twitter Followers</c:v>
                </c:pt>
              </c:strCache>
            </c:strRef>
          </c:tx>
          <c:spPr>
            <a:ln w="28575" cap="rnd">
              <a:solidFill>
                <a:srgbClr val="0070C0"/>
              </a:solidFill>
              <a:prstDash val="lgDash"/>
              <a:round/>
            </a:ln>
            <a:effectLst/>
          </c:spPr>
          <c:marker>
            <c:symbol val="circle"/>
            <c:size val="5"/>
            <c:spPr>
              <a:solidFill>
                <a:srgbClr val="0070C0"/>
              </a:solidFill>
              <a:ln w="9525">
                <a:solidFill>
                  <a:srgbClr val="0070C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COS!$A$53:$A$56</c:f>
              <c:strCache>
                <c:ptCount val="4"/>
                <c:pt idx="0">
                  <c:v>2016/17</c:v>
                </c:pt>
                <c:pt idx="1">
                  <c:v>2017/18</c:v>
                </c:pt>
                <c:pt idx="2">
                  <c:v>2018/19</c:v>
                </c:pt>
                <c:pt idx="3">
                  <c:v>2019/20</c:v>
                </c:pt>
              </c:strCache>
            </c:strRef>
          </c:cat>
          <c:val>
            <c:numRef>
              <c:f>COS!$B$53:$B$56</c:f>
              <c:numCache>
                <c:formatCode>0</c:formatCode>
                <c:ptCount val="4"/>
                <c:pt idx="0">
                  <c:v>34139</c:v>
                </c:pt>
                <c:pt idx="1">
                  <c:v>46496</c:v>
                </c:pt>
                <c:pt idx="2">
                  <c:v>48278</c:v>
                </c:pt>
                <c:pt idx="3">
                  <c:v>50886</c:v>
                </c:pt>
              </c:numCache>
            </c:numRef>
          </c:val>
          <c:smooth val="0"/>
          <c:extLst>
            <c:ext xmlns:c16="http://schemas.microsoft.com/office/drawing/2014/chart" uri="{C3380CC4-5D6E-409C-BE32-E72D297353CC}">
              <c16:uniqueId val="{00000000-B7D1-4ECA-A3BB-0DD978589924}"/>
            </c:ext>
          </c:extLst>
        </c:ser>
        <c:ser>
          <c:idx val="1"/>
          <c:order val="1"/>
          <c:tx>
            <c:strRef>
              <c:f>COS!$C$52</c:f>
              <c:strCache>
                <c:ptCount val="1"/>
                <c:pt idx="0">
                  <c:v>Facebook Fans</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COS!$A$53:$A$56</c:f>
              <c:strCache>
                <c:ptCount val="4"/>
                <c:pt idx="0">
                  <c:v>2016/17</c:v>
                </c:pt>
                <c:pt idx="1">
                  <c:v>2017/18</c:v>
                </c:pt>
                <c:pt idx="2">
                  <c:v>2018/19</c:v>
                </c:pt>
                <c:pt idx="3">
                  <c:v>2019/20</c:v>
                </c:pt>
              </c:strCache>
            </c:strRef>
          </c:cat>
          <c:val>
            <c:numRef>
              <c:f>COS!$C$53:$C$56</c:f>
              <c:numCache>
                <c:formatCode>0</c:formatCode>
                <c:ptCount val="4"/>
                <c:pt idx="0">
                  <c:v>25097</c:v>
                </c:pt>
                <c:pt idx="1">
                  <c:v>35973</c:v>
                </c:pt>
                <c:pt idx="2">
                  <c:v>37833</c:v>
                </c:pt>
                <c:pt idx="3">
                  <c:v>42527</c:v>
                </c:pt>
              </c:numCache>
            </c:numRef>
          </c:val>
          <c:smooth val="0"/>
          <c:extLst>
            <c:ext xmlns:c16="http://schemas.microsoft.com/office/drawing/2014/chart" uri="{C3380CC4-5D6E-409C-BE32-E72D297353CC}">
              <c16:uniqueId val="{00000001-B7D1-4ECA-A3BB-0DD978589924}"/>
            </c:ext>
          </c:extLst>
        </c:ser>
        <c:dLbls>
          <c:dLblPos val="b"/>
          <c:showLegendKey val="0"/>
          <c:showVal val="1"/>
          <c:showCatName val="0"/>
          <c:showSerName val="0"/>
          <c:showPercent val="0"/>
          <c:showBubbleSize val="0"/>
        </c:dLbls>
        <c:marker val="1"/>
        <c:smooth val="0"/>
        <c:axId val="426166960"/>
        <c:axId val="426167352"/>
      </c:lineChart>
      <c:catAx>
        <c:axId val="4261669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67352"/>
        <c:crosses val="autoZero"/>
        <c:auto val="1"/>
        <c:lblAlgn val="ctr"/>
        <c:lblOffset val="100"/>
        <c:noMultiLvlLbl val="0"/>
      </c:catAx>
      <c:valAx>
        <c:axId val="426167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66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Online Users</a:t>
            </a:r>
          </a:p>
        </c:rich>
      </c:tx>
      <c:layout>
        <c:manualLayout>
          <c:xMode val="edge"/>
          <c:yMode val="edge"/>
          <c:x val="0.39978258001039191"/>
          <c:y val="1.6701457717257034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455599180691834"/>
          <c:y val="0.11805168947738026"/>
          <c:w val="0.80719977179387647"/>
          <c:h val="0.56281896058192959"/>
        </c:manualLayout>
      </c:layout>
      <c:lineChart>
        <c:grouping val="standard"/>
        <c:varyColors val="0"/>
        <c:ser>
          <c:idx val="0"/>
          <c:order val="0"/>
          <c:tx>
            <c:strRef>
              <c:f>COS!$B$67</c:f>
              <c:strCache>
                <c:ptCount val="1"/>
                <c:pt idx="0">
                  <c:v>Online Transactions</c:v>
                </c:pt>
              </c:strCache>
            </c:strRef>
          </c:tx>
          <c:spPr>
            <a:ln w="28575" cap="rnd">
              <a:solidFill>
                <a:srgbClr val="0070C0"/>
              </a:solidFill>
              <a:round/>
            </a:ln>
            <a:effectLst/>
          </c:spPr>
          <c:marker>
            <c:symbol val="circle"/>
            <c:size val="5"/>
            <c:spPr>
              <a:solidFill>
                <a:srgbClr val="0070C0"/>
              </a:solidFill>
              <a:ln w="9525">
                <a:solidFill>
                  <a:srgbClr val="0070C0">
                    <a:alpha val="82000"/>
                  </a:srgb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COS!$A$68:$A$71</c:f>
              <c:strCache>
                <c:ptCount val="4"/>
                <c:pt idx="0">
                  <c:v>2016/17</c:v>
                </c:pt>
                <c:pt idx="1">
                  <c:v>2017/18</c:v>
                </c:pt>
                <c:pt idx="2">
                  <c:v>2018/19</c:v>
                </c:pt>
                <c:pt idx="3">
                  <c:v>2019/20</c:v>
                </c:pt>
              </c:strCache>
            </c:strRef>
          </c:cat>
          <c:val>
            <c:numRef>
              <c:f>COS!$B$68:$B$71</c:f>
              <c:numCache>
                <c:formatCode>#,##0</c:formatCode>
                <c:ptCount val="4"/>
                <c:pt idx="0">
                  <c:v>130327</c:v>
                </c:pt>
                <c:pt idx="1">
                  <c:v>154592</c:v>
                </c:pt>
                <c:pt idx="2">
                  <c:v>168739</c:v>
                </c:pt>
                <c:pt idx="3">
                  <c:v>172965</c:v>
                </c:pt>
              </c:numCache>
            </c:numRef>
          </c:val>
          <c:smooth val="0"/>
          <c:extLst>
            <c:ext xmlns:c16="http://schemas.microsoft.com/office/drawing/2014/chart" uri="{C3380CC4-5D6E-409C-BE32-E72D297353CC}">
              <c16:uniqueId val="{00000000-A74B-4859-ACA3-8817EDE64E1F}"/>
            </c:ext>
          </c:extLst>
        </c:ser>
        <c:ser>
          <c:idx val="1"/>
          <c:order val="1"/>
          <c:tx>
            <c:strRef>
              <c:f>COS!$C$67</c:f>
              <c:strCache>
                <c:ptCount val="1"/>
                <c:pt idx="0">
                  <c:v>Online Accounts</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COS!$A$68:$A$71</c:f>
              <c:strCache>
                <c:ptCount val="4"/>
                <c:pt idx="0">
                  <c:v>2016/17</c:v>
                </c:pt>
                <c:pt idx="1">
                  <c:v>2017/18</c:v>
                </c:pt>
                <c:pt idx="2">
                  <c:v>2018/19</c:v>
                </c:pt>
                <c:pt idx="3">
                  <c:v>2019/20</c:v>
                </c:pt>
              </c:strCache>
            </c:strRef>
          </c:cat>
          <c:val>
            <c:numRef>
              <c:f>COS!$C$68:$C$71</c:f>
              <c:numCache>
                <c:formatCode>#,##0</c:formatCode>
                <c:ptCount val="4"/>
                <c:pt idx="0">
                  <c:v>110364</c:v>
                </c:pt>
                <c:pt idx="1">
                  <c:v>127288</c:v>
                </c:pt>
                <c:pt idx="2">
                  <c:v>147000</c:v>
                </c:pt>
                <c:pt idx="3">
                  <c:v>160661</c:v>
                </c:pt>
              </c:numCache>
            </c:numRef>
          </c:val>
          <c:smooth val="0"/>
          <c:extLst>
            <c:ext xmlns:c16="http://schemas.microsoft.com/office/drawing/2014/chart" uri="{C3380CC4-5D6E-409C-BE32-E72D297353CC}">
              <c16:uniqueId val="{00000001-A74B-4859-ACA3-8817EDE64E1F}"/>
            </c:ext>
          </c:extLst>
        </c:ser>
        <c:dLbls>
          <c:dLblPos val="t"/>
          <c:showLegendKey val="0"/>
          <c:showVal val="1"/>
          <c:showCatName val="0"/>
          <c:showSerName val="0"/>
          <c:showPercent val="0"/>
          <c:showBubbleSize val="0"/>
        </c:dLbls>
        <c:marker val="1"/>
        <c:smooth val="0"/>
        <c:axId val="426839112"/>
        <c:axId val="426839504"/>
      </c:lineChart>
      <c:catAx>
        <c:axId val="42683911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839504"/>
        <c:crosses val="autoZero"/>
        <c:auto val="1"/>
        <c:lblAlgn val="ctr"/>
        <c:lblOffset val="100"/>
        <c:noMultiLvlLbl val="0"/>
      </c:catAx>
      <c:valAx>
        <c:axId val="426839504"/>
        <c:scaling>
          <c:orientation val="minMax"/>
          <c:min val="5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839112"/>
        <c:crosses val="autoZero"/>
        <c:crossBetween val="between"/>
      </c:valAx>
      <c:spPr>
        <a:noFill/>
        <a:ln>
          <a:noFill/>
        </a:ln>
        <a:effectLst/>
      </c:spPr>
    </c:plotArea>
    <c:legend>
      <c:legendPos val="b"/>
      <c:layout>
        <c:manualLayout>
          <c:xMode val="edge"/>
          <c:yMode val="edge"/>
          <c:x val="0"/>
          <c:y val="0.78775033556340912"/>
          <c:w val="1"/>
          <c:h val="0.201115359291752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b="0" i="0" u="none" strike="noStrike">
                <a:effectLst/>
              </a:rPr>
              <a:t>Average grant processing time - Days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COS!$B$98</c:f>
              <c:strCache>
                <c:ptCount val="1"/>
                <c:pt idx="0">
                  <c:v>Crisis grants</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COS!$A$99:$A$101</c:f>
              <c:strCache>
                <c:ptCount val="3"/>
                <c:pt idx="0">
                  <c:v>2017/18</c:v>
                </c:pt>
                <c:pt idx="1">
                  <c:v>2018/19</c:v>
                </c:pt>
                <c:pt idx="2">
                  <c:v>2019/20</c:v>
                </c:pt>
              </c:strCache>
            </c:strRef>
          </c:cat>
          <c:val>
            <c:numRef>
              <c:f>COS!$B$99:$B$101</c:f>
              <c:numCache>
                <c:formatCode>0.00</c:formatCode>
                <c:ptCount val="3"/>
                <c:pt idx="0">
                  <c:v>1</c:v>
                </c:pt>
                <c:pt idx="1">
                  <c:v>1</c:v>
                </c:pt>
                <c:pt idx="2">
                  <c:v>1</c:v>
                </c:pt>
              </c:numCache>
            </c:numRef>
          </c:val>
          <c:smooth val="0"/>
          <c:extLst>
            <c:ext xmlns:c16="http://schemas.microsoft.com/office/drawing/2014/chart" uri="{C3380CC4-5D6E-409C-BE32-E72D297353CC}">
              <c16:uniqueId val="{00000000-F91B-4378-9588-3D0D6A2350BC}"/>
            </c:ext>
          </c:extLst>
        </c:ser>
        <c:ser>
          <c:idx val="1"/>
          <c:order val="1"/>
          <c:tx>
            <c:strRef>
              <c:f>COS!$C$98</c:f>
              <c:strCache>
                <c:ptCount val="1"/>
                <c:pt idx="0">
                  <c:v>Community care grants</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COS!$A$99:$A$101</c:f>
              <c:strCache>
                <c:ptCount val="3"/>
                <c:pt idx="0">
                  <c:v>2017/18</c:v>
                </c:pt>
                <c:pt idx="1">
                  <c:v>2018/19</c:v>
                </c:pt>
                <c:pt idx="2">
                  <c:v>2019/20</c:v>
                </c:pt>
              </c:strCache>
            </c:strRef>
          </c:cat>
          <c:val>
            <c:numRef>
              <c:f>COS!$C$99:$C$101</c:f>
              <c:numCache>
                <c:formatCode>0.00</c:formatCode>
                <c:ptCount val="3"/>
                <c:pt idx="0">
                  <c:v>14</c:v>
                </c:pt>
                <c:pt idx="1">
                  <c:v>21</c:v>
                </c:pt>
                <c:pt idx="2">
                  <c:v>25</c:v>
                </c:pt>
              </c:numCache>
            </c:numRef>
          </c:val>
          <c:smooth val="0"/>
          <c:extLst>
            <c:ext xmlns:c16="http://schemas.microsoft.com/office/drawing/2014/chart" uri="{C3380CC4-5D6E-409C-BE32-E72D297353CC}">
              <c16:uniqueId val="{00000001-F91B-4378-9588-3D0D6A2350BC}"/>
            </c:ext>
          </c:extLst>
        </c:ser>
        <c:dLbls>
          <c:showLegendKey val="0"/>
          <c:showVal val="0"/>
          <c:showCatName val="0"/>
          <c:showSerName val="0"/>
          <c:showPercent val="0"/>
          <c:showBubbleSize val="0"/>
        </c:dLbls>
        <c:marker val="1"/>
        <c:smooth val="0"/>
        <c:axId val="426170488"/>
        <c:axId val="426170880"/>
      </c:lineChart>
      <c:catAx>
        <c:axId val="4261704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70880"/>
        <c:crosses val="autoZero"/>
        <c:auto val="1"/>
        <c:lblAlgn val="ctr"/>
        <c:lblOffset val="100"/>
        <c:noMultiLvlLbl val="0"/>
      </c:catAx>
      <c:valAx>
        <c:axId val="4261708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70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Customer Sevices Centres Transactions</a:t>
            </a:r>
          </a:p>
        </c:rich>
      </c:tx>
      <c:layout>
        <c:manualLayout>
          <c:xMode val="edge"/>
          <c:yMode val="edge"/>
          <c:x val="0.20508464925080175"/>
          <c:y val="1.1134305144838022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107924304335424"/>
          <c:y val="0.11805168947738026"/>
          <c:w val="0.81067652055744055"/>
          <c:h val="0.77437075833385216"/>
        </c:manualLayout>
      </c:layout>
      <c:lineChart>
        <c:grouping val="standard"/>
        <c:varyColors val="0"/>
        <c:ser>
          <c:idx val="2"/>
          <c:order val="2"/>
          <c:tx>
            <c:strRef>
              <c:f>COS!$D$67</c:f>
              <c:strCache>
                <c:ptCount val="1"/>
                <c:pt idx="0">
                  <c:v>Customer Services Centres Transactions</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COS!$A$68:$A$71</c:f>
              <c:strCache>
                <c:ptCount val="4"/>
                <c:pt idx="0">
                  <c:v>2016/17</c:v>
                </c:pt>
                <c:pt idx="1">
                  <c:v>2017/18</c:v>
                </c:pt>
                <c:pt idx="2">
                  <c:v>2018/19</c:v>
                </c:pt>
                <c:pt idx="3">
                  <c:v>2019/20</c:v>
                </c:pt>
              </c:strCache>
            </c:strRef>
          </c:cat>
          <c:val>
            <c:numRef>
              <c:f>COS!$D$68:$D$71</c:f>
              <c:numCache>
                <c:formatCode>#,##0</c:formatCode>
                <c:ptCount val="4"/>
                <c:pt idx="0">
                  <c:v>326118</c:v>
                </c:pt>
                <c:pt idx="1">
                  <c:v>365568</c:v>
                </c:pt>
                <c:pt idx="2">
                  <c:v>356710</c:v>
                </c:pt>
                <c:pt idx="3">
                  <c:v>312877</c:v>
                </c:pt>
              </c:numCache>
            </c:numRef>
          </c:val>
          <c:smooth val="0"/>
          <c:extLst>
            <c:ext xmlns:c16="http://schemas.microsoft.com/office/drawing/2014/chart" uri="{C3380CC4-5D6E-409C-BE32-E72D297353CC}">
              <c16:uniqueId val="{00000000-28FF-48DB-96F9-67E72600048C}"/>
            </c:ext>
          </c:extLst>
        </c:ser>
        <c:dLbls>
          <c:dLblPos val="t"/>
          <c:showLegendKey val="0"/>
          <c:showVal val="1"/>
          <c:showCatName val="0"/>
          <c:showSerName val="0"/>
          <c:showPercent val="0"/>
          <c:showBubbleSize val="0"/>
        </c:dLbls>
        <c:marker val="1"/>
        <c:smooth val="0"/>
        <c:axId val="426168136"/>
        <c:axId val="426168528"/>
        <c:extLst>
          <c:ext xmlns:c15="http://schemas.microsoft.com/office/drawing/2012/chart" uri="{02D57815-91ED-43cb-92C2-25804820EDAC}">
            <c15:filteredLineSeries>
              <c15:ser>
                <c:idx val="0"/>
                <c:order val="0"/>
                <c:tx>
                  <c:strRef>
                    <c:extLst>
                      <c:ext uri="{02D57815-91ED-43cb-92C2-25804820EDAC}">
                        <c15:formulaRef>
                          <c15:sqref>COS!$B$67</c15:sqref>
                        </c15:formulaRef>
                      </c:ext>
                    </c:extLst>
                    <c:strCache>
                      <c:ptCount val="1"/>
                      <c:pt idx="0">
                        <c:v>Online Transactions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COS!$A$68:$A$71</c15:sqref>
                        </c15:formulaRef>
                      </c:ext>
                    </c:extLst>
                    <c:strCache>
                      <c:ptCount val="4"/>
                      <c:pt idx="0">
                        <c:v>2016/17</c:v>
                      </c:pt>
                      <c:pt idx="1">
                        <c:v>2017/18</c:v>
                      </c:pt>
                      <c:pt idx="2">
                        <c:v>2018/19</c:v>
                      </c:pt>
                      <c:pt idx="3">
                        <c:v>2019/20</c:v>
                      </c:pt>
                    </c:strCache>
                  </c:strRef>
                </c:cat>
                <c:val>
                  <c:numRef>
                    <c:extLst>
                      <c:ext uri="{02D57815-91ED-43cb-92C2-25804820EDAC}">
                        <c15:formulaRef>
                          <c15:sqref>COS!$B$68:$B$71</c15:sqref>
                        </c15:formulaRef>
                      </c:ext>
                    </c:extLst>
                    <c:numCache>
                      <c:formatCode>#,##0</c:formatCode>
                      <c:ptCount val="4"/>
                      <c:pt idx="0">
                        <c:v>130327</c:v>
                      </c:pt>
                      <c:pt idx="1">
                        <c:v>154592</c:v>
                      </c:pt>
                      <c:pt idx="2">
                        <c:v>168739</c:v>
                      </c:pt>
                    </c:numCache>
                  </c:numRef>
                </c:val>
                <c:smooth val="0"/>
                <c:extLst>
                  <c:ext xmlns:c16="http://schemas.microsoft.com/office/drawing/2014/chart" uri="{C3380CC4-5D6E-409C-BE32-E72D297353CC}">
                    <c16:uniqueId val="{00000001-28FF-48DB-96F9-67E72600048C}"/>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COS!$C$67</c15:sqref>
                        </c15:formulaRef>
                      </c:ext>
                    </c:extLst>
                    <c:strCache>
                      <c:ptCount val="1"/>
                      <c:pt idx="0">
                        <c:v>Online Accounts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COS!$A$68:$A$71</c15:sqref>
                        </c15:formulaRef>
                      </c:ext>
                    </c:extLst>
                    <c:strCache>
                      <c:ptCount val="4"/>
                      <c:pt idx="0">
                        <c:v>2016/17</c:v>
                      </c:pt>
                      <c:pt idx="1">
                        <c:v>2017/18</c:v>
                      </c:pt>
                      <c:pt idx="2">
                        <c:v>2018/19</c:v>
                      </c:pt>
                      <c:pt idx="3">
                        <c:v>2019/20</c:v>
                      </c:pt>
                    </c:strCache>
                  </c:strRef>
                </c:cat>
                <c:val>
                  <c:numRef>
                    <c:extLst xmlns:c15="http://schemas.microsoft.com/office/drawing/2012/chart">
                      <c:ext xmlns:c15="http://schemas.microsoft.com/office/drawing/2012/chart" uri="{02D57815-91ED-43cb-92C2-25804820EDAC}">
                        <c15:formulaRef>
                          <c15:sqref>COS!$C$68:$C$71</c15:sqref>
                        </c15:formulaRef>
                      </c:ext>
                    </c:extLst>
                    <c:numCache>
                      <c:formatCode>#,##0</c:formatCode>
                      <c:ptCount val="4"/>
                      <c:pt idx="0">
                        <c:v>110364</c:v>
                      </c:pt>
                      <c:pt idx="1">
                        <c:v>127288</c:v>
                      </c:pt>
                      <c:pt idx="2">
                        <c:v>147000</c:v>
                      </c:pt>
                    </c:numCache>
                  </c:numRef>
                </c:val>
                <c:smooth val="0"/>
                <c:extLst xmlns:c15="http://schemas.microsoft.com/office/drawing/2012/chart">
                  <c:ext xmlns:c16="http://schemas.microsoft.com/office/drawing/2014/chart" uri="{C3380CC4-5D6E-409C-BE32-E72D297353CC}">
                    <c16:uniqueId val="{00000002-28FF-48DB-96F9-67E72600048C}"/>
                  </c:ext>
                </c:extLst>
              </c15:ser>
            </c15:filteredLineSeries>
          </c:ext>
        </c:extLst>
      </c:lineChart>
      <c:catAx>
        <c:axId val="42616813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68528"/>
        <c:crosses val="autoZero"/>
        <c:auto val="1"/>
        <c:lblAlgn val="ctr"/>
        <c:lblOffset val="100"/>
        <c:noMultiLvlLbl val="0"/>
      </c:catAx>
      <c:valAx>
        <c:axId val="426168528"/>
        <c:scaling>
          <c:orientation val="minMax"/>
          <c:min val="3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68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Percentage registration input accuracy</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COS!$A$84:$A$87</c:f>
              <c:strCache>
                <c:ptCount val="4"/>
                <c:pt idx="0">
                  <c:v>2016/17</c:v>
                </c:pt>
                <c:pt idx="1">
                  <c:v>2017/18</c:v>
                </c:pt>
                <c:pt idx="2">
                  <c:v>2018/19</c:v>
                </c:pt>
                <c:pt idx="3">
                  <c:v>2019/20</c:v>
                </c:pt>
              </c:strCache>
            </c:strRef>
          </c:cat>
          <c:val>
            <c:numRef>
              <c:f>COS!$B$84:$B$87</c:f>
              <c:numCache>
                <c:formatCode>0.00</c:formatCode>
                <c:ptCount val="4"/>
                <c:pt idx="0">
                  <c:v>97.5</c:v>
                </c:pt>
                <c:pt idx="1">
                  <c:v>97.8</c:v>
                </c:pt>
                <c:pt idx="2">
                  <c:v>97.9</c:v>
                </c:pt>
                <c:pt idx="3">
                  <c:v>97.94</c:v>
                </c:pt>
              </c:numCache>
            </c:numRef>
          </c:val>
          <c:smooth val="0"/>
          <c:extLst>
            <c:ext xmlns:c16="http://schemas.microsoft.com/office/drawing/2014/chart" uri="{C3380CC4-5D6E-409C-BE32-E72D297353CC}">
              <c16:uniqueId val="{00000000-BC5E-450D-B0C6-CC3137105FD6}"/>
            </c:ext>
          </c:extLst>
        </c:ser>
        <c:dLbls>
          <c:dLblPos val="b"/>
          <c:showLegendKey val="0"/>
          <c:showVal val="1"/>
          <c:showCatName val="0"/>
          <c:showSerName val="0"/>
          <c:showPercent val="0"/>
          <c:showBubbleSize val="0"/>
        </c:dLbls>
        <c:marker val="1"/>
        <c:smooth val="0"/>
        <c:axId val="426169312"/>
        <c:axId val="426169704"/>
      </c:lineChart>
      <c:catAx>
        <c:axId val="42616931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69704"/>
        <c:crosses val="autoZero"/>
        <c:auto val="1"/>
        <c:lblAlgn val="ctr"/>
        <c:lblOffset val="100"/>
        <c:noMultiLvlLbl val="0"/>
      </c:catAx>
      <c:valAx>
        <c:axId val="426169704"/>
        <c:scaling>
          <c:orientation val="minMax"/>
          <c:max val="100"/>
          <c:min val="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69312"/>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0" i="0" u="none" strike="noStrike">
                <a:effectLst/>
              </a:rPr>
              <a:t>Customer Transaction Survey</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COS!$B$98</c:f>
              <c:strCache>
                <c:ptCount val="1"/>
                <c:pt idx="0">
                  <c:v>Fife Council</c:v>
                </c:pt>
              </c:strCache>
            </c:strRef>
          </c:tx>
          <c:spPr>
            <a:ln w="28575" cap="rnd">
              <a:solidFill>
                <a:schemeClr val="accent1"/>
              </a:solidFill>
              <a:round/>
            </a:ln>
            <a:effectLst/>
          </c:spPr>
          <c:marker>
            <c:symbol val="circle"/>
            <c:size val="5"/>
            <c:spPr>
              <a:solidFill>
                <a:srgbClr val="0070C0"/>
              </a:solidFill>
              <a:ln w="9525">
                <a:solidFill>
                  <a:srgbClr val="0070C0"/>
                </a:solidFill>
              </a:ln>
              <a:effectLst/>
            </c:spPr>
          </c:marker>
          <c:cat>
            <c:strRef>
              <c:f>COS!$A$99:$A$102</c:f>
              <c:strCache>
                <c:ptCount val="3"/>
                <c:pt idx="0">
                  <c:v>2017/18</c:v>
                </c:pt>
                <c:pt idx="1">
                  <c:v>2018/19</c:v>
                </c:pt>
                <c:pt idx="2">
                  <c:v>2019/20</c:v>
                </c:pt>
              </c:strCache>
            </c:strRef>
          </c:cat>
          <c:val>
            <c:numRef>
              <c:f>COS!$B$99:$B$102</c:f>
              <c:numCache>
                <c:formatCode>0.00</c:formatCode>
                <c:ptCount val="3"/>
                <c:pt idx="0">
                  <c:v>66</c:v>
                </c:pt>
                <c:pt idx="1">
                  <c:v>60</c:v>
                </c:pt>
                <c:pt idx="2">
                  <c:v>58</c:v>
                </c:pt>
              </c:numCache>
            </c:numRef>
          </c:val>
          <c:smooth val="0"/>
          <c:extLst>
            <c:ext xmlns:c16="http://schemas.microsoft.com/office/drawing/2014/chart" uri="{C3380CC4-5D6E-409C-BE32-E72D297353CC}">
              <c16:uniqueId val="{00000000-8C9A-4842-B04F-6A13DF04BAD0}"/>
            </c:ext>
          </c:extLst>
        </c:ser>
        <c:ser>
          <c:idx val="1"/>
          <c:order val="1"/>
          <c:tx>
            <c:strRef>
              <c:f>COS!$C$98</c:f>
              <c:strCache>
                <c:ptCount val="1"/>
                <c:pt idx="0">
                  <c:v>COS</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cat>
            <c:strRef>
              <c:f>COS!$A$99:$A$102</c:f>
              <c:strCache>
                <c:ptCount val="3"/>
                <c:pt idx="0">
                  <c:v>2017/18</c:v>
                </c:pt>
                <c:pt idx="1">
                  <c:v>2018/19</c:v>
                </c:pt>
                <c:pt idx="2">
                  <c:v>2019/20</c:v>
                </c:pt>
              </c:strCache>
            </c:strRef>
          </c:cat>
          <c:val>
            <c:numRef>
              <c:f>COS!$C$99:$C$102</c:f>
              <c:numCache>
                <c:formatCode>0.00</c:formatCode>
                <c:ptCount val="3"/>
                <c:pt idx="0">
                  <c:v>90</c:v>
                </c:pt>
                <c:pt idx="1">
                  <c:v>79</c:v>
                </c:pt>
                <c:pt idx="2">
                  <c:v>84</c:v>
                </c:pt>
              </c:numCache>
            </c:numRef>
          </c:val>
          <c:smooth val="0"/>
          <c:extLst>
            <c:ext xmlns:c16="http://schemas.microsoft.com/office/drawing/2014/chart" uri="{C3380CC4-5D6E-409C-BE32-E72D297353CC}">
              <c16:uniqueId val="{00000001-8C9A-4842-B04F-6A13DF04BAD0}"/>
            </c:ext>
          </c:extLst>
        </c:ser>
        <c:dLbls>
          <c:showLegendKey val="0"/>
          <c:showVal val="0"/>
          <c:showCatName val="0"/>
          <c:showSerName val="0"/>
          <c:showPercent val="0"/>
          <c:showBubbleSize val="0"/>
        </c:dLbls>
        <c:marker val="1"/>
        <c:smooth val="0"/>
        <c:axId val="426170488"/>
        <c:axId val="426170880"/>
      </c:lineChart>
      <c:catAx>
        <c:axId val="4261704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70880"/>
        <c:crosses val="autoZero"/>
        <c:auto val="1"/>
        <c:lblAlgn val="ctr"/>
        <c:lblOffset val="100"/>
        <c:noMultiLvlLbl val="0"/>
      </c:catAx>
      <c:valAx>
        <c:axId val="426170880"/>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70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96868-18F5-4100-8C79-E89F9171B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16</Pages>
  <Words>2113</Words>
  <Characters>12049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Policy, Finance and Asset Management Committee</vt:lpstr>
    </vt:vector>
  </TitlesOfParts>
  <Company>Fife Council</Company>
  <LinksUpToDate>false</LinksUpToDate>
  <CharactersWithSpaces>14134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Finance and Asset Management Committee</dc:title>
  <dc:subject/>
  <dc:creator>Jim Lumsden</dc:creator>
  <cp:keywords/>
  <cp:lastModifiedBy>Jacqui Prokes</cp:lastModifiedBy>
  <cp:revision>13</cp:revision>
  <cp:lastPrinted>2019-08-12T10:45:00Z</cp:lastPrinted>
  <dcterms:created xsi:type="dcterms:W3CDTF">2020-11-24T16:04:00Z</dcterms:created>
  <dcterms:modified xsi:type="dcterms:W3CDTF">2020-11-24T16:44:00Z</dcterms:modified>
</cp:coreProperties>
</file>