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header3.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3.xml" ContentType="application/vnd.openxmlformats-officedocument.wordprocessingml.footer+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2.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3.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4.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5.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6.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7.xml" ContentType="application/vnd.openxmlformats-officedocument.themeOverrid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8.xml" ContentType="application/vnd.openxmlformats-officedocument.themeOverrid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9.xml" ContentType="application/vnd.openxmlformats-officedocument.themeOverrid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30.xml" ContentType="application/vnd.openxmlformats-officedocument.themeOverrid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31.xml" ContentType="application/vnd.openxmlformats-officedocument.themeOverrid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32.xml" ContentType="application/vnd.openxmlformats-officedocument.themeOverrid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33.xml" ContentType="application/vnd.openxmlformats-officedocument.themeOverrid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34.xml" ContentType="application/vnd.openxmlformats-officedocument.themeOverrid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35.xml" ContentType="application/vnd.openxmlformats-officedocument.themeOverrid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36.xml" ContentType="application/vnd.openxmlformats-officedocument.themeOverrid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37.xml" ContentType="application/vnd.openxmlformats-officedocument.themeOverrid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38.xml" ContentType="application/vnd.openxmlformats-officedocument.themeOverrid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39.xml" ContentType="application/vnd.openxmlformats-officedocument.themeOverrid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40.xml" ContentType="application/vnd.openxmlformats-officedocument.themeOverrid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41.xml" ContentType="application/vnd.openxmlformats-officedocument.themeOverrid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42.xml" ContentType="application/vnd.openxmlformats-officedocument.themeOverrid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43.xml" ContentType="application/vnd.openxmlformats-officedocument.themeOverrid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44.xml" ContentType="application/vnd.openxmlformats-officedocument.themeOverrid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45.xml" ContentType="application/vnd.openxmlformats-officedocument.themeOverrid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46.xml" ContentType="application/vnd.openxmlformats-officedocument.themeOverrid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47.xml" ContentType="application/vnd.openxmlformats-officedocument.themeOverrid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48.xml" ContentType="application/vnd.openxmlformats-officedocument.themeOverrid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49.xml" ContentType="application/vnd.openxmlformats-officedocument.themeOverride+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50.xml" ContentType="application/vnd.openxmlformats-officedocument.themeOverride+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51.xml" ContentType="application/vnd.openxmlformats-officedocument.themeOverride+xml"/>
  <Override PartName="/word/charts/chart52.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52.xml" ContentType="application/vnd.openxmlformats-officedocument.themeOverride+xml"/>
  <Override PartName="/word/charts/chart53.xml" ContentType="application/vnd.openxmlformats-officedocument.drawingml.chart+xml"/>
  <Override PartName="/word/charts/style53.xml" ContentType="application/vnd.ms-office.chartstyle+xml"/>
  <Override PartName="/word/theme/themeOverride53.xml" ContentType="application/vnd.openxmlformats-officedocument.themeOverride+xml"/>
  <Override PartName="/word/charts/chart54.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54.xml" ContentType="application/vnd.openxmlformats-officedocument.themeOverride+xml"/>
  <Override PartName="/word/charts/chart55.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55.xml" ContentType="application/vnd.openxmlformats-officedocument.themeOverride+xml"/>
  <Override PartName="/word/theme/theme1.xml" ContentType="application/vnd.openxmlformats-officedocument.theme+xml"/>
  <Override PartName="/word/charts/chart1.xml" ContentType="application/vnd.openxmlformats-officedocument.drawingml.chart+xml"/>
  <Override PartName="/word/charts/colors53.xml" ContentType="application/vnd.ms-office.chartcolorstyle+xml"/>
  <Override PartName="/word/settings.xml" ContentType="application/vnd.openxmlformats-officedocument.wordprocessingml.setting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86A145B" w14:textId="4121FC36" w:rsidR="001927FC" w:rsidRPr="00500A72" w:rsidRDefault="008430A3" w:rsidP="001927FC">
      <w:pPr>
        <w:pStyle w:val="CommitteeTitle"/>
        <w:rPr>
          <w:rFonts w:ascii="Arial" w:hAnsi="Arial" w:cs="Arial"/>
        </w:rPr>
      </w:pPr>
      <w:r>
        <w:t>Economy, Tourism, Strategic Planning and Transportation Committee</w:t>
      </w:r>
      <w:r w:rsidR="00340919">
        <w:rPr>
          <w:rFonts w:ascii="Arial" w:hAnsi="Arial" w:cs="Arial"/>
          <w:highlight w:val="yellow"/>
        </w:rPr>
        <w:drawing>
          <wp:anchor distT="0" distB="0" distL="114300" distR="114300" simplePos="0" relativeHeight="251657728" behindDoc="1" locked="0" layoutInCell="1" allowOverlap="1" wp14:anchorId="0667A05D" wp14:editId="0EDFF761">
            <wp:simplePos x="0" y="0"/>
            <wp:positionH relativeFrom="column">
              <wp:posOffset>-554355</wp:posOffset>
            </wp:positionH>
            <wp:positionV relativeFrom="paragraph">
              <wp:posOffset>-56515</wp:posOffset>
            </wp:positionV>
            <wp:extent cx="6972300" cy="920750"/>
            <wp:effectExtent l="0" t="0" r="0" b="0"/>
            <wp:wrapNone/>
            <wp:docPr id="3" name="Picture 3" descr="fcB&amp;WFlash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cB&amp;WFlashHeade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972300" cy="920750"/>
                    </a:xfrm>
                    <a:prstGeom prst="rect">
                      <a:avLst/>
                    </a:prstGeom>
                    <a:noFill/>
                  </pic:spPr>
                </pic:pic>
              </a:graphicData>
            </a:graphic>
            <wp14:sizeRelH relativeFrom="page">
              <wp14:pctWidth>0</wp14:pctWidth>
            </wp14:sizeRelH>
            <wp14:sizeRelV relativeFrom="page">
              <wp14:pctHeight>0</wp14:pctHeight>
            </wp14:sizeRelV>
          </wp:anchor>
        </w:drawing>
      </w:r>
      <w:r w:rsidR="00F548B4">
        <w:rPr>
          <w:rFonts w:ascii="Arial" w:hAnsi="Arial" w:cs="Arial"/>
        </w:rPr>
        <w:t xml:space="preserve"> </w:t>
      </w:r>
    </w:p>
    <w:p w14:paraId="789BDA12" w14:textId="77777777" w:rsidR="00B86886" w:rsidRDefault="00B86886" w:rsidP="009B4ECC">
      <w:pPr>
        <w:spacing w:before="0"/>
        <w:rPr>
          <w:rFonts w:ascii="Arial" w:hAnsi="Arial" w:cs="Arial"/>
        </w:rPr>
      </w:pPr>
    </w:p>
    <w:p w14:paraId="0E09DDC7" w14:textId="77777777" w:rsidR="00E12351" w:rsidRDefault="009E27BB" w:rsidP="009B4ECC">
      <w:pPr>
        <w:spacing w:before="0"/>
        <w:rPr>
          <w:rFonts w:ascii="Arial" w:hAnsi="Arial" w:cs="Arial"/>
        </w:rPr>
      </w:pPr>
      <w:r>
        <w:rPr>
          <w:rFonts w:ascii="Arial" w:hAnsi="Arial" w:cs="Arial"/>
        </w:rPr>
        <w:t>24 October</w:t>
      </w:r>
      <w:r w:rsidR="006B7E99">
        <w:rPr>
          <w:rFonts w:ascii="Arial" w:hAnsi="Arial" w:cs="Arial"/>
        </w:rPr>
        <w:t xml:space="preserve"> 2019</w:t>
      </w:r>
      <w:r w:rsidR="00BD7A97">
        <w:rPr>
          <w:rFonts w:ascii="Arial" w:hAnsi="Arial" w:cs="Arial"/>
        </w:rPr>
        <w:t>.</w:t>
      </w:r>
    </w:p>
    <w:p w14:paraId="2B8DCAE0" w14:textId="77777777" w:rsidR="009B4ECC" w:rsidRPr="006C2E4E" w:rsidRDefault="009B4ECC" w:rsidP="009B4ECC">
      <w:pPr>
        <w:spacing w:before="0"/>
        <w:rPr>
          <w:rFonts w:ascii="Arial" w:hAnsi="Arial" w:cs="Arial"/>
        </w:rPr>
      </w:pPr>
      <w:r>
        <w:rPr>
          <w:rFonts w:ascii="Arial" w:hAnsi="Arial" w:cs="Arial"/>
        </w:rPr>
        <w:t xml:space="preserve">Agenda Item </w:t>
      </w:r>
      <w:r w:rsidR="00B70BAF">
        <w:rPr>
          <w:rFonts w:ascii="Arial" w:hAnsi="Arial" w:cs="Arial"/>
        </w:rPr>
        <w:t xml:space="preserve">No. </w:t>
      </w:r>
    </w:p>
    <w:tbl>
      <w:tblPr>
        <w:tblW w:w="0" w:type="auto"/>
        <w:tblLook w:val="00A0" w:firstRow="1" w:lastRow="0" w:firstColumn="1" w:lastColumn="0" w:noHBand="0" w:noVBand="0"/>
      </w:tblPr>
      <w:tblGrid>
        <w:gridCol w:w="9638"/>
      </w:tblGrid>
      <w:tr w:rsidR="00A90C08" w:rsidRPr="00500A72" w14:paraId="7180D43C" w14:textId="77777777">
        <w:tc>
          <w:tcPr>
            <w:tcW w:w="9854" w:type="dxa"/>
            <w:tcBorders>
              <w:bottom w:val="single" w:sz="4" w:space="0" w:color="00424F"/>
            </w:tcBorders>
          </w:tcPr>
          <w:p w14:paraId="79ACB3F6" w14:textId="77777777" w:rsidR="00A90C08" w:rsidRPr="009234E7" w:rsidRDefault="00FB2266" w:rsidP="009578CD">
            <w:pPr>
              <w:pStyle w:val="ReportTitle"/>
              <w:rPr>
                <w:rFonts w:ascii="Arial" w:hAnsi="Arial" w:cs="Arial"/>
                <w:color w:val="FF0000"/>
              </w:rPr>
            </w:pPr>
            <w:r>
              <w:rPr>
                <w:rFonts w:ascii="Arial" w:hAnsi="Arial" w:cs="Arial"/>
              </w:rPr>
              <w:t xml:space="preserve">Enterprise and Environment Directorate </w:t>
            </w:r>
            <w:r w:rsidR="006B7E99">
              <w:rPr>
                <w:rFonts w:ascii="Arial" w:hAnsi="Arial" w:cs="Arial"/>
              </w:rPr>
              <w:t xml:space="preserve"> </w:t>
            </w:r>
            <w:r>
              <w:rPr>
                <w:rFonts w:ascii="Arial" w:hAnsi="Arial" w:cs="Arial"/>
              </w:rPr>
              <w:t>section performance reports</w:t>
            </w:r>
          </w:p>
        </w:tc>
      </w:tr>
      <w:tr w:rsidR="00A90C08" w:rsidRPr="00500A72" w14:paraId="17C2814A" w14:textId="77777777">
        <w:tc>
          <w:tcPr>
            <w:tcW w:w="9854" w:type="dxa"/>
            <w:tcBorders>
              <w:top w:val="single" w:sz="4" w:space="0" w:color="00424F"/>
              <w:bottom w:val="single" w:sz="4" w:space="0" w:color="00424F"/>
            </w:tcBorders>
          </w:tcPr>
          <w:p w14:paraId="765AE2FA" w14:textId="77777777" w:rsidR="00A90C08" w:rsidRPr="00500A72" w:rsidRDefault="00A90C08" w:rsidP="0080109B">
            <w:pPr>
              <w:pStyle w:val="overviewtext"/>
              <w:rPr>
                <w:rFonts w:ascii="Arial" w:hAnsi="Arial" w:cs="Arial"/>
              </w:rPr>
            </w:pPr>
            <w:r w:rsidRPr="00500A72">
              <w:rPr>
                <w:rFonts w:ascii="Arial" w:hAnsi="Arial" w:cs="Arial"/>
              </w:rPr>
              <w:t xml:space="preserve">Report by: </w:t>
            </w:r>
            <w:r w:rsidR="00D611BE">
              <w:rPr>
                <w:rFonts w:ascii="Arial" w:hAnsi="Arial" w:cs="Arial"/>
              </w:rPr>
              <w:t>Keith Winter, Executive Director, Enterprise and Environment</w:t>
            </w:r>
          </w:p>
        </w:tc>
      </w:tr>
      <w:tr w:rsidR="00A90C08" w:rsidRPr="00500A72" w14:paraId="7E63DB6A" w14:textId="77777777">
        <w:tc>
          <w:tcPr>
            <w:tcW w:w="9854" w:type="dxa"/>
            <w:tcBorders>
              <w:top w:val="single" w:sz="4" w:space="0" w:color="00424F"/>
              <w:bottom w:val="single" w:sz="4" w:space="0" w:color="00424F"/>
            </w:tcBorders>
          </w:tcPr>
          <w:p w14:paraId="1BE6C016" w14:textId="77777777" w:rsidR="00A90C08" w:rsidRPr="00500A72" w:rsidRDefault="00A90C08" w:rsidP="00FE2AE3">
            <w:pPr>
              <w:pStyle w:val="overviewtext"/>
              <w:rPr>
                <w:rFonts w:ascii="Arial" w:hAnsi="Arial" w:cs="Arial"/>
              </w:rPr>
            </w:pPr>
            <w:r w:rsidRPr="00500A72">
              <w:rPr>
                <w:rFonts w:ascii="Arial" w:hAnsi="Arial" w:cs="Arial"/>
              </w:rPr>
              <w:t>Wards Affected: All</w:t>
            </w:r>
          </w:p>
        </w:tc>
      </w:tr>
    </w:tbl>
    <w:p w14:paraId="57E56007" w14:textId="77777777" w:rsidR="00A90C08" w:rsidRPr="00500A72" w:rsidRDefault="00A90C08" w:rsidP="00BD7A97">
      <w:pPr>
        <w:pStyle w:val="overviewheading"/>
        <w:spacing w:before="240" w:after="120"/>
        <w:jc w:val="both"/>
        <w:rPr>
          <w:rFonts w:ascii="Arial" w:hAnsi="Arial" w:cs="Arial"/>
        </w:rPr>
      </w:pPr>
      <w:r w:rsidRPr="00500A72">
        <w:rPr>
          <w:rFonts w:ascii="Arial" w:hAnsi="Arial" w:cs="Arial"/>
        </w:rPr>
        <w:t>Purpose</w:t>
      </w:r>
    </w:p>
    <w:p w14:paraId="15A1C363" w14:textId="77777777" w:rsidR="001D758F" w:rsidRPr="001B0DAD" w:rsidRDefault="00E82D85" w:rsidP="00BD7A97">
      <w:pPr>
        <w:spacing w:before="240"/>
        <w:ind w:left="720"/>
        <w:jc w:val="both"/>
        <w:rPr>
          <w:rFonts w:ascii="Arial" w:hAnsi="Arial" w:cs="Arial"/>
        </w:rPr>
      </w:pPr>
      <w:r>
        <w:rPr>
          <w:rFonts w:ascii="Arial" w:hAnsi="Arial" w:cs="Arial"/>
        </w:rPr>
        <w:t xml:space="preserve">To present the </w:t>
      </w:r>
      <w:r w:rsidR="00E74D16">
        <w:rPr>
          <w:rFonts w:ascii="Arial" w:hAnsi="Arial" w:cs="Arial"/>
        </w:rPr>
        <w:t>performance scorecard</w:t>
      </w:r>
      <w:r w:rsidR="00FB2266">
        <w:rPr>
          <w:rFonts w:ascii="Arial" w:hAnsi="Arial" w:cs="Arial"/>
        </w:rPr>
        <w:t>s</w:t>
      </w:r>
      <w:r w:rsidR="00E74D16">
        <w:rPr>
          <w:rFonts w:ascii="Arial" w:hAnsi="Arial" w:cs="Arial"/>
        </w:rPr>
        <w:t xml:space="preserve"> for </w:t>
      </w:r>
      <w:bookmarkStart w:id="0" w:name="_Hlk20211990"/>
      <w:r w:rsidR="00734340">
        <w:rPr>
          <w:rFonts w:ascii="Arial" w:hAnsi="Arial" w:cs="Arial"/>
        </w:rPr>
        <w:t>Business</w:t>
      </w:r>
      <w:r w:rsidR="00FB2266">
        <w:rPr>
          <w:rFonts w:ascii="Arial" w:hAnsi="Arial" w:cs="Arial"/>
        </w:rPr>
        <w:t xml:space="preserve"> &amp; </w:t>
      </w:r>
      <w:r w:rsidR="00734340">
        <w:rPr>
          <w:rFonts w:ascii="Arial" w:hAnsi="Arial" w:cs="Arial"/>
        </w:rPr>
        <w:t>Empl</w:t>
      </w:r>
      <w:r w:rsidR="00FB2266">
        <w:rPr>
          <w:rFonts w:ascii="Arial" w:hAnsi="Arial" w:cs="Arial"/>
        </w:rPr>
        <w:t>oyability, Planning and Roads &amp; Transportation</w:t>
      </w:r>
      <w:r w:rsidR="00494FCA">
        <w:rPr>
          <w:rFonts w:ascii="Arial" w:hAnsi="Arial" w:cs="Arial"/>
        </w:rPr>
        <w:t xml:space="preserve"> </w:t>
      </w:r>
      <w:bookmarkEnd w:id="0"/>
      <w:r w:rsidR="00494FCA">
        <w:rPr>
          <w:rFonts w:ascii="Arial" w:hAnsi="Arial" w:cs="Arial"/>
        </w:rPr>
        <w:t>for 2018/19</w:t>
      </w:r>
    </w:p>
    <w:p w14:paraId="79D17471" w14:textId="77777777" w:rsidR="00A90C08" w:rsidRPr="00500A72" w:rsidRDefault="00A90C08" w:rsidP="00BD7A97">
      <w:pPr>
        <w:pStyle w:val="overviewheading"/>
        <w:tabs>
          <w:tab w:val="center" w:pos="4819"/>
        </w:tabs>
        <w:spacing w:before="240" w:after="120"/>
        <w:jc w:val="both"/>
        <w:rPr>
          <w:rFonts w:ascii="Arial" w:hAnsi="Arial" w:cs="Arial"/>
        </w:rPr>
      </w:pPr>
      <w:r w:rsidRPr="00500A72">
        <w:rPr>
          <w:rFonts w:ascii="Arial" w:hAnsi="Arial" w:cs="Arial"/>
        </w:rPr>
        <w:t>Recommendations</w:t>
      </w:r>
    </w:p>
    <w:p w14:paraId="736D1E31" w14:textId="77777777" w:rsidR="00494FCA" w:rsidRDefault="00494FCA" w:rsidP="006B7E99">
      <w:pPr>
        <w:pStyle w:val="Para2"/>
        <w:spacing w:before="240" w:after="120"/>
        <w:ind w:left="720"/>
        <w:rPr>
          <w:rFonts w:ascii="Arial" w:hAnsi="Arial" w:cs="Arial"/>
        </w:rPr>
      </w:pPr>
      <w:r>
        <w:rPr>
          <w:rFonts w:ascii="Arial" w:hAnsi="Arial" w:cs="Arial"/>
        </w:rPr>
        <w:t>Members are asked to</w:t>
      </w:r>
      <w:r w:rsidR="002125C9">
        <w:rPr>
          <w:rFonts w:ascii="Arial" w:hAnsi="Arial" w:cs="Arial"/>
        </w:rPr>
        <w:t xml:space="preserve"> note</w:t>
      </w:r>
      <w:r>
        <w:rPr>
          <w:rFonts w:ascii="Arial" w:hAnsi="Arial" w:cs="Arial"/>
        </w:rPr>
        <w:t>:</w:t>
      </w:r>
    </w:p>
    <w:p w14:paraId="3C2C237B" w14:textId="77777777" w:rsidR="00494FCA" w:rsidRDefault="00494FCA" w:rsidP="00863FF5">
      <w:pPr>
        <w:pStyle w:val="Para2"/>
        <w:numPr>
          <w:ilvl w:val="0"/>
          <w:numId w:val="20"/>
        </w:numPr>
        <w:spacing w:before="240" w:after="120"/>
        <w:jc w:val="left"/>
        <w:rPr>
          <w:rFonts w:ascii="Arial" w:hAnsi="Arial" w:cs="Arial"/>
        </w:rPr>
      </w:pPr>
      <w:r>
        <w:rPr>
          <w:rFonts w:ascii="Arial" w:hAnsi="Arial" w:cs="Arial"/>
        </w:rPr>
        <w:t xml:space="preserve">the </w:t>
      </w:r>
      <w:proofErr w:type="spellStart"/>
      <w:r w:rsidR="00734340" w:rsidRPr="00734340">
        <w:rPr>
          <w:rFonts w:ascii="Arial" w:hAnsi="Arial" w:cs="Arial"/>
        </w:rPr>
        <w:t>Busines</w:t>
      </w:r>
      <w:proofErr w:type="spellEnd"/>
      <w:r w:rsidR="00C12BFC">
        <w:rPr>
          <w:rFonts w:ascii="Arial" w:hAnsi="Arial" w:cs="Arial"/>
        </w:rPr>
        <w:t xml:space="preserve">, </w:t>
      </w:r>
      <w:r w:rsidR="00FB2266">
        <w:rPr>
          <w:rFonts w:ascii="Arial" w:hAnsi="Arial" w:cs="Arial"/>
        </w:rPr>
        <w:t>E</w:t>
      </w:r>
      <w:r w:rsidR="00734340" w:rsidRPr="00734340">
        <w:rPr>
          <w:rFonts w:ascii="Arial" w:hAnsi="Arial" w:cs="Arial"/>
        </w:rPr>
        <w:t>mployability</w:t>
      </w:r>
      <w:r w:rsidR="00C12BFC">
        <w:rPr>
          <w:rFonts w:ascii="Arial" w:hAnsi="Arial" w:cs="Arial"/>
        </w:rPr>
        <w:t xml:space="preserve"> &amp; </w:t>
      </w:r>
      <w:r w:rsidR="00FB2266">
        <w:rPr>
          <w:rFonts w:ascii="Arial" w:hAnsi="Arial" w:cs="Arial"/>
        </w:rPr>
        <w:t xml:space="preserve"> </w:t>
      </w:r>
      <w:r w:rsidR="00734340" w:rsidRPr="00734340">
        <w:rPr>
          <w:rFonts w:ascii="Arial" w:hAnsi="Arial" w:cs="Arial"/>
        </w:rPr>
        <w:t xml:space="preserve">Planning </w:t>
      </w:r>
      <w:r w:rsidR="00FB2266">
        <w:rPr>
          <w:rFonts w:ascii="Arial" w:hAnsi="Arial" w:cs="Arial"/>
        </w:rPr>
        <w:t xml:space="preserve">and Roads &amp; Transportation </w:t>
      </w:r>
      <w:r>
        <w:rPr>
          <w:rFonts w:ascii="Arial" w:hAnsi="Arial" w:cs="Arial"/>
        </w:rPr>
        <w:t>performance information presented at appendi</w:t>
      </w:r>
      <w:r w:rsidR="005E13A1">
        <w:rPr>
          <w:rFonts w:ascii="Arial" w:hAnsi="Arial" w:cs="Arial"/>
        </w:rPr>
        <w:t>ces</w:t>
      </w:r>
      <w:r>
        <w:rPr>
          <w:rFonts w:ascii="Arial" w:hAnsi="Arial" w:cs="Arial"/>
        </w:rPr>
        <w:t xml:space="preserve"> 1</w:t>
      </w:r>
      <w:r w:rsidR="00FB2266">
        <w:rPr>
          <w:rFonts w:ascii="Arial" w:hAnsi="Arial" w:cs="Arial"/>
        </w:rPr>
        <w:t xml:space="preserve"> &amp; 2</w:t>
      </w:r>
      <w:r w:rsidR="002125C9">
        <w:rPr>
          <w:rFonts w:ascii="Arial" w:hAnsi="Arial" w:cs="Arial"/>
        </w:rPr>
        <w:t xml:space="preserve">; </w:t>
      </w:r>
    </w:p>
    <w:p w14:paraId="0459EBE5" w14:textId="77777777" w:rsidR="00B70BAF" w:rsidRDefault="003F30B3" w:rsidP="00494FCA">
      <w:pPr>
        <w:pStyle w:val="Para2"/>
        <w:numPr>
          <w:ilvl w:val="0"/>
          <w:numId w:val="20"/>
        </w:numPr>
        <w:spacing w:before="240" w:after="120"/>
        <w:rPr>
          <w:rFonts w:ascii="Arial" w:hAnsi="Arial" w:cs="Arial"/>
        </w:rPr>
      </w:pPr>
      <w:r>
        <w:rPr>
          <w:rFonts w:ascii="Arial" w:hAnsi="Arial" w:cs="Arial"/>
        </w:rPr>
        <w:t>the</w:t>
      </w:r>
      <w:r w:rsidR="00326B8A">
        <w:rPr>
          <w:rFonts w:ascii="Arial" w:hAnsi="Arial" w:cs="Arial"/>
        </w:rPr>
        <w:t xml:space="preserve"> arrangements set out in section 1 to fulfil the Council’s obligation to comply with Audit Scotland’s 201</w:t>
      </w:r>
      <w:r w:rsidR="00AC3328">
        <w:rPr>
          <w:rFonts w:ascii="Arial" w:hAnsi="Arial" w:cs="Arial"/>
        </w:rPr>
        <w:t>5</w:t>
      </w:r>
      <w:r w:rsidR="00326B8A">
        <w:rPr>
          <w:rFonts w:ascii="Arial" w:hAnsi="Arial" w:cs="Arial"/>
        </w:rPr>
        <w:t xml:space="preserve"> SPI Direction.</w:t>
      </w:r>
      <w:r>
        <w:rPr>
          <w:rFonts w:ascii="Arial" w:hAnsi="Arial" w:cs="Arial"/>
        </w:rPr>
        <w:t xml:space="preserve"> </w:t>
      </w:r>
      <w:r w:rsidR="00616D1F" w:rsidRPr="00BC294C">
        <w:rPr>
          <w:rFonts w:ascii="Arial" w:hAnsi="Arial" w:cs="Arial"/>
        </w:rPr>
        <w:t xml:space="preserve"> </w:t>
      </w:r>
    </w:p>
    <w:p w14:paraId="08BB6B3D" w14:textId="77777777" w:rsidR="002F1B31" w:rsidRPr="00647D31" w:rsidRDefault="003D4CA0" w:rsidP="00494FCA">
      <w:pPr>
        <w:pStyle w:val="Para2"/>
        <w:numPr>
          <w:ilvl w:val="0"/>
          <w:numId w:val="20"/>
        </w:numPr>
        <w:spacing w:before="240" w:after="120"/>
        <w:rPr>
          <w:rFonts w:ascii="Arial" w:hAnsi="Arial" w:cs="Arial"/>
        </w:rPr>
      </w:pPr>
      <w:r>
        <w:rPr>
          <w:rFonts w:ascii="Arial" w:hAnsi="Arial" w:cs="Arial"/>
        </w:rPr>
        <w:t>t</w:t>
      </w:r>
      <w:r w:rsidR="00863FF5">
        <w:rPr>
          <w:rFonts w:ascii="Arial" w:hAnsi="Arial" w:cs="Arial"/>
        </w:rPr>
        <w:t>he e</w:t>
      </w:r>
      <w:r w:rsidR="009175AF">
        <w:rPr>
          <w:rFonts w:ascii="Arial" w:hAnsi="Arial" w:cs="Arial"/>
        </w:rPr>
        <w:t>stablishment change</w:t>
      </w:r>
      <w:r w:rsidR="002F1B31" w:rsidRPr="00647D31">
        <w:rPr>
          <w:rFonts w:ascii="Arial" w:hAnsi="Arial" w:cs="Arial"/>
        </w:rPr>
        <w:t xml:space="preserve"> </w:t>
      </w:r>
      <w:r w:rsidR="00647D31" w:rsidRPr="00647D31">
        <w:rPr>
          <w:rFonts w:ascii="Arial" w:hAnsi="Arial" w:cs="Arial"/>
        </w:rPr>
        <w:t>information presented as appendi</w:t>
      </w:r>
      <w:r w:rsidR="003162E2">
        <w:rPr>
          <w:rFonts w:ascii="Arial" w:hAnsi="Arial" w:cs="Arial"/>
        </w:rPr>
        <w:t>x</w:t>
      </w:r>
      <w:r w:rsidR="00647D31" w:rsidRPr="00647D31">
        <w:rPr>
          <w:rFonts w:ascii="Arial" w:hAnsi="Arial" w:cs="Arial"/>
        </w:rPr>
        <w:t xml:space="preserve"> </w:t>
      </w:r>
      <w:r w:rsidR="00FB2266">
        <w:rPr>
          <w:rFonts w:ascii="Arial" w:hAnsi="Arial" w:cs="Arial"/>
        </w:rPr>
        <w:t>3</w:t>
      </w:r>
    </w:p>
    <w:p w14:paraId="190DBBBC" w14:textId="77777777" w:rsidR="00A90C08" w:rsidRPr="00500A72" w:rsidRDefault="00A90C08" w:rsidP="00BD7A97">
      <w:pPr>
        <w:pStyle w:val="overviewheading"/>
        <w:spacing w:before="240" w:after="120"/>
        <w:jc w:val="both"/>
        <w:rPr>
          <w:rFonts w:ascii="Arial" w:hAnsi="Arial" w:cs="Arial"/>
        </w:rPr>
      </w:pPr>
      <w:r w:rsidRPr="00500A72">
        <w:rPr>
          <w:rFonts w:ascii="Arial" w:hAnsi="Arial" w:cs="Arial"/>
        </w:rPr>
        <w:t>Resource Implications</w:t>
      </w:r>
    </w:p>
    <w:p w14:paraId="3EE7D418" w14:textId="77777777" w:rsidR="00A90C08" w:rsidRDefault="00494FCA" w:rsidP="00BD7A97">
      <w:pPr>
        <w:spacing w:before="240"/>
        <w:ind w:left="720"/>
        <w:jc w:val="both"/>
        <w:rPr>
          <w:rFonts w:ascii="Arial" w:hAnsi="Arial" w:cs="Arial"/>
        </w:rPr>
      </w:pPr>
      <w:r>
        <w:rPr>
          <w:rFonts w:ascii="Arial" w:hAnsi="Arial" w:cs="Arial"/>
        </w:rPr>
        <w:t>None</w:t>
      </w:r>
    </w:p>
    <w:p w14:paraId="5EC06A6B" w14:textId="77777777" w:rsidR="00A90C08" w:rsidRPr="00500A72" w:rsidRDefault="00A90C08" w:rsidP="00BD7A97">
      <w:pPr>
        <w:pStyle w:val="overviewheading"/>
        <w:spacing w:before="240" w:after="120"/>
        <w:jc w:val="both"/>
        <w:rPr>
          <w:rFonts w:ascii="Arial" w:hAnsi="Arial" w:cs="Arial"/>
        </w:rPr>
      </w:pPr>
      <w:r w:rsidRPr="00500A72">
        <w:rPr>
          <w:rFonts w:ascii="Arial" w:hAnsi="Arial" w:cs="Arial"/>
        </w:rPr>
        <w:t xml:space="preserve">Legal </w:t>
      </w:r>
      <w:r w:rsidR="00913EA4" w:rsidRPr="00500A72">
        <w:rPr>
          <w:rFonts w:ascii="Arial" w:hAnsi="Arial" w:cs="Arial"/>
        </w:rPr>
        <w:t>&amp;</w:t>
      </w:r>
      <w:r w:rsidRPr="00500A72">
        <w:rPr>
          <w:rFonts w:ascii="Arial" w:hAnsi="Arial" w:cs="Arial"/>
        </w:rPr>
        <w:t xml:space="preserve"> Risk Implications</w:t>
      </w:r>
    </w:p>
    <w:p w14:paraId="16BF7293" w14:textId="77777777" w:rsidR="006B2171" w:rsidRDefault="00494FCA" w:rsidP="00BD7A97">
      <w:pPr>
        <w:pStyle w:val="summarydetails"/>
        <w:spacing w:before="240" w:after="120"/>
        <w:jc w:val="both"/>
        <w:rPr>
          <w:rFonts w:ascii="Arial" w:hAnsi="Arial" w:cs="Arial"/>
        </w:rPr>
      </w:pPr>
      <w:r>
        <w:rPr>
          <w:rFonts w:ascii="Arial" w:hAnsi="Arial" w:cs="Arial"/>
        </w:rPr>
        <w:t>None</w:t>
      </w:r>
    </w:p>
    <w:p w14:paraId="499B33DD" w14:textId="77777777" w:rsidR="00A90C08" w:rsidRPr="00500A72" w:rsidRDefault="00A90C08" w:rsidP="00BD7A97">
      <w:pPr>
        <w:pStyle w:val="overviewheading"/>
        <w:spacing w:before="240" w:after="120"/>
        <w:jc w:val="both"/>
        <w:rPr>
          <w:rFonts w:ascii="Arial" w:hAnsi="Arial" w:cs="Arial"/>
        </w:rPr>
      </w:pPr>
      <w:r w:rsidRPr="00500A72">
        <w:rPr>
          <w:rFonts w:ascii="Arial" w:hAnsi="Arial" w:cs="Arial"/>
        </w:rPr>
        <w:t>Impact Assessment</w:t>
      </w:r>
    </w:p>
    <w:p w14:paraId="6221838B" w14:textId="77777777" w:rsidR="00E40EA6" w:rsidRDefault="005D6FDE" w:rsidP="005D6FDE">
      <w:pPr>
        <w:pStyle w:val="summarydetails"/>
        <w:spacing w:before="240" w:after="120"/>
        <w:jc w:val="both"/>
        <w:rPr>
          <w:rFonts w:ascii="Arial" w:hAnsi="Arial" w:cs="Arial"/>
        </w:rPr>
      </w:pPr>
      <w:r w:rsidRPr="005D6FDE">
        <w:rPr>
          <w:rFonts w:ascii="Arial" w:hAnsi="Arial" w:cs="Arial"/>
        </w:rPr>
        <w:t xml:space="preserve">An </w:t>
      </w:r>
      <w:proofErr w:type="spellStart"/>
      <w:r w:rsidRPr="005D6FDE">
        <w:rPr>
          <w:rFonts w:ascii="Arial" w:hAnsi="Arial" w:cs="Arial"/>
        </w:rPr>
        <w:t>EqIA</w:t>
      </w:r>
      <w:proofErr w:type="spellEnd"/>
      <w:r w:rsidRPr="005D6FDE">
        <w:rPr>
          <w:rFonts w:ascii="Arial" w:hAnsi="Arial" w:cs="Arial"/>
        </w:rPr>
        <w:t xml:space="preserve"> is not required because the report does not propose a change or revision to existing policies and practices</w:t>
      </w:r>
      <w:r>
        <w:rPr>
          <w:rFonts w:ascii="Arial" w:hAnsi="Arial" w:cs="Arial"/>
        </w:rPr>
        <w:t>.</w:t>
      </w:r>
    </w:p>
    <w:p w14:paraId="3AC058AB" w14:textId="77777777" w:rsidR="00A90C08" w:rsidRPr="00500A72" w:rsidRDefault="00A90C08" w:rsidP="00BD7A97">
      <w:pPr>
        <w:pStyle w:val="overviewheading"/>
        <w:spacing w:before="240" w:after="120"/>
        <w:jc w:val="both"/>
        <w:rPr>
          <w:rFonts w:ascii="Arial" w:hAnsi="Arial" w:cs="Arial"/>
        </w:rPr>
      </w:pPr>
      <w:r w:rsidRPr="00500A72">
        <w:rPr>
          <w:rFonts w:ascii="Arial" w:hAnsi="Arial" w:cs="Arial"/>
        </w:rPr>
        <w:t>Consultation</w:t>
      </w:r>
    </w:p>
    <w:p w14:paraId="0016648D" w14:textId="77777777" w:rsidR="008E74AD" w:rsidRPr="00500A72" w:rsidRDefault="00494FCA" w:rsidP="0038700D">
      <w:pPr>
        <w:pStyle w:val="Heading2"/>
        <w:spacing w:before="240" w:after="120"/>
        <w:rPr>
          <w:rFonts w:ascii="Arial" w:hAnsi="Arial" w:cs="Arial"/>
        </w:rPr>
      </w:pPr>
      <w:r>
        <w:rPr>
          <w:rFonts w:ascii="Arial" w:hAnsi="Arial" w:cs="Arial"/>
          <w:b w:val="0"/>
          <w:sz w:val="24"/>
          <w:szCs w:val="24"/>
        </w:rPr>
        <w:tab/>
        <w:t>None required</w:t>
      </w:r>
      <w:r w:rsidR="00BD7A97" w:rsidRPr="00BC6BF6">
        <w:rPr>
          <w:rFonts w:ascii="Arial" w:hAnsi="Arial" w:cs="Arial"/>
          <w:b w:val="0"/>
          <w:sz w:val="24"/>
          <w:szCs w:val="24"/>
        </w:rPr>
        <w:br w:type="column"/>
      </w:r>
      <w:r w:rsidR="00AD62CD">
        <w:rPr>
          <w:rFonts w:ascii="Arial" w:hAnsi="Arial" w:cs="Arial"/>
        </w:rPr>
        <w:lastRenderedPageBreak/>
        <w:t>1.</w:t>
      </w:r>
      <w:r w:rsidR="00BD7A97">
        <w:rPr>
          <w:rFonts w:ascii="Arial" w:hAnsi="Arial" w:cs="Arial"/>
        </w:rPr>
        <w:t>0</w:t>
      </w:r>
      <w:r w:rsidR="008E74AD" w:rsidRPr="00500A72">
        <w:rPr>
          <w:rFonts w:ascii="Arial" w:hAnsi="Arial" w:cs="Arial"/>
        </w:rPr>
        <w:tab/>
        <w:t>Background</w:t>
      </w:r>
    </w:p>
    <w:p w14:paraId="761C332F" w14:textId="77777777" w:rsidR="00494FCA" w:rsidRDefault="00494FCA" w:rsidP="00B4134A">
      <w:pPr>
        <w:pStyle w:val="Default"/>
        <w:numPr>
          <w:ilvl w:val="1"/>
          <w:numId w:val="24"/>
        </w:numPr>
      </w:pPr>
      <w:r w:rsidRPr="00EB3829">
        <w:t xml:space="preserve">Audit Scotland </w:t>
      </w:r>
      <w:r w:rsidR="00B4134A">
        <w:t xml:space="preserve">published </w:t>
      </w:r>
      <w:r w:rsidRPr="00EB3829">
        <w:t>the S</w:t>
      </w:r>
      <w:r w:rsidR="0009444F">
        <w:t>tatutory Performance D</w:t>
      </w:r>
      <w:r w:rsidRPr="00EB3829">
        <w:t>irection in December 201</w:t>
      </w:r>
      <w:r w:rsidR="00B4134A">
        <w:t>5</w:t>
      </w:r>
      <w:r w:rsidRPr="00EB3829">
        <w:t>.</w:t>
      </w:r>
      <w:r w:rsidR="0009444F">
        <w:t xml:space="preserve"> </w:t>
      </w:r>
      <w:r w:rsidR="008243AC">
        <w:t xml:space="preserve">2018/19 is the final year to which that direction applies. </w:t>
      </w:r>
      <w:r w:rsidR="00B4134A">
        <w:t>The Council is required to report a range of information setting out:</w:t>
      </w:r>
    </w:p>
    <w:p w14:paraId="32E49A99" w14:textId="77777777" w:rsidR="00B4134A" w:rsidRDefault="00B4134A" w:rsidP="00B4134A">
      <w:pPr>
        <w:pStyle w:val="Default"/>
        <w:ind w:left="720"/>
      </w:pPr>
    </w:p>
    <w:p w14:paraId="070B9EE6" w14:textId="77777777" w:rsidR="00B4134A" w:rsidRDefault="00B4134A" w:rsidP="00B4134A">
      <w:pPr>
        <w:pStyle w:val="Default"/>
        <w:numPr>
          <w:ilvl w:val="0"/>
          <w:numId w:val="25"/>
        </w:numPr>
      </w:pPr>
      <w:r>
        <w:t>Its performance in improving local public services (including with partners).</w:t>
      </w:r>
    </w:p>
    <w:p w14:paraId="63DBA3B0" w14:textId="77777777" w:rsidR="00B4134A" w:rsidRDefault="00B4134A" w:rsidP="00B4134A">
      <w:pPr>
        <w:pStyle w:val="Default"/>
        <w:numPr>
          <w:ilvl w:val="0"/>
          <w:numId w:val="25"/>
        </w:numPr>
      </w:pPr>
      <w:r>
        <w:t>Its performance in improving local outcomes (including with partners).</w:t>
      </w:r>
    </w:p>
    <w:p w14:paraId="7C23715F" w14:textId="77777777" w:rsidR="00B4134A" w:rsidRDefault="00B4134A" w:rsidP="00B4134A">
      <w:pPr>
        <w:pStyle w:val="Default"/>
        <w:numPr>
          <w:ilvl w:val="0"/>
          <w:numId w:val="25"/>
        </w:numPr>
      </w:pPr>
      <w:r>
        <w:t>Its performance in engaging with communities and service users, and responding to their views and concerns.</w:t>
      </w:r>
    </w:p>
    <w:p w14:paraId="76C152ED" w14:textId="77777777" w:rsidR="00B4134A" w:rsidRDefault="00B4134A" w:rsidP="00B4134A">
      <w:pPr>
        <w:pStyle w:val="Default"/>
        <w:numPr>
          <w:ilvl w:val="0"/>
          <w:numId w:val="25"/>
        </w:numPr>
      </w:pPr>
      <w:r>
        <w:t>Its performance in achieving Best Value, including its use of performance benchmarking; options appraisal; and use of resources.</w:t>
      </w:r>
      <w:r>
        <w:cr/>
      </w:r>
    </w:p>
    <w:p w14:paraId="71975364" w14:textId="77777777" w:rsidR="00C828EB" w:rsidRDefault="00494FCA" w:rsidP="0009444F">
      <w:pPr>
        <w:pStyle w:val="Default"/>
        <w:ind w:left="720" w:hanging="720"/>
      </w:pPr>
      <w:r w:rsidRPr="00EB3829">
        <w:t xml:space="preserve"> </w:t>
      </w:r>
    </w:p>
    <w:p w14:paraId="556728ED" w14:textId="77777777" w:rsidR="00C828EB" w:rsidRDefault="00C828EB" w:rsidP="008243AC">
      <w:pPr>
        <w:pStyle w:val="Default"/>
        <w:numPr>
          <w:ilvl w:val="1"/>
          <w:numId w:val="24"/>
        </w:numPr>
      </w:pPr>
      <w:r>
        <w:t xml:space="preserve">The </w:t>
      </w:r>
      <w:r w:rsidR="008243AC">
        <w:t xml:space="preserve">first </w:t>
      </w:r>
      <w:r>
        <w:t xml:space="preserve">requirement, to report the </w:t>
      </w:r>
      <w:r w:rsidR="008243AC">
        <w:t xml:space="preserve">Council’s </w:t>
      </w:r>
      <w:r>
        <w:t xml:space="preserve">performance </w:t>
      </w:r>
      <w:r w:rsidR="008243AC">
        <w:t xml:space="preserve">in improving local public services (including with partners) </w:t>
      </w:r>
      <w:r>
        <w:t xml:space="preserve">will be satisfied by the series of reports (of which this is one) that will be presented to the Council covering the whole of the Council’s performance for 2018/19. </w:t>
      </w:r>
      <w:r w:rsidR="00A30604">
        <w:t xml:space="preserve">Where possible, comparative performance is given for </w:t>
      </w:r>
      <w:r w:rsidR="004049D8">
        <w:t>the Scottish average, top quartile, and peer group averages.</w:t>
      </w:r>
    </w:p>
    <w:p w14:paraId="7199E0D7" w14:textId="77777777" w:rsidR="008243AC" w:rsidRDefault="008243AC" w:rsidP="008243AC">
      <w:pPr>
        <w:pStyle w:val="Default"/>
      </w:pPr>
    </w:p>
    <w:p w14:paraId="375382A8" w14:textId="77777777" w:rsidR="008243AC" w:rsidRDefault="008243AC" w:rsidP="009C410D">
      <w:pPr>
        <w:pStyle w:val="Default"/>
        <w:numPr>
          <w:ilvl w:val="1"/>
          <w:numId w:val="24"/>
        </w:numPr>
      </w:pPr>
      <w:r>
        <w:t xml:space="preserve">The other requirements </w:t>
      </w:r>
      <w:r w:rsidR="009C410D">
        <w:t xml:space="preserve">of the Statutory Performance Direction </w:t>
      </w:r>
      <w:r>
        <w:t xml:space="preserve">will be satisfied by </w:t>
      </w:r>
      <w:r w:rsidR="009C410D">
        <w:t xml:space="preserve">a combination of </w:t>
      </w:r>
    </w:p>
    <w:p w14:paraId="19C825E6" w14:textId="77777777" w:rsidR="009C410D" w:rsidRDefault="009C410D" w:rsidP="009C410D">
      <w:pPr>
        <w:pStyle w:val="Default"/>
      </w:pPr>
    </w:p>
    <w:p w14:paraId="2E62AB3E" w14:textId="77777777" w:rsidR="009C410D" w:rsidRDefault="009C410D" w:rsidP="009C410D">
      <w:pPr>
        <w:pStyle w:val="Default"/>
        <w:numPr>
          <w:ilvl w:val="0"/>
          <w:numId w:val="27"/>
        </w:numPr>
      </w:pPr>
      <w:r>
        <w:t xml:space="preserve">Update reports to the Fife Partnership regarding progress against the Plan for Fife, with reports also going to Policy and Co-ordination Committee. </w:t>
      </w:r>
    </w:p>
    <w:p w14:paraId="1A503654" w14:textId="77777777" w:rsidR="002F1B31" w:rsidRDefault="002F1B31" w:rsidP="002F1B31">
      <w:pPr>
        <w:pStyle w:val="Default"/>
        <w:ind w:left="1440"/>
      </w:pPr>
    </w:p>
    <w:p w14:paraId="1240EEF6" w14:textId="77777777" w:rsidR="009C410D" w:rsidRDefault="009C410D" w:rsidP="009C410D">
      <w:pPr>
        <w:pStyle w:val="Default"/>
        <w:numPr>
          <w:ilvl w:val="0"/>
          <w:numId w:val="27"/>
        </w:numPr>
      </w:pPr>
      <w:r>
        <w:t>public performance reporting, assurance statements and governance arrangements.</w:t>
      </w:r>
    </w:p>
    <w:p w14:paraId="601C20EB" w14:textId="77777777" w:rsidR="00C828EB" w:rsidRDefault="00C828EB" w:rsidP="0009444F">
      <w:pPr>
        <w:pStyle w:val="Default"/>
        <w:ind w:left="720" w:hanging="720"/>
      </w:pPr>
    </w:p>
    <w:p w14:paraId="3227B123" w14:textId="77777777" w:rsidR="00490EFF" w:rsidRDefault="00C828EB" w:rsidP="0009444F">
      <w:pPr>
        <w:pStyle w:val="Default"/>
        <w:ind w:left="720" w:hanging="720"/>
      </w:pPr>
      <w:r>
        <w:t>1.</w:t>
      </w:r>
      <w:r w:rsidR="009C410D">
        <w:t>4</w:t>
      </w:r>
      <w:r>
        <w:t xml:space="preserve">. </w:t>
      </w:r>
      <w:r>
        <w:tab/>
        <w:t>Taken together, these reports will cover the whole of the Local Government Benchmarking Framework</w:t>
      </w:r>
      <w:r w:rsidR="003F30B3">
        <w:t>, plus selected service performance indicators that give a balanced picture of Council performance.</w:t>
      </w:r>
      <w:r>
        <w:t xml:space="preserve"> </w:t>
      </w:r>
    </w:p>
    <w:p w14:paraId="37C3566B" w14:textId="77777777" w:rsidR="00490EFF" w:rsidRDefault="00490EFF" w:rsidP="0009444F">
      <w:pPr>
        <w:pStyle w:val="Default"/>
        <w:ind w:left="720" w:hanging="720"/>
      </w:pPr>
    </w:p>
    <w:p w14:paraId="5BD72461" w14:textId="77777777" w:rsidR="00986992" w:rsidRDefault="00986992" w:rsidP="0009444F">
      <w:pPr>
        <w:pStyle w:val="Default"/>
        <w:ind w:left="720" w:hanging="720"/>
      </w:pPr>
      <w:r>
        <w:t>1.</w:t>
      </w:r>
      <w:r w:rsidR="00F548B4">
        <w:t>5</w:t>
      </w:r>
      <w:r>
        <w:t xml:space="preserve"> </w:t>
      </w:r>
      <w:r>
        <w:tab/>
        <w:t>The appendix to this report is presented in the form of a balanced scorecard covering the areas of Customer, People, Responsiveness and Cost results. This is consistent with the format used for the 2017/18 Public Performance Report and mirrors the approach used for internal management reporting throughout the year.</w:t>
      </w:r>
    </w:p>
    <w:p w14:paraId="679B9173" w14:textId="77777777" w:rsidR="00B4134A" w:rsidRDefault="00B4134A" w:rsidP="0009444F">
      <w:pPr>
        <w:pStyle w:val="Default"/>
        <w:ind w:left="720" w:hanging="720"/>
      </w:pPr>
    </w:p>
    <w:p w14:paraId="5627DE6A" w14:textId="77777777" w:rsidR="00B4134A" w:rsidRDefault="00B4134A" w:rsidP="0009444F">
      <w:pPr>
        <w:pStyle w:val="Default"/>
        <w:ind w:left="720" w:hanging="720"/>
      </w:pPr>
      <w:r>
        <w:t>1.</w:t>
      </w:r>
      <w:r w:rsidR="00F548B4">
        <w:t>6</w:t>
      </w:r>
      <w:r>
        <w:t xml:space="preserve"> </w:t>
      </w:r>
      <w:r>
        <w:tab/>
        <w:t>The</w:t>
      </w:r>
      <w:r w:rsidR="008243AC">
        <w:t xml:space="preserve"> new</w:t>
      </w:r>
      <w:r>
        <w:t xml:space="preserve"> </w:t>
      </w:r>
      <w:r w:rsidR="008243AC">
        <w:t xml:space="preserve">2018 SPI </w:t>
      </w:r>
      <w:r>
        <w:t>d</w:t>
      </w:r>
      <w:r w:rsidRPr="00EB3829">
        <w:t>irection</w:t>
      </w:r>
      <w:r w:rsidR="008243AC">
        <w:t>, which comes into force from financial year 2019/20</w:t>
      </w:r>
      <w:r w:rsidRPr="00EB3829">
        <w:t xml:space="preserve"> </w:t>
      </w:r>
      <w:r w:rsidR="008243AC">
        <w:t xml:space="preserve">is </w:t>
      </w:r>
      <w:r w:rsidRPr="00EB3829">
        <w:t xml:space="preserve">has similar </w:t>
      </w:r>
      <w:r>
        <w:t xml:space="preserve">in most respects to the previous direction, </w:t>
      </w:r>
      <w:r w:rsidRPr="00EB3829">
        <w:t xml:space="preserve">but </w:t>
      </w:r>
      <w:r>
        <w:t xml:space="preserve">has been </w:t>
      </w:r>
      <w:r w:rsidRPr="00EB3829">
        <w:t xml:space="preserve">enhanced to </w:t>
      </w:r>
      <w:r>
        <w:t>give greater clarity  to the public and the Council.</w:t>
      </w:r>
    </w:p>
    <w:p w14:paraId="528C6917" w14:textId="77777777" w:rsidR="002F1B31" w:rsidRDefault="002F1B31" w:rsidP="0009444F">
      <w:pPr>
        <w:pStyle w:val="Default"/>
        <w:ind w:left="720" w:hanging="720"/>
      </w:pPr>
    </w:p>
    <w:p w14:paraId="6FA8765D" w14:textId="77777777" w:rsidR="00F548B4" w:rsidRDefault="00F548B4" w:rsidP="0009444F">
      <w:pPr>
        <w:pStyle w:val="Default"/>
        <w:ind w:left="720" w:hanging="720"/>
      </w:pPr>
    </w:p>
    <w:p w14:paraId="2CD1B3EA" w14:textId="77777777" w:rsidR="003162E2" w:rsidRDefault="003162E2" w:rsidP="0009444F">
      <w:pPr>
        <w:pStyle w:val="Default"/>
        <w:ind w:left="720" w:hanging="720"/>
      </w:pPr>
    </w:p>
    <w:p w14:paraId="03EFE1AB" w14:textId="77777777" w:rsidR="003162E2" w:rsidRDefault="003162E2" w:rsidP="0009444F">
      <w:pPr>
        <w:pStyle w:val="Default"/>
        <w:ind w:left="720" w:hanging="720"/>
      </w:pPr>
    </w:p>
    <w:p w14:paraId="24B0FF71" w14:textId="77777777" w:rsidR="003162E2" w:rsidRDefault="003162E2" w:rsidP="0009444F">
      <w:pPr>
        <w:pStyle w:val="Default"/>
        <w:ind w:left="720" w:hanging="720"/>
      </w:pPr>
    </w:p>
    <w:p w14:paraId="35444CDF" w14:textId="77777777" w:rsidR="003162E2" w:rsidRDefault="003162E2" w:rsidP="0009444F">
      <w:pPr>
        <w:pStyle w:val="Default"/>
        <w:ind w:left="720" w:hanging="720"/>
      </w:pPr>
    </w:p>
    <w:p w14:paraId="1845D10B" w14:textId="77777777" w:rsidR="003162E2" w:rsidRDefault="003162E2" w:rsidP="0009444F">
      <w:pPr>
        <w:pStyle w:val="Default"/>
        <w:ind w:left="720" w:hanging="720"/>
      </w:pPr>
    </w:p>
    <w:p w14:paraId="49715828" w14:textId="77777777" w:rsidR="003162E2" w:rsidRDefault="003162E2" w:rsidP="0009444F">
      <w:pPr>
        <w:pStyle w:val="Default"/>
        <w:ind w:left="720" w:hanging="720"/>
      </w:pPr>
    </w:p>
    <w:p w14:paraId="1C4FC31C" w14:textId="77777777" w:rsidR="003162E2" w:rsidRDefault="003162E2" w:rsidP="0009444F">
      <w:pPr>
        <w:pStyle w:val="Default"/>
        <w:ind w:left="720" w:hanging="720"/>
      </w:pPr>
    </w:p>
    <w:p w14:paraId="3AFCD513" w14:textId="77777777" w:rsidR="003162E2" w:rsidRDefault="003162E2" w:rsidP="0009444F">
      <w:pPr>
        <w:pStyle w:val="Default"/>
        <w:ind w:left="720" w:hanging="720"/>
      </w:pPr>
    </w:p>
    <w:p w14:paraId="108713D2" w14:textId="77777777" w:rsidR="00B30244" w:rsidRPr="00DB4F24" w:rsidRDefault="00B30244" w:rsidP="00B30244">
      <w:pPr>
        <w:pStyle w:val="p1"/>
        <w:pBdr>
          <w:bottom w:val="single" w:sz="4" w:space="1" w:color="auto"/>
        </w:pBdr>
        <w:spacing w:before="240" w:after="120"/>
        <w:jc w:val="both"/>
        <w:rPr>
          <w:rStyle w:val="s1"/>
          <w:rFonts w:ascii="Arial" w:hAnsi="Arial" w:cs="Arial"/>
          <w:b/>
          <w:color w:val="auto"/>
          <w:sz w:val="36"/>
          <w:szCs w:val="22"/>
        </w:rPr>
      </w:pPr>
      <w:r w:rsidRPr="00DB4F24">
        <w:rPr>
          <w:rStyle w:val="s1"/>
          <w:rFonts w:ascii="Arial" w:hAnsi="Arial" w:cs="Arial"/>
          <w:b/>
          <w:color w:val="auto"/>
          <w:sz w:val="36"/>
          <w:szCs w:val="22"/>
        </w:rPr>
        <w:lastRenderedPageBreak/>
        <w:t>2.0 Establishment Changes</w:t>
      </w:r>
    </w:p>
    <w:p w14:paraId="29101191" w14:textId="77777777" w:rsidR="00C015DA" w:rsidRDefault="00B30244" w:rsidP="00DB4F24">
      <w:pPr>
        <w:pStyle w:val="p1"/>
        <w:spacing w:before="240" w:after="120"/>
        <w:ind w:left="720" w:hanging="720"/>
        <w:jc w:val="both"/>
        <w:rPr>
          <w:rStyle w:val="s1"/>
          <w:rFonts w:ascii="Arial" w:hAnsi="Arial" w:cs="Arial"/>
          <w:color w:val="auto"/>
          <w:sz w:val="24"/>
          <w:szCs w:val="22"/>
        </w:rPr>
      </w:pPr>
      <w:r w:rsidRPr="00B30244">
        <w:rPr>
          <w:rStyle w:val="s1"/>
          <w:rFonts w:ascii="Arial" w:hAnsi="Arial" w:cs="Arial"/>
          <w:color w:val="auto"/>
          <w:sz w:val="24"/>
          <w:szCs w:val="22"/>
        </w:rPr>
        <w:t xml:space="preserve">2.1 </w:t>
      </w:r>
      <w:r w:rsidRPr="00B30244">
        <w:rPr>
          <w:rStyle w:val="s1"/>
          <w:rFonts w:ascii="Arial" w:hAnsi="Arial" w:cs="Arial"/>
          <w:color w:val="auto"/>
          <w:sz w:val="24"/>
          <w:szCs w:val="22"/>
        </w:rPr>
        <w:tab/>
      </w:r>
      <w:r w:rsidR="00C015DA">
        <w:rPr>
          <w:rStyle w:val="s1"/>
          <w:rFonts w:ascii="Arial" w:hAnsi="Arial" w:cs="Arial"/>
          <w:color w:val="auto"/>
          <w:sz w:val="24"/>
          <w:szCs w:val="22"/>
        </w:rPr>
        <w:t>Paragraph 2.3.1 of the Scheme of Officer Powers requires Executive Directors to report any posts established to Committee as a part of their annual performance report. A table setting out establishment changes is attached at Appendix 3</w:t>
      </w:r>
    </w:p>
    <w:p w14:paraId="687EBCF1" w14:textId="77777777" w:rsidR="00C015DA" w:rsidRDefault="00C015DA" w:rsidP="00C015DA">
      <w:pPr>
        <w:pStyle w:val="xmsonormal"/>
        <w:shd w:val="clear" w:color="auto" w:fill="FFFFFF"/>
        <w:spacing w:before="0" w:beforeAutospacing="0" w:after="0" w:afterAutospacing="0"/>
        <w:rPr>
          <w:rFonts w:ascii="Arial" w:hAnsi="Arial" w:cs="Arial"/>
          <w:iCs/>
          <w:color w:val="201F1E"/>
          <w:bdr w:val="none" w:sz="0" w:space="0" w:color="auto" w:frame="1"/>
        </w:rPr>
      </w:pPr>
    </w:p>
    <w:p w14:paraId="61235E83" w14:textId="77777777" w:rsidR="00E156C4" w:rsidRDefault="00B30244" w:rsidP="00B30244">
      <w:pPr>
        <w:pStyle w:val="p1"/>
        <w:pBdr>
          <w:bottom w:val="single" w:sz="4" w:space="1" w:color="auto"/>
        </w:pBdr>
        <w:spacing w:before="240" w:after="120"/>
        <w:jc w:val="both"/>
        <w:rPr>
          <w:rFonts w:ascii="Arial" w:hAnsi="Arial" w:cs="Arial"/>
          <w:color w:val="auto"/>
          <w:sz w:val="22"/>
          <w:szCs w:val="22"/>
        </w:rPr>
      </w:pPr>
      <w:r>
        <w:rPr>
          <w:rStyle w:val="s1"/>
          <w:rFonts w:ascii="Arial" w:hAnsi="Arial"/>
          <w:b/>
          <w:color w:val="auto"/>
          <w:sz w:val="36"/>
          <w:szCs w:val="36"/>
        </w:rPr>
        <w:t xml:space="preserve">3.0 </w:t>
      </w:r>
      <w:r w:rsidR="00E156C4">
        <w:rPr>
          <w:rStyle w:val="s1"/>
          <w:rFonts w:ascii="Arial" w:hAnsi="Arial"/>
          <w:b/>
          <w:color w:val="auto"/>
          <w:sz w:val="36"/>
          <w:szCs w:val="36"/>
        </w:rPr>
        <w:t>Conclusion</w:t>
      </w:r>
      <w:r w:rsidR="00F70710">
        <w:rPr>
          <w:rStyle w:val="s1"/>
          <w:rFonts w:ascii="Arial" w:hAnsi="Arial"/>
          <w:b/>
          <w:color w:val="auto"/>
          <w:sz w:val="36"/>
          <w:szCs w:val="36"/>
        </w:rPr>
        <w:t>s</w:t>
      </w:r>
      <w:r w:rsidR="00E156C4">
        <w:rPr>
          <w:rStyle w:val="s1"/>
          <w:rFonts w:ascii="Arial" w:hAnsi="Arial"/>
          <w:b/>
          <w:color w:val="auto"/>
          <w:sz w:val="36"/>
          <w:szCs w:val="36"/>
        </w:rPr>
        <w:t xml:space="preserve"> </w:t>
      </w:r>
    </w:p>
    <w:p w14:paraId="24EDB630" w14:textId="77777777" w:rsidR="00F31797" w:rsidRDefault="00F31797" w:rsidP="00986992">
      <w:pPr>
        <w:spacing w:before="0" w:after="0"/>
        <w:ind w:left="709" w:hanging="709"/>
        <w:jc w:val="both"/>
        <w:rPr>
          <w:rFonts w:ascii="Arial" w:hAnsi="Arial" w:cs="Arial"/>
          <w:szCs w:val="24"/>
        </w:rPr>
      </w:pPr>
    </w:p>
    <w:p w14:paraId="4E7306CF" w14:textId="77777777" w:rsidR="005D6FDE" w:rsidRDefault="00B30244" w:rsidP="005D6FDE">
      <w:pPr>
        <w:spacing w:before="0" w:after="0"/>
        <w:ind w:left="720" w:hanging="720"/>
        <w:jc w:val="both"/>
        <w:rPr>
          <w:rFonts w:ascii="Arial" w:hAnsi="Arial" w:cs="Arial"/>
          <w:szCs w:val="24"/>
        </w:rPr>
      </w:pPr>
      <w:r>
        <w:rPr>
          <w:rFonts w:ascii="Arial" w:hAnsi="Arial" w:cs="Arial"/>
          <w:szCs w:val="24"/>
        </w:rPr>
        <w:t>3</w:t>
      </w:r>
      <w:r w:rsidR="005D6FDE">
        <w:rPr>
          <w:rFonts w:ascii="Arial" w:hAnsi="Arial" w:cs="Arial"/>
          <w:szCs w:val="24"/>
        </w:rPr>
        <w:t>.1</w:t>
      </w:r>
      <w:r w:rsidR="005D6FDE">
        <w:rPr>
          <w:rFonts w:ascii="Arial" w:hAnsi="Arial" w:cs="Arial"/>
          <w:szCs w:val="24"/>
        </w:rPr>
        <w:tab/>
        <w:t>This report is the first in a series covering the whole of the Council’s performance against key indicators, including the Local Government Benchmarking framework.</w:t>
      </w:r>
    </w:p>
    <w:p w14:paraId="2DD915F5" w14:textId="77777777" w:rsidR="005D6FDE" w:rsidRDefault="005D6FDE" w:rsidP="005D6FDE">
      <w:pPr>
        <w:spacing w:before="0" w:after="0"/>
        <w:ind w:left="720" w:hanging="720"/>
        <w:jc w:val="both"/>
        <w:rPr>
          <w:rFonts w:ascii="Arial" w:hAnsi="Arial" w:cs="Arial"/>
          <w:szCs w:val="24"/>
        </w:rPr>
      </w:pPr>
    </w:p>
    <w:p w14:paraId="7C2C1AE9" w14:textId="77777777" w:rsidR="005D6FDE" w:rsidRDefault="00B30244" w:rsidP="005D6FDE">
      <w:pPr>
        <w:spacing w:before="0" w:after="0"/>
        <w:ind w:left="720" w:hanging="720"/>
        <w:jc w:val="both"/>
        <w:rPr>
          <w:rFonts w:ascii="Arial" w:hAnsi="Arial" w:cs="Arial"/>
          <w:szCs w:val="24"/>
        </w:rPr>
      </w:pPr>
      <w:r>
        <w:rPr>
          <w:rFonts w:ascii="Arial" w:hAnsi="Arial" w:cs="Arial"/>
          <w:szCs w:val="24"/>
        </w:rPr>
        <w:t>3</w:t>
      </w:r>
      <w:r w:rsidR="005D6FDE">
        <w:rPr>
          <w:rFonts w:ascii="Arial" w:hAnsi="Arial" w:cs="Arial"/>
          <w:szCs w:val="24"/>
        </w:rPr>
        <w:t>.2</w:t>
      </w:r>
      <w:r w:rsidR="005D6FDE">
        <w:rPr>
          <w:rFonts w:ascii="Arial" w:hAnsi="Arial" w:cs="Arial"/>
          <w:szCs w:val="24"/>
        </w:rPr>
        <w:tab/>
        <w:t xml:space="preserve">The overall performance of </w:t>
      </w:r>
      <w:r w:rsidR="002C4C07">
        <w:rPr>
          <w:rFonts w:ascii="Arial" w:hAnsi="Arial" w:cs="Arial"/>
          <w:szCs w:val="24"/>
        </w:rPr>
        <w:t>Business</w:t>
      </w:r>
      <w:r w:rsidR="00FB2266">
        <w:rPr>
          <w:rFonts w:ascii="Arial" w:hAnsi="Arial" w:cs="Arial"/>
          <w:szCs w:val="24"/>
        </w:rPr>
        <w:t xml:space="preserve"> &amp; </w:t>
      </w:r>
      <w:proofErr w:type="spellStart"/>
      <w:r w:rsidR="002C4C07">
        <w:rPr>
          <w:rFonts w:ascii="Arial" w:hAnsi="Arial" w:cs="Arial"/>
          <w:szCs w:val="24"/>
        </w:rPr>
        <w:t>Employabilty</w:t>
      </w:r>
      <w:proofErr w:type="spellEnd"/>
      <w:r w:rsidR="00FB2266">
        <w:rPr>
          <w:rFonts w:ascii="Arial" w:hAnsi="Arial" w:cs="Arial"/>
          <w:szCs w:val="24"/>
        </w:rPr>
        <w:t xml:space="preserve">, </w:t>
      </w:r>
      <w:r w:rsidR="002C4C07">
        <w:rPr>
          <w:rFonts w:ascii="Arial" w:hAnsi="Arial" w:cs="Arial"/>
          <w:szCs w:val="24"/>
        </w:rPr>
        <w:t>Planning</w:t>
      </w:r>
      <w:r w:rsidR="00FB2266">
        <w:rPr>
          <w:rFonts w:ascii="Arial" w:hAnsi="Arial" w:cs="Arial"/>
          <w:szCs w:val="24"/>
        </w:rPr>
        <w:t xml:space="preserve"> and Roads &amp; Transportation </w:t>
      </w:r>
      <w:r w:rsidR="002C4C07">
        <w:rPr>
          <w:rFonts w:ascii="Arial" w:hAnsi="Arial" w:cs="Arial"/>
          <w:szCs w:val="24"/>
        </w:rPr>
        <w:t xml:space="preserve"> </w:t>
      </w:r>
      <w:r w:rsidR="00F548B4">
        <w:rPr>
          <w:rFonts w:ascii="Arial" w:hAnsi="Arial" w:cs="Arial"/>
          <w:szCs w:val="24"/>
        </w:rPr>
        <w:t xml:space="preserve">is </w:t>
      </w:r>
      <w:r w:rsidR="005D6FDE">
        <w:rPr>
          <w:rFonts w:ascii="Arial" w:hAnsi="Arial" w:cs="Arial"/>
          <w:szCs w:val="24"/>
        </w:rPr>
        <w:t>positive</w:t>
      </w:r>
      <w:r w:rsidR="00547880">
        <w:rPr>
          <w:rFonts w:ascii="Arial" w:hAnsi="Arial" w:cs="Arial"/>
          <w:szCs w:val="24"/>
        </w:rPr>
        <w:t>; areas for improvement focus are identified in appendi</w:t>
      </w:r>
      <w:r w:rsidR="00FB2266">
        <w:rPr>
          <w:rFonts w:ascii="Arial" w:hAnsi="Arial" w:cs="Arial"/>
          <w:szCs w:val="24"/>
        </w:rPr>
        <w:t xml:space="preserve">ces </w:t>
      </w:r>
      <w:r w:rsidR="00547880">
        <w:rPr>
          <w:rFonts w:ascii="Arial" w:hAnsi="Arial" w:cs="Arial"/>
          <w:szCs w:val="24"/>
        </w:rPr>
        <w:t xml:space="preserve"> 1</w:t>
      </w:r>
      <w:r w:rsidR="00FB2266">
        <w:rPr>
          <w:rFonts w:ascii="Arial" w:hAnsi="Arial" w:cs="Arial"/>
          <w:szCs w:val="24"/>
        </w:rPr>
        <w:t xml:space="preserve"> &amp; 2</w:t>
      </w:r>
      <w:r w:rsidR="002C4C07">
        <w:rPr>
          <w:rFonts w:ascii="Arial" w:hAnsi="Arial" w:cs="Arial"/>
          <w:szCs w:val="24"/>
        </w:rPr>
        <w:t>.</w:t>
      </w:r>
    </w:p>
    <w:p w14:paraId="431164B7" w14:textId="77777777" w:rsidR="005D6FDE" w:rsidRDefault="005D6FDE" w:rsidP="00986992">
      <w:pPr>
        <w:spacing w:before="0" w:after="0"/>
        <w:ind w:left="709" w:hanging="709"/>
        <w:jc w:val="both"/>
        <w:rPr>
          <w:rFonts w:ascii="Arial" w:hAnsi="Arial" w:cs="Arial"/>
          <w:szCs w:val="24"/>
        </w:rPr>
      </w:pPr>
    </w:p>
    <w:p w14:paraId="0D5194EE" w14:textId="77777777" w:rsidR="00B30244" w:rsidRDefault="00B30244" w:rsidP="008B7AEF">
      <w:pPr>
        <w:spacing w:before="0" w:after="0"/>
        <w:rPr>
          <w:rFonts w:ascii="Arial" w:hAnsi="Arial" w:cs="Arial"/>
          <w:b/>
          <w:szCs w:val="24"/>
        </w:rPr>
      </w:pPr>
    </w:p>
    <w:p w14:paraId="0DCB16C7" w14:textId="77777777" w:rsidR="00B30244" w:rsidRDefault="00B30244" w:rsidP="008B7AEF">
      <w:pPr>
        <w:spacing w:before="0" w:after="0"/>
        <w:rPr>
          <w:rFonts w:ascii="Arial" w:hAnsi="Arial" w:cs="Arial"/>
          <w:b/>
          <w:szCs w:val="24"/>
        </w:rPr>
      </w:pPr>
    </w:p>
    <w:p w14:paraId="43357921" w14:textId="77777777" w:rsidR="00603139" w:rsidRPr="00690847" w:rsidRDefault="000532D5" w:rsidP="008B7AEF">
      <w:pPr>
        <w:spacing w:before="0" w:after="0"/>
        <w:rPr>
          <w:rFonts w:ascii="Arial" w:hAnsi="Arial" w:cs="Arial"/>
          <w:b/>
          <w:szCs w:val="24"/>
        </w:rPr>
      </w:pPr>
      <w:r w:rsidRPr="00690847">
        <w:rPr>
          <w:rFonts w:ascii="Arial" w:hAnsi="Arial" w:cs="Arial"/>
          <w:b/>
          <w:szCs w:val="24"/>
        </w:rPr>
        <w:t xml:space="preserve">List of </w:t>
      </w:r>
      <w:r w:rsidR="00603139" w:rsidRPr="00690847">
        <w:rPr>
          <w:rFonts w:ascii="Arial" w:hAnsi="Arial" w:cs="Arial"/>
          <w:b/>
          <w:szCs w:val="24"/>
        </w:rPr>
        <w:t>Appendices</w:t>
      </w:r>
      <w:r w:rsidR="00F85B98" w:rsidRPr="00690847">
        <w:rPr>
          <w:rFonts w:ascii="Arial" w:hAnsi="Arial" w:cs="Arial"/>
          <w:b/>
          <w:szCs w:val="24"/>
        </w:rPr>
        <w:t xml:space="preserve"> </w:t>
      </w:r>
    </w:p>
    <w:p w14:paraId="7574C099" w14:textId="77777777" w:rsidR="00603139" w:rsidRPr="00690847" w:rsidRDefault="00603139" w:rsidP="008B7AEF">
      <w:pPr>
        <w:spacing w:before="0" w:after="0"/>
        <w:rPr>
          <w:rFonts w:ascii="Arial" w:hAnsi="Arial" w:cs="Arial"/>
          <w:b/>
          <w:szCs w:val="24"/>
        </w:rPr>
      </w:pPr>
    </w:p>
    <w:p w14:paraId="1B0DB714" w14:textId="77777777" w:rsidR="008B7AEF" w:rsidRPr="00690847" w:rsidRDefault="003F30B3" w:rsidP="008B7AEF">
      <w:pPr>
        <w:spacing w:before="0" w:after="0"/>
        <w:jc w:val="both"/>
        <w:rPr>
          <w:rFonts w:ascii="Arial" w:hAnsi="Arial" w:cs="Arial"/>
          <w:szCs w:val="24"/>
        </w:rPr>
      </w:pPr>
      <w:r w:rsidRPr="00690847">
        <w:rPr>
          <w:rFonts w:ascii="Arial" w:hAnsi="Arial" w:cs="Arial"/>
          <w:szCs w:val="24"/>
        </w:rPr>
        <w:t>Appendix 1</w:t>
      </w:r>
      <w:r w:rsidR="00AA10C2" w:rsidRPr="00690847">
        <w:rPr>
          <w:rFonts w:ascii="Arial" w:hAnsi="Arial" w:cs="Arial"/>
          <w:szCs w:val="24"/>
        </w:rPr>
        <w:t xml:space="preserve"> – </w:t>
      </w:r>
      <w:bookmarkStart w:id="1" w:name="_Hlk20295217"/>
      <w:r w:rsidR="009E27BB" w:rsidRPr="00690847">
        <w:rPr>
          <w:rFonts w:ascii="Arial" w:hAnsi="Arial" w:cs="Arial"/>
          <w:szCs w:val="24"/>
        </w:rPr>
        <w:t>Business, Employability &amp; Planning</w:t>
      </w:r>
      <w:r w:rsidR="00AA10C2" w:rsidRPr="00690847">
        <w:rPr>
          <w:rFonts w:ascii="Arial" w:hAnsi="Arial" w:cs="Arial"/>
          <w:szCs w:val="24"/>
        </w:rPr>
        <w:t xml:space="preserve"> </w:t>
      </w:r>
      <w:bookmarkEnd w:id="1"/>
      <w:r w:rsidR="00AA10C2" w:rsidRPr="00690847">
        <w:rPr>
          <w:rFonts w:ascii="Arial" w:hAnsi="Arial" w:cs="Arial"/>
          <w:szCs w:val="24"/>
        </w:rPr>
        <w:t>Performance Report 2018/19</w:t>
      </w:r>
    </w:p>
    <w:p w14:paraId="783539BA" w14:textId="77777777" w:rsidR="009E27BB" w:rsidRDefault="009E27BB" w:rsidP="008B7AEF">
      <w:pPr>
        <w:spacing w:before="0" w:after="0"/>
        <w:jc w:val="both"/>
        <w:rPr>
          <w:rFonts w:ascii="Arial" w:hAnsi="Arial" w:cs="Arial"/>
          <w:szCs w:val="24"/>
        </w:rPr>
      </w:pPr>
      <w:bookmarkStart w:id="2" w:name="_Hlk20295235"/>
      <w:r w:rsidRPr="00690847">
        <w:rPr>
          <w:rFonts w:ascii="Arial" w:hAnsi="Arial" w:cs="Arial"/>
          <w:szCs w:val="24"/>
        </w:rPr>
        <w:t xml:space="preserve">Appendix </w:t>
      </w:r>
      <w:bookmarkStart w:id="3" w:name="_Hlk20295187"/>
      <w:r w:rsidRPr="00690847">
        <w:rPr>
          <w:rFonts w:ascii="Arial" w:hAnsi="Arial" w:cs="Arial"/>
          <w:szCs w:val="24"/>
        </w:rPr>
        <w:t xml:space="preserve">2 – </w:t>
      </w:r>
      <w:r w:rsidR="00FB2266">
        <w:rPr>
          <w:rFonts w:ascii="Arial" w:hAnsi="Arial" w:cs="Arial"/>
          <w:szCs w:val="24"/>
        </w:rPr>
        <w:t xml:space="preserve">Roads and Transportation </w:t>
      </w:r>
      <w:bookmarkEnd w:id="2"/>
      <w:r w:rsidR="00FB2266">
        <w:rPr>
          <w:rFonts w:ascii="Arial" w:hAnsi="Arial" w:cs="Arial"/>
          <w:szCs w:val="24"/>
        </w:rPr>
        <w:t>Performance Report 2018/19</w:t>
      </w:r>
      <w:bookmarkEnd w:id="3"/>
    </w:p>
    <w:p w14:paraId="2CF48F01" w14:textId="77777777" w:rsidR="005E13A1" w:rsidRDefault="00FB2266" w:rsidP="005E13A1">
      <w:pPr>
        <w:spacing w:before="0" w:after="0"/>
        <w:rPr>
          <w:rFonts w:ascii="Arial" w:hAnsi="Arial" w:cs="Arial"/>
          <w:szCs w:val="24"/>
        </w:rPr>
      </w:pPr>
      <w:r>
        <w:rPr>
          <w:rFonts w:ascii="Arial" w:hAnsi="Arial" w:cs="Arial"/>
          <w:szCs w:val="24"/>
        </w:rPr>
        <w:t>Appendix 3</w:t>
      </w:r>
      <w:r w:rsidRPr="00690847">
        <w:rPr>
          <w:rFonts w:ascii="Arial" w:hAnsi="Arial" w:cs="Arial"/>
          <w:szCs w:val="24"/>
        </w:rPr>
        <w:t xml:space="preserve"> –</w:t>
      </w:r>
      <w:bookmarkStart w:id="4" w:name="_Hlk20295305"/>
      <w:r w:rsidR="0077263B">
        <w:rPr>
          <w:rFonts w:ascii="Arial" w:hAnsi="Arial" w:cs="Arial"/>
          <w:szCs w:val="24"/>
        </w:rPr>
        <w:t xml:space="preserve"> </w:t>
      </w:r>
      <w:r w:rsidR="003162E2">
        <w:rPr>
          <w:rFonts w:ascii="Arial" w:hAnsi="Arial" w:cs="Arial"/>
          <w:szCs w:val="24"/>
        </w:rPr>
        <w:t>E</w:t>
      </w:r>
      <w:r w:rsidR="005E13A1">
        <w:rPr>
          <w:rFonts w:ascii="Arial" w:hAnsi="Arial" w:cs="Arial"/>
          <w:szCs w:val="24"/>
        </w:rPr>
        <w:t xml:space="preserve">stablishment change </w:t>
      </w:r>
      <w:r w:rsidR="003162E2">
        <w:rPr>
          <w:rFonts w:ascii="Arial" w:hAnsi="Arial" w:cs="Arial"/>
          <w:szCs w:val="24"/>
        </w:rPr>
        <w:t xml:space="preserve"> Information</w:t>
      </w:r>
      <w:r w:rsidR="005E13A1">
        <w:rPr>
          <w:rFonts w:ascii="Arial" w:hAnsi="Arial" w:cs="Arial"/>
          <w:szCs w:val="24"/>
        </w:rPr>
        <w:t>2018/19</w:t>
      </w:r>
      <w:bookmarkEnd w:id="4"/>
    </w:p>
    <w:p w14:paraId="3D1EEBB6" w14:textId="77777777" w:rsidR="00F548B4" w:rsidRPr="00690847" w:rsidRDefault="00F548B4" w:rsidP="00F548B4">
      <w:pPr>
        <w:rPr>
          <w:rFonts w:ascii="Arial" w:hAnsi="Arial" w:cs="Arial"/>
        </w:rPr>
      </w:pPr>
    </w:p>
    <w:p w14:paraId="6645707E" w14:textId="77777777" w:rsidR="000532D5" w:rsidRPr="00690847" w:rsidRDefault="008B7AEF" w:rsidP="00BF0181">
      <w:pPr>
        <w:pStyle w:val="Heading4"/>
        <w:spacing w:before="0" w:after="0"/>
        <w:rPr>
          <w:rFonts w:ascii="Arial" w:hAnsi="Arial" w:cs="Arial"/>
          <w:szCs w:val="24"/>
        </w:rPr>
      </w:pPr>
      <w:r w:rsidRPr="00690847">
        <w:rPr>
          <w:rFonts w:ascii="Arial" w:hAnsi="Arial" w:cs="Arial"/>
          <w:szCs w:val="24"/>
        </w:rPr>
        <w:t>Report Contact</w:t>
      </w:r>
    </w:p>
    <w:p w14:paraId="10F987A4" w14:textId="77777777" w:rsidR="008430A3" w:rsidRPr="00690847" w:rsidRDefault="008430A3" w:rsidP="00690847">
      <w:pPr>
        <w:spacing w:before="0" w:after="0"/>
        <w:rPr>
          <w:rFonts w:ascii="Arial" w:hAnsi="Arial" w:cs="Arial"/>
        </w:rPr>
      </w:pPr>
      <w:r w:rsidRPr="00690847">
        <w:rPr>
          <w:rFonts w:ascii="Arial" w:hAnsi="Arial" w:cs="Arial"/>
        </w:rPr>
        <w:t>Jim Lumsden</w:t>
      </w:r>
    </w:p>
    <w:p w14:paraId="4FD54757" w14:textId="77777777" w:rsidR="00690847" w:rsidRPr="00690847" w:rsidRDefault="00690847" w:rsidP="00690847">
      <w:pPr>
        <w:spacing w:before="0" w:after="0"/>
        <w:rPr>
          <w:rFonts w:ascii="Arial" w:hAnsi="Arial" w:cs="Arial"/>
        </w:rPr>
      </w:pPr>
      <w:r w:rsidRPr="00690847">
        <w:rPr>
          <w:rFonts w:ascii="Arial" w:hAnsi="Arial" w:cs="Arial"/>
        </w:rPr>
        <w:t>Corporate Development Team Manager</w:t>
      </w:r>
    </w:p>
    <w:p w14:paraId="441EA740" w14:textId="77777777" w:rsidR="00690847" w:rsidRPr="00690847" w:rsidRDefault="00690847" w:rsidP="005E13A1">
      <w:pPr>
        <w:spacing w:before="0" w:after="0"/>
        <w:jc w:val="both"/>
        <w:rPr>
          <w:rFonts w:ascii="Arial" w:hAnsi="Arial" w:cs="Arial"/>
        </w:rPr>
      </w:pPr>
      <w:r w:rsidRPr="00690847">
        <w:rPr>
          <w:rFonts w:ascii="Arial" w:hAnsi="Arial" w:cs="Arial"/>
        </w:rPr>
        <w:t>Communities Directorate</w:t>
      </w:r>
    </w:p>
    <w:p w14:paraId="67032980" w14:textId="7FAAE637" w:rsidR="00690847" w:rsidRDefault="00690847" w:rsidP="00690847">
      <w:pPr>
        <w:spacing w:before="0" w:after="0"/>
        <w:rPr>
          <w:rFonts w:ascii="Arial" w:hAnsi="Arial" w:cs="Arial"/>
        </w:rPr>
      </w:pPr>
      <w:r w:rsidRPr="00690847">
        <w:rPr>
          <w:rFonts w:ascii="Arial" w:hAnsi="Arial" w:cs="Arial"/>
        </w:rPr>
        <w:t>03451 555555 x 450602</w:t>
      </w:r>
    </w:p>
    <w:p w14:paraId="5A4ECB95" w14:textId="1BE4F9DC" w:rsidR="00586F5C" w:rsidRDefault="00586F5C" w:rsidP="00690847">
      <w:pPr>
        <w:spacing w:before="0" w:after="0"/>
        <w:rPr>
          <w:rFonts w:ascii="Arial" w:hAnsi="Arial" w:cs="Arial"/>
        </w:rPr>
      </w:pPr>
    </w:p>
    <w:p w14:paraId="3A522186" w14:textId="7BDCD8C9" w:rsidR="00586F5C" w:rsidRDefault="00586F5C" w:rsidP="00690847">
      <w:pPr>
        <w:spacing w:before="0" w:after="0"/>
        <w:rPr>
          <w:rFonts w:ascii="Arial" w:hAnsi="Arial" w:cs="Arial"/>
        </w:rPr>
      </w:pPr>
    </w:p>
    <w:p w14:paraId="62757F51" w14:textId="50A240A2" w:rsidR="00586F5C" w:rsidRDefault="00586F5C" w:rsidP="00690847">
      <w:pPr>
        <w:spacing w:before="0" w:after="0"/>
        <w:rPr>
          <w:rFonts w:ascii="Arial" w:hAnsi="Arial" w:cs="Arial"/>
        </w:rPr>
      </w:pPr>
    </w:p>
    <w:p w14:paraId="7B966A81" w14:textId="5480C708" w:rsidR="00586F5C" w:rsidRDefault="00586F5C" w:rsidP="00690847">
      <w:pPr>
        <w:spacing w:before="0" w:after="0"/>
        <w:rPr>
          <w:rFonts w:ascii="Arial" w:hAnsi="Arial" w:cs="Arial"/>
        </w:rPr>
      </w:pPr>
    </w:p>
    <w:p w14:paraId="6B605499" w14:textId="699A517D" w:rsidR="00586F5C" w:rsidRDefault="00586F5C" w:rsidP="00690847">
      <w:pPr>
        <w:spacing w:before="0" w:after="0"/>
        <w:rPr>
          <w:rFonts w:ascii="Arial" w:hAnsi="Arial" w:cs="Arial"/>
        </w:rPr>
      </w:pPr>
    </w:p>
    <w:p w14:paraId="6035156E" w14:textId="6F8401D0" w:rsidR="00586F5C" w:rsidRDefault="00586F5C" w:rsidP="00690847">
      <w:pPr>
        <w:spacing w:before="0" w:after="0"/>
        <w:rPr>
          <w:rFonts w:ascii="Arial" w:hAnsi="Arial" w:cs="Arial"/>
        </w:rPr>
      </w:pPr>
    </w:p>
    <w:p w14:paraId="36467522" w14:textId="48087AD5" w:rsidR="00586F5C" w:rsidRDefault="00586F5C" w:rsidP="00690847">
      <w:pPr>
        <w:spacing w:before="0" w:after="0"/>
        <w:rPr>
          <w:rFonts w:ascii="Arial" w:hAnsi="Arial" w:cs="Arial"/>
        </w:rPr>
      </w:pPr>
    </w:p>
    <w:p w14:paraId="085D2349" w14:textId="781F5C31" w:rsidR="00586F5C" w:rsidRDefault="00586F5C" w:rsidP="00690847">
      <w:pPr>
        <w:spacing w:before="0" w:after="0"/>
        <w:rPr>
          <w:rFonts w:ascii="Arial" w:hAnsi="Arial" w:cs="Arial"/>
        </w:rPr>
      </w:pPr>
    </w:p>
    <w:p w14:paraId="6620B83D" w14:textId="1048E07E" w:rsidR="00586F5C" w:rsidRDefault="00586F5C" w:rsidP="00690847">
      <w:pPr>
        <w:spacing w:before="0" w:after="0"/>
        <w:rPr>
          <w:rFonts w:ascii="Arial" w:hAnsi="Arial" w:cs="Arial"/>
        </w:rPr>
      </w:pPr>
    </w:p>
    <w:p w14:paraId="56D8FD91" w14:textId="5D847B91" w:rsidR="00586F5C" w:rsidRDefault="00586F5C" w:rsidP="00690847">
      <w:pPr>
        <w:spacing w:before="0" w:after="0"/>
        <w:rPr>
          <w:rFonts w:ascii="Arial" w:hAnsi="Arial" w:cs="Arial"/>
        </w:rPr>
      </w:pPr>
    </w:p>
    <w:p w14:paraId="3E8545FD" w14:textId="19DACC5C" w:rsidR="00586F5C" w:rsidRDefault="00586F5C" w:rsidP="00690847">
      <w:pPr>
        <w:spacing w:before="0" w:after="0"/>
        <w:rPr>
          <w:rFonts w:ascii="Arial" w:hAnsi="Arial" w:cs="Arial"/>
        </w:rPr>
      </w:pPr>
    </w:p>
    <w:p w14:paraId="79DEA9E7" w14:textId="6E2903DE" w:rsidR="00586F5C" w:rsidRDefault="00586F5C" w:rsidP="00690847">
      <w:pPr>
        <w:spacing w:before="0" w:after="0"/>
        <w:rPr>
          <w:rFonts w:ascii="Arial" w:hAnsi="Arial" w:cs="Arial"/>
        </w:rPr>
      </w:pPr>
    </w:p>
    <w:p w14:paraId="36864CB7" w14:textId="5939E611" w:rsidR="00586F5C" w:rsidRDefault="00586F5C" w:rsidP="00690847">
      <w:pPr>
        <w:spacing w:before="0" w:after="0"/>
        <w:rPr>
          <w:rFonts w:ascii="Arial" w:hAnsi="Arial" w:cs="Arial"/>
        </w:rPr>
      </w:pPr>
    </w:p>
    <w:p w14:paraId="1D3BEEFF" w14:textId="1F4C77CB" w:rsidR="00586F5C" w:rsidRDefault="00586F5C" w:rsidP="00690847">
      <w:pPr>
        <w:spacing w:before="0" w:after="0"/>
        <w:rPr>
          <w:rFonts w:ascii="Arial" w:hAnsi="Arial" w:cs="Arial"/>
        </w:rPr>
      </w:pPr>
    </w:p>
    <w:p w14:paraId="539C6157" w14:textId="314F2218" w:rsidR="00586F5C" w:rsidRDefault="00586F5C" w:rsidP="00690847">
      <w:pPr>
        <w:spacing w:before="0" w:after="0"/>
        <w:rPr>
          <w:rFonts w:ascii="Arial" w:hAnsi="Arial" w:cs="Arial"/>
        </w:rPr>
      </w:pPr>
    </w:p>
    <w:p w14:paraId="43DBC43E" w14:textId="610449F9" w:rsidR="00586F5C" w:rsidRDefault="00586F5C" w:rsidP="00690847">
      <w:pPr>
        <w:spacing w:before="0" w:after="0"/>
        <w:rPr>
          <w:rFonts w:ascii="Arial" w:hAnsi="Arial" w:cs="Arial"/>
        </w:rPr>
      </w:pPr>
    </w:p>
    <w:p w14:paraId="7C96D249" w14:textId="410E2BE3" w:rsidR="00586F5C" w:rsidRDefault="00586F5C" w:rsidP="00690847">
      <w:pPr>
        <w:spacing w:before="0" w:after="0"/>
        <w:rPr>
          <w:rFonts w:ascii="Arial" w:hAnsi="Arial" w:cs="Arial"/>
        </w:rPr>
      </w:pPr>
    </w:p>
    <w:p w14:paraId="57B6768F" w14:textId="0DEF36A7" w:rsidR="00586F5C" w:rsidRDefault="00586F5C" w:rsidP="00690847">
      <w:pPr>
        <w:spacing w:before="0" w:after="0"/>
        <w:rPr>
          <w:rFonts w:ascii="Arial" w:hAnsi="Arial" w:cs="Arial"/>
        </w:rPr>
      </w:pPr>
    </w:p>
    <w:p w14:paraId="2D104AF5" w14:textId="65186BDF" w:rsidR="00586F5C" w:rsidRDefault="00586F5C" w:rsidP="00690847">
      <w:pPr>
        <w:spacing w:before="0" w:after="0"/>
        <w:rPr>
          <w:rFonts w:ascii="Arial" w:hAnsi="Arial" w:cs="Arial"/>
        </w:rPr>
      </w:pPr>
    </w:p>
    <w:p w14:paraId="74EF462A" w14:textId="1A63B8A3" w:rsidR="00586F5C" w:rsidRDefault="00586F5C" w:rsidP="00690847">
      <w:pPr>
        <w:spacing w:before="0" w:after="0"/>
        <w:rPr>
          <w:rFonts w:ascii="Arial" w:hAnsi="Arial" w:cs="Arial"/>
        </w:rPr>
      </w:pPr>
    </w:p>
    <w:p w14:paraId="1E10BBBA" w14:textId="77777777" w:rsidR="00586F5C" w:rsidRPr="00586F5C" w:rsidRDefault="00586F5C" w:rsidP="00586F5C">
      <w:pPr>
        <w:rPr>
          <w:rFonts w:asciiTheme="minorBidi" w:eastAsiaTheme="minorHAnsi" w:hAnsiTheme="minorBidi" w:cstheme="minorBidi"/>
          <w:color w:val="1F4E79" w:themeColor="accent5" w:themeShade="80"/>
          <w:szCs w:val="24"/>
          <w:lang w:eastAsia="en-US"/>
        </w:rPr>
      </w:pPr>
    </w:p>
    <w:p w14:paraId="02FE98D4" w14:textId="77777777" w:rsidR="00586F5C" w:rsidRPr="00586F5C" w:rsidRDefault="00586F5C" w:rsidP="00586F5C">
      <w:pPr>
        <w:ind w:left="426"/>
        <w:rPr>
          <w:rFonts w:asciiTheme="minorBidi" w:eastAsiaTheme="minorHAnsi" w:hAnsiTheme="minorBidi" w:cstheme="minorBidi"/>
          <w:color w:val="1F4E79" w:themeColor="accent5" w:themeShade="80"/>
          <w:szCs w:val="24"/>
          <w:lang w:eastAsia="en-US"/>
        </w:rPr>
      </w:pPr>
      <w:r w:rsidRPr="00586F5C">
        <w:rPr>
          <w:rFonts w:asciiTheme="minorBidi" w:eastAsiaTheme="minorHAnsi" w:hAnsiTheme="minorBidi" w:cstheme="minorBidi"/>
          <w:noProof/>
          <w:color w:val="1F4E79" w:themeColor="accent5" w:themeShade="80"/>
          <w:szCs w:val="24"/>
        </w:rPr>
        <w:drawing>
          <wp:anchor distT="0" distB="0" distL="114300" distR="114300" simplePos="0" relativeHeight="251659776" behindDoc="0" locked="0" layoutInCell="1" allowOverlap="1" wp14:anchorId="4472CB1F" wp14:editId="02E74081">
            <wp:simplePos x="809625" y="600075"/>
            <wp:positionH relativeFrom="column">
              <wp:align>left</wp:align>
            </wp:positionH>
            <wp:positionV relativeFrom="paragraph">
              <wp:align>top</wp:align>
            </wp:positionV>
            <wp:extent cx="2215166" cy="1003748"/>
            <wp:effectExtent l="0" t="0" r="0" b="635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C_Logo_col.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15166" cy="1003748"/>
                    </a:xfrm>
                    <a:prstGeom prst="rect">
                      <a:avLst/>
                    </a:prstGeom>
                  </pic:spPr>
                </pic:pic>
              </a:graphicData>
            </a:graphic>
          </wp:anchor>
        </w:drawing>
      </w:r>
    </w:p>
    <w:p w14:paraId="7C39B0B6" w14:textId="77777777" w:rsidR="00586F5C" w:rsidRPr="00586F5C" w:rsidRDefault="00586F5C" w:rsidP="00586F5C">
      <w:pPr>
        <w:rPr>
          <w:rFonts w:asciiTheme="minorBidi" w:eastAsiaTheme="minorHAnsi" w:hAnsiTheme="minorBidi" w:cstheme="minorBidi"/>
          <w:color w:val="1F4E79" w:themeColor="accent5" w:themeShade="80"/>
          <w:szCs w:val="24"/>
          <w:lang w:eastAsia="en-US"/>
        </w:rPr>
      </w:pPr>
    </w:p>
    <w:p w14:paraId="4C3D430F" w14:textId="77777777" w:rsidR="00586F5C" w:rsidRPr="00586F5C" w:rsidRDefault="00586F5C" w:rsidP="00586F5C">
      <w:pPr>
        <w:ind w:left="426"/>
        <w:rPr>
          <w:rFonts w:asciiTheme="minorBidi" w:eastAsiaTheme="minorHAnsi" w:hAnsiTheme="minorBidi" w:cstheme="minorBidi"/>
          <w:color w:val="1F4E79" w:themeColor="accent5" w:themeShade="80"/>
          <w:szCs w:val="24"/>
          <w:lang w:eastAsia="en-US"/>
        </w:rPr>
      </w:pPr>
    </w:p>
    <w:p w14:paraId="426186F7" w14:textId="21138E8C" w:rsidR="00586F5C" w:rsidRPr="00586F5C" w:rsidRDefault="00586F5C" w:rsidP="00586F5C">
      <w:pPr>
        <w:ind w:left="426"/>
        <w:jc w:val="right"/>
        <w:rPr>
          <w:rFonts w:ascii="Arial" w:eastAsiaTheme="majorEastAsia" w:hAnsi="Arial" w:cstheme="majorBidi"/>
          <w:color w:val="1F4E79" w:themeColor="accent5" w:themeShade="80"/>
          <w:sz w:val="56"/>
          <w:szCs w:val="56"/>
          <w:lang w:eastAsia="en-US"/>
        </w:rPr>
      </w:pPr>
      <w:r w:rsidRPr="00586F5C">
        <w:rPr>
          <w:rFonts w:asciiTheme="minorBidi" w:eastAsiaTheme="minorHAnsi" w:hAnsiTheme="minorBidi" w:cstheme="minorBidi"/>
          <w:color w:val="1F4E79" w:themeColor="accent5" w:themeShade="80"/>
          <w:szCs w:val="24"/>
          <w:lang w:eastAsia="en-US"/>
        </w:rPr>
        <w:br w:type="textWrapping" w:clear="all"/>
      </w:r>
      <w:r w:rsidRPr="00586F5C">
        <w:rPr>
          <w:rFonts w:ascii="Arial" w:eastAsiaTheme="majorEastAsia" w:hAnsi="Arial" w:cstheme="majorBidi"/>
          <w:color w:val="1F4E79" w:themeColor="accent5" w:themeShade="80"/>
          <w:sz w:val="56"/>
          <w:szCs w:val="56"/>
          <w:lang w:eastAsia="en-US"/>
        </w:rPr>
        <w:t xml:space="preserve">Business, Employability &amp; Planning </w:t>
      </w:r>
    </w:p>
    <w:p w14:paraId="32839A1B" w14:textId="77777777" w:rsidR="00586F5C" w:rsidRPr="00586F5C" w:rsidRDefault="00586F5C" w:rsidP="00586F5C">
      <w:pPr>
        <w:keepNext/>
        <w:keepLines/>
        <w:spacing w:before="240" w:after="0"/>
        <w:ind w:right="821"/>
        <w:jc w:val="right"/>
        <w:outlineLvl w:val="0"/>
        <w:rPr>
          <w:rFonts w:ascii="Arial" w:eastAsiaTheme="majorEastAsia" w:hAnsi="Arial" w:cstheme="majorBidi"/>
          <w:color w:val="1F4E79" w:themeColor="accent5" w:themeShade="80"/>
          <w:sz w:val="56"/>
          <w:szCs w:val="56"/>
          <w:lang w:eastAsia="en-US"/>
        </w:rPr>
      </w:pPr>
      <w:r w:rsidRPr="00586F5C">
        <w:rPr>
          <w:rFonts w:ascii="Arial" w:eastAsiaTheme="majorEastAsia" w:hAnsi="Arial" w:cstheme="majorBidi"/>
          <w:color w:val="1F4E79" w:themeColor="accent5" w:themeShade="80"/>
          <w:sz w:val="56"/>
          <w:szCs w:val="56"/>
          <w:lang w:eastAsia="en-US"/>
        </w:rPr>
        <w:t>Performance Report</w:t>
      </w:r>
      <w:r w:rsidRPr="00586F5C">
        <w:rPr>
          <w:rFonts w:ascii="Arial" w:eastAsiaTheme="majorEastAsia" w:hAnsi="Arial" w:cstheme="majorBidi"/>
          <w:color w:val="1F4E79" w:themeColor="accent5" w:themeShade="80"/>
          <w:sz w:val="56"/>
          <w:szCs w:val="56"/>
          <w:lang w:eastAsia="en-US"/>
        </w:rPr>
        <w:br/>
        <w:t>2018/19</w:t>
      </w:r>
    </w:p>
    <w:tbl>
      <w:tblPr>
        <w:tblStyle w:val="TableGrid1"/>
        <w:tblW w:w="4997" w:type="pct"/>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Look w:val="04A0" w:firstRow="1" w:lastRow="0" w:firstColumn="1" w:lastColumn="0" w:noHBand="0" w:noVBand="1"/>
      </w:tblPr>
      <w:tblGrid>
        <w:gridCol w:w="4811"/>
        <w:gridCol w:w="4811"/>
      </w:tblGrid>
      <w:tr w:rsidR="00586F5C" w:rsidRPr="00586F5C" w14:paraId="11772F0E" w14:textId="77777777" w:rsidTr="003D36E0">
        <w:trPr>
          <w:trHeight w:val="8720"/>
        </w:trPr>
        <w:tc>
          <w:tcPr>
            <w:tcW w:w="2500" w:type="pct"/>
            <w:shd w:val="clear" w:color="auto" w:fill="auto"/>
          </w:tcPr>
          <w:p w14:paraId="7DBBD89E" w14:textId="77777777" w:rsidR="00586F5C" w:rsidRPr="00586F5C" w:rsidRDefault="00586F5C" w:rsidP="00586F5C">
            <w:pPr>
              <w:rPr>
                <w:rFonts w:ascii="Arial" w:eastAsiaTheme="minorHAnsi" w:hAnsi="Arial" w:cs="Arial"/>
                <w:color w:val="1F4E79" w:themeColor="accent5" w:themeShade="80"/>
                <w:sz w:val="22"/>
                <w:szCs w:val="22"/>
              </w:rPr>
            </w:pPr>
            <w:r w:rsidRPr="00586F5C">
              <w:rPr>
                <w:rFonts w:ascii="Arial" w:eastAsiaTheme="minorHAnsi" w:hAnsi="Arial" w:cs="Arial"/>
                <w:color w:val="1F4E79" w:themeColor="accent5" w:themeShade="80"/>
                <w:sz w:val="22"/>
                <w:szCs w:val="22"/>
              </w:rPr>
              <w:t>This report provides a strategic overview of performance against key indicators. We’ve worked hard to maintain and improve performance, and this year has seen several important achievements for Business, Employability &amp; Planning:</w:t>
            </w:r>
          </w:p>
          <w:p w14:paraId="2A722B4C" w14:textId="77777777" w:rsidR="00586F5C" w:rsidRPr="00586F5C" w:rsidRDefault="00586F5C" w:rsidP="00586F5C">
            <w:pPr>
              <w:rPr>
                <w:rFonts w:ascii="Arial" w:eastAsiaTheme="minorHAnsi" w:hAnsi="Arial" w:cs="Arial"/>
                <w:color w:val="1F4E79" w:themeColor="accent5" w:themeShade="80"/>
                <w:sz w:val="22"/>
                <w:szCs w:val="22"/>
              </w:rPr>
            </w:pPr>
          </w:p>
          <w:p w14:paraId="78F3CCDC" w14:textId="77777777" w:rsidR="00586F5C" w:rsidRPr="00586F5C" w:rsidRDefault="00586F5C" w:rsidP="00586F5C">
            <w:pPr>
              <w:numPr>
                <w:ilvl w:val="0"/>
                <w:numId w:val="31"/>
              </w:numPr>
              <w:spacing w:before="0" w:after="0"/>
              <w:contextualSpacing/>
              <w:rPr>
                <w:rFonts w:ascii="Arial" w:eastAsiaTheme="minorHAnsi" w:hAnsi="Arial" w:cs="Arial"/>
                <w:color w:val="1F4E79" w:themeColor="accent5" w:themeShade="80"/>
                <w:sz w:val="22"/>
                <w:szCs w:val="22"/>
              </w:rPr>
            </w:pPr>
            <w:r w:rsidRPr="00586F5C">
              <w:rPr>
                <w:rFonts w:ascii="Arial" w:eastAsiaTheme="minorHAnsi" w:hAnsi="Arial" w:cs="Arial"/>
                <w:color w:val="1F4E79" w:themeColor="accent5" w:themeShade="80"/>
                <w:sz w:val="22"/>
                <w:szCs w:val="22"/>
              </w:rPr>
              <w:t>Improvements in the time taken to determine local and minor planning applications within context of increased customer satisfaction.</w:t>
            </w:r>
          </w:p>
          <w:p w14:paraId="3C071459" w14:textId="77777777" w:rsidR="00586F5C" w:rsidRPr="00586F5C" w:rsidRDefault="00586F5C" w:rsidP="00586F5C">
            <w:pPr>
              <w:numPr>
                <w:ilvl w:val="0"/>
                <w:numId w:val="30"/>
              </w:numPr>
              <w:spacing w:before="0" w:after="0"/>
              <w:ind w:left="720"/>
              <w:contextualSpacing/>
              <w:rPr>
                <w:rFonts w:ascii="Arial" w:eastAsiaTheme="minorHAnsi" w:hAnsi="Arial" w:cs="Arial"/>
                <w:color w:val="1F4E79" w:themeColor="accent5" w:themeShade="80"/>
                <w:sz w:val="22"/>
                <w:szCs w:val="22"/>
              </w:rPr>
            </w:pPr>
          </w:p>
          <w:p w14:paraId="76A4810E" w14:textId="77777777" w:rsidR="00586F5C" w:rsidRPr="00586F5C" w:rsidRDefault="00586F5C" w:rsidP="00586F5C">
            <w:pPr>
              <w:numPr>
                <w:ilvl w:val="0"/>
                <w:numId w:val="31"/>
              </w:numPr>
              <w:spacing w:before="0" w:after="0"/>
              <w:contextualSpacing/>
              <w:rPr>
                <w:rFonts w:ascii="Arial" w:eastAsiaTheme="minorHAnsi" w:hAnsi="Arial" w:cs="Arial"/>
                <w:color w:val="1F4E79" w:themeColor="accent5" w:themeShade="80"/>
                <w:sz w:val="22"/>
                <w:szCs w:val="22"/>
              </w:rPr>
            </w:pPr>
            <w:r w:rsidRPr="00586F5C">
              <w:rPr>
                <w:rFonts w:ascii="Arial" w:eastAsiaTheme="minorHAnsi" w:hAnsi="Arial" w:cs="Arial"/>
                <w:color w:val="1F4E79" w:themeColor="accent5" w:themeShade="80"/>
                <w:sz w:val="22"/>
                <w:szCs w:val="22"/>
              </w:rPr>
              <w:t>Significant reduction in working days lost through supporting employees and providing additional training to managers. </w:t>
            </w:r>
          </w:p>
          <w:p w14:paraId="1FF7F76A" w14:textId="77777777" w:rsidR="00586F5C" w:rsidRPr="00586F5C" w:rsidRDefault="00586F5C" w:rsidP="00586F5C">
            <w:pPr>
              <w:numPr>
                <w:ilvl w:val="0"/>
                <w:numId w:val="30"/>
              </w:numPr>
              <w:spacing w:before="0" w:after="0"/>
              <w:ind w:left="720"/>
              <w:contextualSpacing/>
              <w:rPr>
                <w:rFonts w:ascii="Arial" w:eastAsiaTheme="minorHAnsi" w:hAnsi="Arial" w:cs="Arial"/>
                <w:color w:val="1F4E79" w:themeColor="accent5" w:themeShade="80"/>
                <w:sz w:val="22"/>
                <w:szCs w:val="22"/>
              </w:rPr>
            </w:pPr>
          </w:p>
          <w:p w14:paraId="06DB64C5" w14:textId="77777777" w:rsidR="00586F5C" w:rsidRPr="00586F5C" w:rsidRDefault="00586F5C" w:rsidP="00586F5C">
            <w:pPr>
              <w:numPr>
                <w:ilvl w:val="0"/>
                <w:numId w:val="30"/>
              </w:numPr>
              <w:spacing w:before="0" w:after="0"/>
              <w:ind w:left="720"/>
              <w:contextualSpacing/>
              <w:rPr>
                <w:rFonts w:ascii="Arial" w:eastAsiaTheme="minorHAnsi" w:hAnsi="Arial" w:cs="Arial"/>
                <w:color w:val="1F4E79" w:themeColor="accent5" w:themeShade="80"/>
                <w:sz w:val="22"/>
                <w:szCs w:val="22"/>
              </w:rPr>
            </w:pPr>
            <w:r w:rsidRPr="00586F5C">
              <w:rPr>
                <w:rFonts w:ascii="Arial" w:eastAsiaTheme="minorHAnsi" w:hAnsi="Arial" w:cs="Arial"/>
                <w:color w:val="1F4E79" w:themeColor="accent5" w:themeShade="80"/>
                <w:sz w:val="22"/>
                <w:szCs w:val="22"/>
              </w:rPr>
              <w:t xml:space="preserve">   </w:t>
            </w:r>
          </w:p>
          <w:p w14:paraId="29B58314" w14:textId="77777777" w:rsidR="00586F5C" w:rsidRPr="00586F5C" w:rsidRDefault="00586F5C" w:rsidP="00586F5C">
            <w:pPr>
              <w:numPr>
                <w:ilvl w:val="0"/>
                <w:numId w:val="31"/>
              </w:numPr>
              <w:spacing w:before="0" w:after="0"/>
              <w:contextualSpacing/>
              <w:rPr>
                <w:rFonts w:ascii="Arial" w:eastAsiaTheme="minorHAnsi" w:hAnsi="Arial" w:cs="Arial"/>
                <w:color w:val="1F4E79" w:themeColor="accent5" w:themeShade="80"/>
                <w:sz w:val="22"/>
                <w:szCs w:val="22"/>
              </w:rPr>
            </w:pPr>
            <w:r w:rsidRPr="00586F5C">
              <w:rPr>
                <w:rFonts w:ascii="Arial" w:eastAsiaTheme="minorHAnsi" w:hAnsi="Arial" w:cs="Arial"/>
                <w:color w:val="1F4E79" w:themeColor="accent5" w:themeShade="80"/>
                <w:sz w:val="22"/>
                <w:szCs w:val="22"/>
              </w:rPr>
              <w:t>In 2018/19, Fife Council was awarded ‘Most Enterprising Place in Britain, for its work and across partner agencies on developing a ‘Learning Journey’ for existing and future business leaders (including the Culture of Enterprise programme) in addition to highlighting the capital resources we have directed into industrial estate regeneration. It also highlighted the delivery of enterprise hubs, including one within Glenrothes.</w:t>
            </w:r>
          </w:p>
          <w:p w14:paraId="337261DF" w14:textId="77777777" w:rsidR="00586F5C" w:rsidRPr="00586F5C" w:rsidRDefault="00586F5C" w:rsidP="00586F5C">
            <w:pPr>
              <w:spacing w:before="0" w:after="0"/>
              <w:rPr>
                <w:rFonts w:ascii="Arial" w:eastAsiaTheme="minorHAnsi" w:hAnsi="Arial" w:cs="Arial"/>
                <w:color w:val="1F4E79" w:themeColor="accent5" w:themeShade="80"/>
                <w:sz w:val="22"/>
                <w:szCs w:val="22"/>
              </w:rPr>
            </w:pPr>
          </w:p>
          <w:p w14:paraId="4621660D" w14:textId="77777777" w:rsidR="00586F5C" w:rsidRPr="00586F5C" w:rsidRDefault="00586F5C" w:rsidP="00586F5C">
            <w:pPr>
              <w:rPr>
                <w:rFonts w:ascii="Arial" w:eastAsiaTheme="minorHAnsi" w:hAnsi="Arial" w:cs="Arial"/>
                <w:color w:val="1F4E79" w:themeColor="accent5" w:themeShade="80"/>
                <w:sz w:val="22"/>
                <w:szCs w:val="22"/>
              </w:rPr>
            </w:pPr>
          </w:p>
        </w:tc>
        <w:tc>
          <w:tcPr>
            <w:tcW w:w="2500" w:type="pct"/>
            <w:shd w:val="clear" w:color="auto" w:fill="auto"/>
          </w:tcPr>
          <w:p w14:paraId="0A54E9DA" w14:textId="065060A9" w:rsidR="00586F5C" w:rsidRPr="00586F5C" w:rsidRDefault="00586F5C" w:rsidP="00586F5C">
            <w:pPr>
              <w:rPr>
                <w:rFonts w:ascii="Arial" w:eastAsiaTheme="minorHAnsi" w:hAnsi="Arial" w:cs="Arial"/>
                <w:color w:val="1F4E79"/>
                <w:sz w:val="22"/>
                <w:szCs w:val="22"/>
              </w:rPr>
            </w:pPr>
            <w:r w:rsidRPr="00586F5C">
              <w:rPr>
                <w:rFonts w:ascii="Arial" w:eastAsiaTheme="minorHAnsi" w:hAnsi="Arial" w:cs="Arial"/>
                <w:color w:val="1F4E79"/>
                <w:sz w:val="22"/>
                <w:szCs w:val="22"/>
              </w:rPr>
              <w:t>However, we continue to face challenges:</w:t>
            </w:r>
          </w:p>
          <w:p w14:paraId="595CD9A1" w14:textId="77777777" w:rsidR="00586F5C" w:rsidRPr="00586F5C" w:rsidRDefault="00586F5C" w:rsidP="00586F5C">
            <w:pPr>
              <w:numPr>
                <w:ilvl w:val="0"/>
                <w:numId w:val="32"/>
              </w:numPr>
              <w:contextualSpacing/>
              <w:rPr>
                <w:rFonts w:ascii="Arial" w:eastAsiaTheme="minorHAnsi" w:hAnsi="Arial" w:cs="Arial"/>
                <w:color w:val="1F4E79"/>
                <w:sz w:val="22"/>
                <w:szCs w:val="22"/>
              </w:rPr>
            </w:pPr>
            <w:r w:rsidRPr="00586F5C">
              <w:rPr>
                <w:rFonts w:ascii="Arial" w:eastAsiaTheme="minorHAnsi" w:hAnsi="Arial" w:cs="Arial"/>
                <w:color w:val="1F4E79"/>
                <w:sz w:val="22"/>
                <w:szCs w:val="22"/>
              </w:rPr>
              <w:t>The new Planning (Scotland) Act places 49 new and unfunded duties on the Planning Authority. Further detail will be provided through secondary legislation when the financial impact will become clearer. The Royal Town Planning Institute published research (August 2019) setting out that the cost of implementation nationally is estimated at up to £59M.</w:t>
            </w:r>
          </w:p>
          <w:p w14:paraId="5A15E9DA" w14:textId="77777777" w:rsidR="00586F5C" w:rsidRPr="00586F5C" w:rsidRDefault="00586F5C" w:rsidP="00586F5C">
            <w:pPr>
              <w:numPr>
                <w:ilvl w:val="0"/>
                <w:numId w:val="30"/>
              </w:numPr>
              <w:ind w:left="720"/>
              <w:contextualSpacing/>
              <w:rPr>
                <w:rFonts w:ascii="Arial" w:eastAsiaTheme="minorHAnsi" w:hAnsi="Arial" w:cs="Arial"/>
                <w:color w:val="1F4E79"/>
                <w:sz w:val="22"/>
                <w:szCs w:val="22"/>
              </w:rPr>
            </w:pPr>
          </w:p>
          <w:p w14:paraId="15B92D69" w14:textId="77777777" w:rsidR="00586F5C" w:rsidRPr="00586F5C" w:rsidRDefault="00586F5C" w:rsidP="00586F5C">
            <w:pPr>
              <w:numPr>
                <w:ilvl w:val="0"/>
                <w:numId w:val="32"/>
              </w:numPr>
              <w:contextualSpacing/>
              <w:rPr>
                <w:rFonts w:ascii="Arial" w:eastAsiaTheme="minorHAnsi" w:hAnsi="Arial" w:cs="Arial"/>
                <w:color w:val="1F4E79"/>
                <w:sz w:val="22"/>
                <w:szCs w:val="22"/>
              </w:rPr>
            </w:pPr>
            <w:r w:rsidRPr="00586F5C">
              <w:rPr>
                <w:rFonts w:ascii="Arial" w:eastAsiaTheme="minorHAnsi" w:hAnsi="Arial" w:cs="Arial"/>
                <w:color w:val="1F4E79"/>
                <w:sz w:val="22"/>
                <w:szCs w:val="22"/>
              </w:rPr>
              <w:t>Resourcing of Regional Collaboration through strategic planning and City Deal has increased. A significant change in the later stage of the Planning Bill now requires Regional Spatial Strategies, at a time when the Service has delivered past savings relating to the proposed removal of Strategic Development Plans.</w:t>
            </w:r>
          </w:p>
          <w:p w14:paraId="7C0FC71E" w14:textId="77777777" w:rsidR="00586F5C" w:rsidRPr="00586F5C" w:rsidRDefault="00586F5C" w:rsidP="00586F5C">
            <w:pPr>
              <w:numPr>
                <w:ilvl w:val="0"/>
                <w:numId w:val="30"/>
              </w:numPr>
              <w:ind w:left="720"/>
              <w:contextualSpacing/>
              <w:rPr>
                <w:rFonts w:ascii="Arial" w:eastAsiaTheme="minorHAnsi" w:hAnsi="Arial" w:cs="Arial"/>
                <w:color w:val="1F4E79"/>
                <w:sz w:val="22"/>
                <w:szCs w:val="22"/>
              </w:rPr>
            </w:pPr>
          </w:p>
          <w:p w14:paraId="0456D006" w14:textId="77777777" w:rsidR="00586F5C" w:rsidRPr="00586F5C" w:rsidRDefault="00586F5C" w:rsidP="00586F5C">
            <w:pPr>
              <w:numPr>
                <w:ilvl w:val="0"/>
                <w:numId w:val="32"/>
              </w:numPr>
              <w:contextualSpacing/>
              <w:rPr>
                <w:rFonts w:ascii="Arial" w:eastAsiaTheme="minorHAnsi" w:hAnsi="Arial" w:cs="Arial"/>
                <w:b/>
                <w:color w:val="1F4E79"/>
                <w:sz w:val="22"/>
                <w:szCs w:val="22"/>
              </w:rPr>
            </w:pPr>
            <w:r w:rsidRPr="00586F5C">
              <w:rPr>
                <w:rFonts w:ascii="Arial" w:eastAsiaTheme="minorHAnsi" w:hAnsi="Arial" w:cs="Arial"/>
                <w:color w:val="1F4E79"/>
                <w:sz w:val="22"/>
                <w:szCs w:val="22"/>
              </w:rPr>
              <w:t>Fife’s Town Centres remain a significant challenge, particularly within Mid Fife, which experiences high vacancy rates for high street premises. With the confirmation of Scottish Government Town Centres funding of £4.335m in April 2019, the Council has commenced a programme of capital works for town centres. However, Fife is subject to national and international trends in declining high street businesses (including Debenhams and Thomas Cook) and requires continued prioritisation of economic and spatial approaches to investment and placemaking, including the diversification of town centre functions.</w:t>
            </w:r>
          </w:p>
        </w:tc>
      </w:tr>
    </w:tbl>
    <w:p w14:paraId="2454DA65" w14:textId="77777777" w:rsidR="00586F5C" w:rsidRPr="00586F5C" w:rsidRDefault="00586F5C" w:rsidP="00586F5C">
      <w:pPr>
        <w:spacing w:before="0" w:after="0"/>
        <w:rPr>
          <w:rFonts w:ascii="Arial" w:eastAsiaTheme="minorHAnsi" w:hAnsi="Arial" w:cs="Arial"/>
          <w:color w:val="1F4E79" w:themeColor="accent5" w:themeShade="80"/>
          <w:szCs w:val="24"/>
          <w:lang w:eastAsia="en-US"/>
        </w:rPr>
      </w:pPr>
      <w:r w:rsidRPr="00586F5C">
        <w:rPr>
          <w:rFonts w:asciiTheme="minorBidi" w:eastAsiaTheme="minorHAnsi" w:hAnsiTheme="minorBidi" w:cstheme="minorBidi"/>
          <w:color w:val="1F4E79" w:themeColor="accent5" w:themeShade="80"/>
          <w:szCs w:val="24"/>
          <w:lang w:eastAsia="en-US"/>
        </w:rPr>
        <w:br w:type="page"/>
      </w:r>
      <w:bookmarkStart w:id="5" w:name="_Hlk14182235"/>
      <w:r w:rsidRPr="00586F5C">
        <w:rPr>
          <w:rFonts w:ascii="Arial" w:eastAsiaTheme="minorHAnsi" w:hAnsi="Arial" w:cs="Arial"/>
          <w:color w:val="1F4E79" w:themeColor="accent5" w:themeShade="80"/>
          <w:sz w:val="56"/>
          <w:szCs w:val="56"/>
          <w:lang w:eastAsia="en-US"/>
        </w:rPr>
        <w:lastRenderedPageBreak/>
        <w:t>Customer</w:t>
      </w:r>
    </w:p>
    <w:tbl>
      <w:tblPr>
        <w:tblStyle w:val="TableGrid1"/>
        <w:tblW w:w="10632" w:type="dxa"/>
        <w:tblInd w:w="-5" w:type="dxa"/>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Layout w:type="fixed"/>
        <w:tblLook w:val="04A0" w:firstRow="1" w:lastRow="0" w:firstColumn="1" w:lastColumn="0" w:noHBand="0" w:noVBand="1"/>
      </w:tblPr>
      <w:tblGrid>
        <w:gridCol w:w="6237"/>
        <w:gridCol w:w="4395"/>
      </w:tblGrid>
      <w:tr w:rsidR="00586F5C" w:rsidRPr="00586F5C" w14:paraId="7A9C7B6B" w14:textId="77777777" w:rsidTr="003D36E0">
        <w:tc>
          <w:tcPr>
            <w:tcW w:w="6237" w:type="dxa"/>
            <w:shd w:val="clear" w:color="auto" w:fill="1F4E79" w:themeFill="accent5" w:themeFillShade="80"/>
            <w:vAlign w:val="center"/>
          </w:tcPr>
          <w:p w14:paraId="664B11E8" w14:textId="77777777" w:rsidR="00586F5C" w:rsidRPr="00586F5C" w:rsidRDefault="00586F5C" w:rsidP="00586F5C">
            <w:pPr>
              <w:jc w:val="center"/>
              <w:rPr>
                <w:rFonts w:ascii="Arial" w:eastAsiaTheme="minorHAnsi" w:hAnsi="Arial" w:cs="Arial"/>
                <w:b/>
                <w:bCs/>
                <w:color w:val="FFFFFF" w:themeColor="background1"/>
              </w:rPr>
            </w:pPr>
            <w:bookmarkStart w:id="6" w:name="_Hlk14170503"/>
            <w:bookmarkEnd w:id="5"/>
            <w:r w:rsidRPr="00586F5C">
              <w:rPr>
                <w:rFonts w:ascii="Arial" w:eastAsiaTheme="minorHAnsi" w:hAnsi="Arial" w:cs="Arial"/>
                <w:b/>
                <w:bCs/>
                <w:color w:val="FFFFFF" w:themeColor="background1"/>
              </w:rPr>
              <w:t>Performance</w:t>
            </w:r>
          </w:p>
        </w:tc>
        <w:tc>
          <w:tcPr>
            <w:tcW w:w="4395" w:type="dxa"/>
            <w:shd w:val="clear" w:color="auto" w:fill="1F4E79" w:themeFill="accent5" w:themeFillShade="80"/>
            <w:vAlign w:val="center"/>
          </w:tcPr>
          <w:p w14:paraId="68FADA7A" w14:textId="77777777" w:rsidR="00586F5C" w:rsidRPr="00586F5C" w:rsidRDefault="00586F5C" w:rsidP="00586F5C">
            <w:pPr>
              <w:jc w:val="center"/>
              <w:rPr>
                <w:rFonts w:ascii="Arial" w:eastAsiaTheme="minorHAnsi" w:hAnsi="Arial" w:cs="Arial"/>
                <w:b/>
                <w:bCs/>
                <w:color w:val="FFFFFF" w:themeColor="background1"/>
              </w:rPr>
            </w:pPr>
            <w:r w:rsidRPr="00586F5C">
              <w:rPr>
                <w:rFonts w:ascii="Arial" w:eastAsiaTheme="minorHAnsi" w:hAnsi="Arial" w:cs="Arial"/>
                <w:b/>
                <w:bCs/>
                <w:color w:val="FFFFFF" w:themeColor="background1"/>
              </w:rPr>
              <w:t>Progress</w:t>
            </w:r>
          </w:p>
        </w:tc>
      </w:tr>
      <w:bookmarkEnd w:id="6"/>
      <w:tr w:rsidR="00586F5C" w:rsidRPr="00586F5C" w14:paraId="7F372C4D" w14:textId="77777777" w:rsidTr="003D36E0">
        <w:trPr>
          <w:trHeight w:val="4204"/>
        </w:trPr>
        <w:tc>
          <w:tcPr>
            <w:tcW w:w="6237" w:type="dxa"/>
          </w:tcPr>
          <w:p w14:paraId="6037B6CC" w14:textId="77777777" w:rsidR="00586F5C" w:rsidRPr="00586F5C" w:rsidRDefault="00586F5C" w:rsidP="00586F5C">
            <w:pPr>
              <w:jc w:val="center"/>
              <w:rPr>
                <w:rFonts w:asciiTheme="minorBidi" w:eastAsiaTheme="minorHAnsi" w:hAnsiTheme="minorBidi"/>
                <w:color w:val="1F4E79" w:themeColor="accent5" w:themeShade="80"/>
              </w:rPr>
            </w:pPr>
            <w:r w:rsidRPr="00586F5C">
              <w:rPr>
                <w:rFonts w:asciiTheme="minorBidi" w:eastAsiaTheme="minorHAnsi" w:hAnsiTheme="minorBidi"/>
                <w:noProof/>
                <w:color w:val="1F4E79" w:themeColor="accent5" w:themeShade="80"/>
              </w:rPr>
              <w:drawing>
                <wp:inline distT="0" distB="0" distL="0" distR="0" wp14:anchorId="7CA238FA" wp14:editId="7670BDCA">
                  <wp:extent cx="3657600" cy="2285999"/>
                  <wp:effectExtent l="0" t="0" r="0" b="635"/>
                  <wp:docPr id="34" name="Chart 34">
                    <a:extLst xmlns:a="http://schemas.openxmlformats.org/drawingml/2006/main">
                      <a:ext uri="{FF2B5EF4-FFF2-40B4-BE49-F238E27FC236}">
                        <a16:creationId xmlns:a16="http://schemas.microsoft.com/office/drawing/2014/main" id="{B216E91B-D152-42FD-B82A-37DF11DA72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tc>
        <w:tc>
          <w:tcPr>
            <w:tcW w:w="4395" w:type="dxa"/>
            <w:vMerge w:val="restart"/>
          </w:tcPr>
          <w:p w14:paraId="546CA4EC" w14:textId="77777777" w:rsidR="00586F5C" w:rsidRPr="00586F5C" w:rsidRDefault="00586F5C" w:rsidP="00586F5C">
            <w:pPr>
              <w:rPr>
                <w:rFonts w:ascii="Arial" w:eastAsiaTheme="minorHAnsi" w:hAnsi="Arial" w:cs="Arial"/>
                <w:color w:val="1F4E79"/>
                <w:sz w:val="22"/>
                <w:szCs w:val="22"/>
              </w:rPr>
            </w:pPr>
            <w:r w:rsidRPr="00586F5C">
              <w:rPr>
                <w:rFonts w:ascii="Arial" w:eastAsiaTheme="minorHAnsi" w:hAnsi="Arial" w:cs="Arial"/>
                <w:color w:val="1F4E79"/>
                <w:sz w:val="22"/>
                <w:szCs w:val="22"/>
              </w:rPr>
              <w:t>A number of new initiatives have contributed to the increase in performance, including a digital solution (Planning to Start) which allows 24/7 engagement with Business Gateway’s start-up services, a young person’s start-up grant for under 30s looking to start a business in Fife and improved engagement with Fife College enterprise delivery. A realignment and increase in resources also mean that Business Gateway Fife now has 4 Advisers fully dedicated to supporting start-up and early stage growth businesses.</w:t>
            </w:r>
          </w:p>
          <w:p w14:paraId="66FFD264" w14:textId="77777777" w:rsidR="00586F5C" w:rsidRPr="00586F5C" w:rsidRDefault="00586F5C" w:rsidP="00586F5C">
            <w:pPr>
              <w:rPr>
                <w:rFonts w:ascii="Arial" w:eastAsiaTheme="minorHAnsi" w:hAnsi="Arial" w:cs="Arial"/>
                <w:color w:val="1F4E79"/>
                <w:sz w:val="22"/>
                <w:szCs w:val="22"/>
              </w:rPr>
            </w:pPr>
            <w:r w:rsidRPr="00586F5C">
              <w:rPr>
                <w:rFonts w:ascii="Arial" w:eastAsiaTheme="minorHAnsi" w:hAnsi="Arial" w:cs="Arial"/>
                <w:color w:val="1F4E79"/>
                <w:sz w:val="22"/>
                <w:szCs w:val="22"/>
              </w:rPr>
              <w:t>Looking at Business Gateway start-ups as a proportion of working age population shows an overall decline in Scottish average between 2014/15 and 2017/18 which has been more acute within Fife. The new initiatives taken forward by Business Gateway Fife have shown an improvement in performance over the past year (see above) that should be reflected in this indicator when the results for 2018/19 are published.</w:t>
            </w:r>
          </w:p>
        </w:tc>
      </w:tr>
      <w:tr w:rsidR="00586F5C" w:rsidRPr="00586F5C" w14:paraId="011E354B" w14:textId="77777777" w:rsidTr="003D36E0">
        <w:tc>
          <w:tcPr>
            <w:tcW w:w="6237" w:type="dxa"/>
            <w:shd w:val="clear" w:color="auto" w:fill="auto"/>
          </w:tcPr>
          <w:p w14:paraId="02AB8E59" w14:textId="77777777" w:rsidR="00586F5C" w:rsidRPr="00586F5C" w:rsidRDefault="00586F5C" w:rsidP="00586F5C">
            <w:pPr>
              <w:jc w:val="center"/>
              <w:rPr>
                <w:rFonts w:asciiTheme="minorBidi" w:eastAsiaTheme="minorHAnsi" w:hAnsiTheme="minorBidi"/>
                <w:noProof/>
                <w:color w:val="1F4E79" w:themeColor="accent5" w:themeShade="80"/>
              </w:rPr>
            </w:pPr>
            <w:r w:rsidRPr="00586F5C">
              <w:rPr>
                <w:rFonts w:asciiTheme="minorBidi" w:eastAsiaTheme="minorHAnsi" w:hAnsiTheme="minorBidi"/>
                <w:noProof/>
                <w:color w:val="1F4E79" w:themeColor="accent5" w:themeShade="80"/>
              </w:rPr>
              <w:drawing>
                <wp:inline distT="0" distB="0" distL="0" distR="0" wp14:anchorId="5E2DDF99" wp14:editId="20E7DC1B">
                  <wp:extent cx="3652838" cy="2090738"/>
                  <wp:effectExtent l="0" t="0" r="5080" b="5080"/>
                  <wp:docPr id="29" name="Chart 29">
                    <a:extLst xmlns:a="http://schemas.openxmlformats.org/drawingml/2006/main">
                      <a:ext uri="{FF2B5EF4-FFF2-40B4-BE49-F238E27FC236}">
                        <a16:creationId xmlns:a16="http://schemas.microsoft.com/office/drawing/2014/main" id="{42877C1F-79D8-4463-A79F-CEA19259D5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tc>
        <w:tc>
          <w:tcPr>
            <w:tcW w:w="4395" w:type="dxa"/>
            <w:vMerge/>
            <w:shd w:val="clear" w:color="auto" w:fill="FFC000"/>
          </w:tcPr>
          <w:p w14:paraId="0A808FED" w14:textId="77777777" w:rsidR="00586F5C" w:rsidRPr="00586F5C" w:rsidRDefault="00586F5C" w:rsidP="00586F5C">
            <w:pPr>
              <w:rPr>
                <w:rFonts w:ascii="Arial" w:eastAsiaTheme="minorHAnsi" w:hAnsi="Arial" w:cs="Arial"/>
                <w:color w:val="1F4E79"/>
                <w:sz w:val="22"/>
                <w:szCs w:val="22"/>
              </w:rPr>
            </w:pPr>
          </w:p>
        </w:tc>
      </w:tr>
      <w:tr w:rsidR="00586F5C" w:rsidRPr="00586F5C" w14:paraId="7078F036" w14:textId="77777777" w:rsidTr="003D36E0">
        <w:tc>
          <w:tcPr>
            <w:tcW w:w="6237" w:type="dxa"/>
            <w:shd w:val="clear" w:color="auto" w:fill="auto"/>
          </w:tcPr>
          <w:p w14:paraId="7EEF3F92" w14:textId="77777777" w:rsidR="00586F5C" w:rsidRPr="00586F5C" w:rsidRDefault="00586F5C" w:rsidP="00586F5C">
            <w:pPr>
              <w:jc w:val="center"/>
              <w:rPr>
                <w:rFonts w:asciiTheme="minorBidi" w:eastAsiaTheme="minorHAnsi" w:hAnsiTheme="minorBidi"/>
                <w:noProof/>
                <w:color w:val="1F4E79" w:themeColor="accent5" w:themeShade="80"/>
              </w:rPr>
            </w:pPr>
            <w:r w:rsidRPr="00586F5C">
              <w:rPr>
                <w:rFonts w:asciiTheme="minorBidi" w:eastAsiaTheme="minorHAnsi" w:hAnsiTheme="minorBidi"/>
                <w:noProof/>
                <w:color w:val="1F4E79" w:themeColor="accent5" w:themeShade="80"/>
              </w:rPr>
              <w:drawing>
                <wp:inline distT="0" distB="0" distL="0" distR="0" wp14:anchorId="79F3C462" wp14:editId="17C1D5DF">
                  <wp:extent cx="3652838" cy="2281238"/>
                  <wp:effectExtent l="0" t="0" r="5080" b="5080"/>
                  <wp:docPr id="30" name="Chart 30">
                    <a:extLst xmlns:a="http://schemas.openxmlformats.org/drawingml/2006/main">
                      <a:ext uri="{FF2B5EF4-FFF2-40B4-BE49-F238E27FC236}">
                        <a16:creationId xmlns:a16="http://schemas.microsoft.com/office/drawing/2014/main" id="{4E69E8EC-77D6-4291-92C7-2EAA77D202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tc>
        <w:tc>
          <w:tcPr>
            <w:tcW w:w="4395" w:type="dxa"/>
            <w:shd w:val="clear" w:color="auto" w:fill="auto"/>
          </w:tcPr>
          <w:p w14:paraId="3B66C3F9" w14:textId="77777777" w:rsidR="00586F5C" w:rsidRPr="00586F5C" w:rsidRDefault="00586F5C" w:rsidP="00586F5C">
            <w:pPr>
              <w:rPr>
                <w:rFonts w:ascii="Arial" w:eastAsiaTheme="minorHAnsi" w:hAnsi="Arial" w:cs="Arial"/>
                <w:color w:val="1F4E79"/>
                <w:sz w:val="22"/>
                <w:szCs w:val="22"/>
              </w:rPr>
            </w:pPr>
            <w:r w:rsidRPr="00586F5C">
              <w:rPr>
                <w:rFonts w:ascii="Arial" w:eastAsiaTheme="minorHAnsi" w:hAnsi="Arial" w:cs="Arial"/>
                <w:color w:val="1F4E79"/>
                <w:sz w:val="22"/>
                <w:szCs w:val="22"/>
              </w:rPr>
              <w:t>Looking at the wider overall total of business start-ups in Fife shows a significant improvement in the past four years, with Fife closing the gap on the Scottish average and is now tracking the national level of performance. This is a positive position for Fife, given that the bulk of entrepreneurial business start-up activity tends to be centred on major cities.</w:t>
            </w:r>
          </w:p>
        </w:tc>
      </w:tr>
    </w:tbl>
    <w:p w14:paraId="6AA42FC4" w14:textId="77777777" w:rsidR="00586F5C" w:rsidRPr="00586F5C" w:rsidRDefault="00586F5C" w:rsidP="00586F5C">
      <w:pPr>
        <w:rPr>
          <w:rFonts w:asciiTheme="minorBidi" w:eastAsiaTheme="minorHAnsi" w:hAnsiTheme="minorBidi" w:cstheme="minorBidi"/>
          <w:color w:val="1F4E79" w:themeColor="accent5" w:themeShade="80"/>
          <w:szCs w:val="24"/>
          <w:lang w:eastAsia="en-US"/>
        </w:rPr>
      </w:pPr>
    </w:p>
    <w:p w14:paraId="37C95EA0" w14:textId="77777777" w:rsidR="00586F5C" w:rsidRPr="00586F5C" w:rsidRDefault="00586F5C" w:rsidP="00586F5C">
      <w:pPr>
        <w:rPr>
          <w:rFonts w:asciiTheme="minorBidi" w:eastAsiaTheme="minorHAnsi" w:hAnsiTheme="minorBidi" w:cstheme="minorBidi"/>
          <w:color w:val="1F4E79" w:themeColor="accent5" w:themeShade="80"/>
          <w:szCs w:val="24"/>
          <w:lang w:eastAsia="en-US"/>
        </w:rPr>
      </w:pPr>
    </w:p>
    <w:p w14:paraId="433FF398" w14:textId="77777777" w:rsidR="00586F5C" w:rsidRPr="00586F5C" w:rsidRDefault="00586F5C" w:rsidP="00586F5C">
      <w:pPr>
        <w:rPr>
          <w:rFonts w:asciiTheme="minorBidi" w:eastAsiaTheme="minorHAnsi" w:hAnsiTheme="minorBidi" w:cstheme="minorBidi"/>
          <w:color w:val="1F4E79" w:themeColor="accent5" w:themeShade="80"/>
          <w:szCs w:val="24"/>
          <w:lang w:eastAsia="en-US"/>
        </w:rPr>
      </w:pPr>
    </w:p>
    <w:p w14:paraId="0770F566" w14:textId="77777777" w:rsidR="00586F5C" w:rsidRPr="00586F5C" w:rsidRDefault="00586F5C" w:rsidP="00586F5C">
      <w:pPr>
        <w:rPr>
          <w:rFonts w:asciiTheme="minorBidi" w:eastAsiaTheme="minorHAnsi" w:hAnsiTheme="minorBidi" w:cstheme="minorBidi"/>
          <w:color w:val="1F4E79" w:themeColor="accent5" w:themeShade="80"/>
          <w:szCs w:val="24"/>
          <w:lang w:eastAsia="en-US"/>
        </w:rPr>
      </w:pPr>
    </w:p>
    <w:p w14:paraId="23F47431" w14:textId="77777777" w:rsidR="00586F5C" w:rsidRPr="00586F5C" w:rsidRDefault="00586F5C" w:rsidP="00586F5C">
      <w:pPr>
        <w:spacing w:before="0" w:after="0"/>
        <w:rPr>
          <w:rFonts w:ascii="Arial" w:eastAsiaTheme="minorHAnsi" w:hAnsi="Arial" w:cs="Arial"/>
          <w:color w:val="1F4E79" w:themeColor="accent5" w:themeShade="80"/>
          <w:szCs w:val="24"/>
          <w:lang w:eastAsia="en-US"/>
        </w:rPr>
      </w:pPr>
      <w:r w:rsidRPr="00586F5C">
        <w:rPr>
          <w:rFonts w:ascii="Arial" w:eastAsiaTheme="minorHAnsi" w:hAnsi="Arial" w:cs="Arial"/>
          <w:color w:val="1F4E79" w:themeColor="accent5" w:themeShade="80"/>
          <w:sz w:val="56"/>
          <w:szCs w:val="56"/>
          <w:lang w:eastAsia="en-US"/>
        </w:rPr>
        <w:lastRenderedPageBreak/>
        <w:t>Customer - cont.</w:t>
      </w:r>
    </w:p>
    <w:tbl>
      <w:tblPr>
        <w:tblStyle w:val="TableGrid1"/>
        <w:tblW w:w="10632" w:type="dxa"/>
        <w:tblInd w:w="-5" w:type="dxa"/>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Layout w:type="fixed"/>
        <w:tblLook w:val="04A0" w:firstRow="1" w:lastRow="0" w:firstColumn="1" w:lastColumn="0" w:noHBand="0" w:noVBand="1"/>
      </w:tblPr>
      <w:tblGrid>
        <w:gridCol w:w="6237"/>
        <w:gridCol w:w="4395"/>
      </w:tblGrid>
      <w:tr w:rsidR="00586F5C" w:rsidRPr="00586F5C" w14:paraId="0B9A5451" w14:textId="77777777" w:rsidTr="003D36E0">
        <w:tc>
          <w:tcPr>
            <w:tcW w:w="6237" w:type="dxa"/>
            <w:shd w:val="clear" w:color="auto" w:fill="1F4E79" w:themeFill="accent5" w:themeFillShade="80"/>
            <w:vAlign w:val="center"/>
          </w:tcPr>
          <w:p w14:paraId="741A3FFC" w14:textId="77777777" w:rsidR="00586F5C" w:rsidRPr="00586F5C" w:rsidRDefault="00586F5C" w:rsidP="00586F5C">
            <w:pPr>
              <w:jc w:val="center"/>
              <w:rPr>
                <w:rFonts w:ascii="Arial" w:eastAsiaTheme="minorHAnsi" w:hAnsi="Arial" w:cs="Arial"/>
                <w:b/>
                <w:bCs/>
                <w:color w:val="FFFFFF" w:themeColor="background1"/>
              </w:rPr>
            </w:pPr>
            <w:r w:rsidRPr="00586F5C">
              <w:rPr>
                <w:rFonts w:ascii="Arial" w:eastAsiaTheme="minorHAnsi" w:hAnsi="Arial" w:cs="Arial"/>
                <w:b/>
                <w:bCs/>
                <w:color w:val="FFFFFF" w:themeColor="background1"/>
              </w:rPr>
              <w:t>Performance</w:t>
            </w:r>
          </w:p>
        </w:tc>
        <w:tc>
          <w:tcPr>
            <w:tcW w:w="4395" w:type="dxa"/>
            <w:shd w:val="clear" w:color="auto" w:fill="1F4E79" w:themeFill="accent5" w:themeFillShade="80"/>
            <w:vAlign w:val="center"/>
          </w:tcPr>
          <w:p w14:paraId="2E158BA0" w14:textId="77777777" w:rsidR="00586F5C" w:rsidRPr="00586F5C" w:rsidRDefault="00586F5C" w:rsidP="00586F5C">
            <w:pPr>
              <w:jc w:val="center"/>
              <w:rPr>
                <w:rFonts w:ascii="Arial" w:eastAsiaTheme="minorHAnsi" w:hAnsi="Arial" w:cs="Arial"/>
                <w:b/>
                <w:bCs/>
                <w:color w:val="FFFFFF" w:themeColor="background1"/>
              </w:rPr>
            </w:pPr>
            <w:r w:rsidRPr="00586F5C">
              <w:rPr>
                <w:rFonts w:ascii="Arial" w:eastAsiaTheme="minorHAnsi" w:hAnsi="Arial" w:cs="Arial"/>
                <w:b/>
                <w:bCs/>
                <w:color w:val="FFFFFF" w:themeColor="background1"/>
              </w:rPr>
              <w:t>Progress</w:t>
            </w:r>
          </w:p>
        </w:tc>
      </w:tr>
      <w:tr w:rsidR="00586F5C" w:rsidRPr="00586F5C" w14:paraId="51F47613" w14:textId="77777777" w:rsidTr="003D36E0">
        <w:tc>
          <w:tcPr>
            <w:tcW w:w="6237" w:type="dxa"/>
            <w:shd w:val="clear" w:color="auto" w:fill="auto"/>
          </w:tcPr>
          <w:p w14:paraId="3AA15D13" w14:textId="77777777" w:rsidR="00586F5C" w:rsidRPr="00586F5C" w:rsidRDefault="00586F5C" w:rsidP="00586F5C">
            <w:pPr>
              <w:jc w:val="center"/>
              <w:rPr>
                <w:rFonts w:asciiTheme="minorBidi" w:eastAsiaTheme="minorHAnsi" w:hAnsiTheme="minorBidi"/>
                <w:color w:val="1F4E79" w:themeColor="accent5" w:themeShade="80"/>
              </w:rPr>
            </w:pPr>
            <w:r w:rsidRPr="00586F5C">
              <w:rPr>
                <w:rFonts w:asciiTheme="minorBidi" w:eastAsiaTheme="minorHAnsi" w:hAnsiTheme="minorBidi"/>
                <w:noProof/>
                <w:color w:val="1F4E79" w:themeColor="accent5" w:themeShade="80"/>
              </w:rPr>
              <w:drawing>
                <wp:inline distT="0" distB="0" distL="0" distR="0" wp14:anchorId="02367FA4" wp14:editId="7FCB6FD2">
                  <wp:extent cx="3657600" cy="2281238"/>
                  <wp:effectExtent l="0" t="0" r="0" b="5080"/>
                  <wp:docPr id="9" name="Chart 9">
                    <a:extLst xmlns:a="http://schemas.openxmlformats.org/drawingml/2006/main">
                      <a:ext uri="{FF2B5EF4-FFF2-40B4-BE49-F238E27FC236}">
                        <a16:creationId xmlns:a16="http://schemas.microsoft.com/office/drawing/2014/main" id="{7981AE30-2300-48C0-8C4F-1932986C77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tc>
        <w:tc>
          <w:tcPr>
            <w:tcW w:w="4395" w:type="dxa"/>
          </w:tcPr>
          <w:p w14:paraId="5B7C7DD7" w14:textId="77777777" w:rsidR="00586F5C" w:rsidRPr="00586F5C" w:rsidRDefault="00586F5C" w:rsidP="00586F5C">
            <w:pPr>
              <w:rPr>
                <w:rFonts w:ascii="Arial" w:eastAsiaTheme="minorHAnsi" w:hAnsi="Arial" w:cs="Arial"/>
                <w:color w:val="1F4E79" w:themeColor="accent5" w:themeShade="80"/>
                <w:sz w:val="22"/>
                <w:szCs w:val="22"/>
              </w:rPr>
            </w:pPr>
            <w:r w:rsidRPr="00586F5C">
              <w:rPr>
                <w:rFonts w:ascii="Arial" w:eastAsia="Arial" w:hAnsi="Arial" w:cs="Arial"/>
                <w:color w:val="1F4E79" w:themeColor="accent5" w:themeShade="80"/>
                <w:sz w:val="22"/>
                <w:szCs w:val="22"/>
              </w:rPr>
              <w:t>After a slight drop between 2015 and 2016, the survival rate of new businesses in Fife plateaued 2016-2017, despite a fall in the Scottish survival rate over the same period. The Fife rate has been slightly better than the Scottish rate for the past 3 years, suggesting Fife’s businesses are more resilient than average.</w:t>
            </w:r>
          </w:p>
        </w:tc>
      </w:tr>
      <w:tr w:rsidR="00586F5C" w:rsidRPr="00586F5C" w14:paraId="47165526" w14:textId="77777777" w:rsidTr="003D36E0">
        <w:tc>
          <w:tcPr>
            <w:tcW w:w="6237" w:type="dxa"/>
            <w:shd w:val="clear" w:color="auto" w:fill="auto"/>
          </w:tcPr>
          <w:p w14:paraId="2A628FFE" w14:textId="77777777" w:rsidR="00586F5C" w:rsidRPr="00586F5C" w:rsidRDefault="00586F5C" w:rsidP="00586F5C">
            <w:pPr>
              <w:spacing w:before="360"/>
              <w:jc w:val="center"/>
              <w:rPr>
                <w:rFonts w:asciiTheme="minorBidi" w:eastAsiaTheme="minorHAnsi" w:hAnsiTheme="minorBidi"/>
                <w:noProof/>
                <w:color w:val="1F4E79" w:themeColor="accent5" w:themeShade="80"/>
              </w:rPr>
            </w:pPr>
            <w:r w:rsidRPr="00586F5C">
              <w:rPr>
                <w:rFonts w:asciiTheme="minorBidi" w:eastAsiaTheme="minorHAnsi" w:hAnsiTheme="minorBidi"/>
                <w:noProof/>
                <w:color w:val="1F4E79" w:themeColor="accent5" w:themeShade="80"/>
              </w:rPr>
              <w:drawing>
                <wp:inline distT="0" distB="0" distL="0" distR="0" wp14:anchorId="3A8DC2CD" wp14:editId="6B771873">
                  <wp:extent cx="3652838" cy="2281238"/>
                  <wp:effectExtent l="0" t="0" r="5080" b="5080"/>
                  <wp:docPr id="42" name="Chart 42">
                    <a:extLst xmlns:a="http://schemas.openxmlformats.org/drawingml/2006/main">
                      <a:ext uri="{FF2B5EF4-FFF2-40B4-BE49-F238E27FC236}">
                        <a16:creationId xmlns:a16="http://schemas.microsoft.com/office/drawing/2014/main" id="{00000000-0008-0000-01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c>
        <w:tc>
          <w:tcPr>
            <w:tcW w:w="4395" w:type="dxa"/>
            <w:shd w:val="clear" w:color="auto" w:fill="auto"/>
          </w:tcPr>
          <w:p w14:paraId="223ADBFE" w14:textId="77777777" w:rsidR="00586F5C" w:rsidRPr="00586F5C" w:rsidRDefault="00586F5C" w:rsidP="00586F5C">
            <w:pPr>
              <w:rPr>
                <w:rFonts w:ascii="Arial" w:eastAsiaTheme="minorHAnsi" w:hAnsi="Arial" w:cs="Arial"/>
                <w:color w:val="FF0000"/>
                <w:sz w:val="22"/>
                <w:szCs w:val="22"/>
              </w:rPr>
            </w:pPr>
            <w:r w:rsidRPr="00586F5C">
              <w:rPr>
                <w:rFonts w:ascii="Arial" w:eastAsiaTheme="minorHAnsi" w:hAnsi="Arial" w:cs="Arial"/>
                <w:color w:val="1F4E79" w:themeColor="accent5" w:themeShade="80"/>
                <w:sz w:val="22"/>
                <w:szCs w:val="22"/>
              </w:rPr>
              <w:t>979 businesses received support from the council’s economic development activities (down from 1,201 in 2017/18). The number of instances of support, and the number of businesses supported, have fallen partly since these figures no longer include support given through the Supplier Development Programme. A number of biennial conferences and events also did not take place this year.  The sectors receiving increased support were food &amp; drink, construction and IT.</w:t>
            </w:r>
          </w:p>
        </w:tc>
      </w:tr>
      <w:tr w:rsidR="00586F5C" w:rsidRPr="00586F5C" w14:paraId="480CDFD7" w14:textId="77777777" w:rsidTr="003D36E0">
        <w:tc>
          <w:tcPr>
            <w:tcW w:w="6237" w:type="dxa"/>
            <w:shd w:val="clear" w:color="auto" w:fill="auto"/>
          </w:tcPr>
          <w:p w14:paraId="3ECD5D49" w14:textId="77777777" w:rsidR="00586F5C" w:rsidRPr="00586F5C" w:rsidRDefault="00586F5C" w:rsidP="00586F5C">
            <w:pPr>
              <w:jc w:val="center"/>
              <w:rPr>
                <w:rFonts w:asciiTheme="minorBidi" w:eastAsiaTheme="minorHAnsi" w:hAnsiTheme="minorBidi"/>
                <w:noProof/>
                <w:color w:val="1F4E79" w:themeColor="accent5" w:themeShade="80"/>
              </w:rPr>
            </w:pPr>
            <w:r w:rsidRPr="00586F5C">
              <w:rPr>
                <w:rFonts w:asciiTheme="minorBidi" w:eastAsiaTheme="minorHAnsi" w:hAnsiTheme="minorBidi"/>
                <w:noProof/>
                <w:color w:val="1F4E79" w:themeColor="accent5" w:themeShade="80"/>
              </w:rPr>
              <w:drawing>
                <wp:inline distT="0" distB="0" distL="0" distR="0" wp14:anchorId="52F1D5C8" wp14:editId="22A349FA">
                  <wp:extent cx="3652838" cy="2281238"/>
                  <wp:effectExtent l="0" t="0" r="5080" b="5080"/>
                  <wp:docPr id="36" name="Chart 36">
                    <a:extLst xmlns:a="http://schemas.openxmlformats.org/drawingml/2006/main">
                      <a:ext uri="{FF2B5EF4-FFF2-40B4-BE49-F238E27FC236}">
                        <a16:creationId xmlns:a16="http://schemas.microsoft.com/office/drawing/2014/main" id="{00000000-0008-0000-01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c>
          <w:tcPr>
            <w:tcW w:w="4395" w:type="dxa"/>
            <w:shd w:val="clear" w:color="auto" w:fill="auto"/>
          </w:tcPr>
          <w:p w14:paraId="6780821F" w14:textId="77777777" w:rsidR="00586F5C" w:rsidRPr="00586F5C" w:rsidRDefault="00586F5C" w:rsidP="00586F5C">
            <w:pPr>
              <w:rPr>
                <w:rFonts w:asciiTheme="minorBidi" w:eastAsiaTheme="minorHAnsi" w:hAnsiTheme="minorBidi"/>
                <w:color w:val="FF0000"/>
                <w:sz w:val="22"/>
                <w:szCs w:val="22"/>
              </w:rPr>
            </w:pPr>
            <w:r w:rsidRPr="00586F5C">
              <w:rPr>
                <w:rFonts w:ascii="Arial" w:eastAsiaTheme="minorHAnsi" w:hAnsi="Arial" w:cs="Arial"/>
                <w:color w:val="1F4E79" w:themeColor="accent5" w:themeShade="80"/>
                <w:sz w:val="22"/>
                <w:szCs w:val="22"/>
              </w:rPr>
              <w:t>Film tourism continues to draw significant numbers of visitors to the Kingdom with popular TV Shows and movies such as Outlander, Outlaw King and Mary Queen of Scots have grabbed global interest. There is a clear appetite for visitors coming to Fife as a tourist destination further marked by a 76% increase of users to welcometofife.com, coupled with reaching over eight million people internationally through Welcome to Fife’s ‘Fife Five’ campaign.</w:t>
            </w:r>
            <w:r w:rsidRPr="00586F5C">
              <w:rPr>
                <w:rFonts w:asciiTheme="minorBidi" w:eastAsiaTheme="minorHAnsi" w:hAnsiTheme="minorBidi"/>
                <w:color w:val="1F4E79"/>
                <w:sz w:val="22"/>
                <w:szCs w:val="22"/>
              </w:rPr>
              <w:t xml:space="preserve">  </w:t>
            </w:r>
          </w:p>
        </w:tc>
      </w:tr>
    </w:tbl>
    <w:p w14:paraId="30F40942" w14:textId="77777777" w:rsidR="00586F5C" w:rsidRPr="00586F5C" w:rsidRDefault="00586F5C" w:rsidP="00586F5C">
      <w:pPr>
        <w:rPr>
          <w:rFonts w:asciiTheme="minorBidi" w:eastAsiaTheme="minorHAnsi" w:hAnsiTheme="minorBidi" w:cstheme="minorBidi"/>
          <w:color w:val="1F4E79" w:themeColor="accent5" w:themeShade="80"/>
          <w:szCs w:val="24"/>
          <w:lang w:eastAsia="en-US"/>
        </w:rPr>
      </w:pPr>
    </w:p>
    <w:p w14:paraId="1D13EDC3" w14:textId="77777777" w:rsidR="00586F5C" w:rsidRPr="00586F5C" w:rsidRDefault="00586F5C" w:rsidP="00586F5C">
      <w:pPr>
        <w:rPr>
          <w:rFonts w:asciiTheme="minorBidi" w:eastAsiaTheme="minorHAnsi" w:hAnsiTheme="minorBidi" w:cstheme="minorBidi"/>
          <w:color w:val="1F4E79" w:themeColor="accent5" w:themeShade="80"/>
          <w:szCs w:val="24"/>
          <w:lang w:eastAsia="en-US"/>
        </w:rPr>
      </w:pPr>
    </w:p>
    <w:p w14:paraId="209521F1" w14:textId="77777777" w:rsidR="00586F5C" w:rsidRPr="00586F5C" w:rsidRDefault="00586F5C" w:rsidP="00586F5C">
      <w:pPr>
        <w:rPr>
          <w:rFonts w:asciiTheme="minorBidi" w:eastAsiaTheme="minorHAnsi" w:hAnsiTheme="minorBidi" w:cstheme="minorBidi"/>
          <w:color w:val="1F4E79" w:themeColor="accent5" w:themeShade="80"/>
          <w:szCs w:val="24"/>
          <w:lang w:eastAsia="en-US"/>
        </w:rPr>
      </w:pPr>
    </w:p>
    <w:p w14:paraId="7EE04BA3" w14:textId="77777777" w:rsidR="00586F5C" w:rsidRPr="00586F5C" w:rsidRDefault="00586F5C" w:rsidP="00586F5C">
      <w:pPr>
        <w:spacing w:before="0" w:after="0"/>
        <w:rPr>
          <w:rFonts w:ascii="Arial" w:eastAsiaTheme="minorHAnsi" w:hAnsi="Arial" w:cs="Arial"/>
          <w:color w:val="1F4E79" w:themeColor="accent5" w:themeShade="80"/>
          <w:szCs w:val="24"/>
          <w:lang w:eastAsia="en-US"/>
        </w:rPr>
      </w:pPr>
      <w:bookmarkStart w:id="7" w:name="_Hlk19797744"/>
      <w:r w:rsidRPr="00586F5C">
        <w:rPr>
          <w:rFonts w:ascii="Arial" w:eastAsiaTheme="minorHAnsi" w:hAnsi="Arial" w:cs="Arial"/>
          <w:color w:val="1F4E79" w:themeColor="accent5" w:themeShade="80"/>
          <w:sz w:val="56"/>
          <w:szCs w:val="56"/>
          <w:lang w:eastAsia="en-US"/>
        </w:rPr>
        <w:lastRenderedPageBreak/>
        <w:t>Customer - cont.</w:t>
      </w:r>
    </w:p>
    <w:tbl>
      <w:tblPr>
        <w:tblStyle w:val="TableGrid1"/>
        <w:tblW w:w="10632" w:type="dxa"/>
        <w:tblInd w:w="-5" w:type="dxa"/>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Layout w:type="fixed"/>
        <w:tblLook w:val="04A0" w:firstRow="1" w:lastRow="0" w:firstColumn="1" w:lastColumn="0" w:noHBand="0" w:noVBand="1"/>
      </w:tblPr>
      <w:tblGrid>
        <w:gridCol w:w="6237"/>
        <w:gridCol w:w="4395"/>
      </w:tblGrid>
      <w:tr w:rsidR="00586F5C" w:rsidRPr="00586F5C" w14:paraId="66C0F81A" w14:textId="77777777" w:rsidTr="003D36E0">
        <w:tc>
          <w:tcPr>
            <w:tcW w:w="6237" w:type="dxa"/>
            <w:shd w:val="clear" w:color="auto" w:fill="1F4E79" w:themeFill="accent5" w:themeFillShade="80"/>
            <w:vAlign w:val="center"/>
          </w:tcPr>
          <w:p w14:paraId="7DC29BC8" w14:textId="77777777" w:rsidR="00586F5C" w:rsidRPr="00586F5C" w:rsidRDefault="00586F5C" w:rsidP="00586F5C">
            <w:pPr>
              <w:jc w:val="center"/>
              <w:rPr>
                <w:rFonts w:ascii="Arial" w:eastAsiaTheme="minorHAnsi" w:hAnsi="Arial" w:cs="Arial"/>
                <w:b/>
                <w:bCs/>
                <w:color w:val="FFFFFF" w:themeColor="background1"/>
              </w:rPr>
            </w:pPr>
            <w:bookmarkStart w:id="8" w:name="_Hlk19878700"/>
            <w:r w:rsidRPr="00586F5C">
              <w:rPr>
                <w:rFonts w:ascii="Arial" w:eastAsiaTheme="minorHAnsi" w:hAnsi="Arial" w:cs="Arial"/>
                <w:b/>
                <w:bCs/>
                <w:color w:val="FFFFFF" w:themeColor="background1"/>
              </w:rPr>
              <w:t>Performance</w:t>
            </w:r>
          </w:p>
        </w:tc>
        <w:tc>
          <w:tcPr>
            <w:tcW w:w="4395" w:type="dxa"/>
            <w:shd w:val="clear" w:color="auto" w:fill="1F4E79" w:themeFill="accent5" w:themeFillShade="80"/>
            <w:vAlign w:val="center"/>
          </w:tcPr>
          <w:p w14:paraId="2DDF3354" w14:textId="77777777" w:rsidR="00586F5C" w:rsidRPr="00586F5C" w:rsidRDefault="00586F5C" w:rsidP="00586F5C">
            <w:pPr>
              <w:jc w:val="center"/>
              <w:rPr>
                <w:rFonts w:ascii="Arial" w:eastAsiaTheme="minorHAnsi" w:hAnsi="Arial" w:cs="Arial"/>
                <w:b/>
                <w:bCs/>
                <w:color w:val="FFFFFF" w:themeColor="background1"/>
              </w:rPr>
            </w:pPr>
            <w:r w:rsidRPr="00586F5C">
              <w:rPr>
                <w:rFonts w:ascii="Arial" w:eastAsiaTheme="minorHAnsi" w:hAnsi="Arial" w:cs="Arial"/>
                <w:b/>
                <w:bCs/>
                <w:color w:val="FFFFFF" w:themeColor="background1"/>
              </w:rPr>
              <w:t>Progress</w:t>
            </w:r>
          </w:p>
        </w:tc>
      </w:tr>
      <w:bookmarkEnd w:id="7"/>
      <w:tr w:rsidR="00586F5C" w:rsidRPr="00586F5C" w14:paraId="52BBA1AD" w14:textId="77777777" w:rsidTr="003D36E0">
        <w:tc>
          <w:tcPr>
            <w:tcW w:w="6237" w:type="dxa"/>
            <w:shd w:val="clear" w:color="auto" w:fill="auto"/>
          </w:tcPr>
          <w:p w14:paraId="13FAEE71" w14:textId="77777777" w:rsidR="00586F5C" w:rsidRPr="00586F5C" w:rsidRDefault="00586F5C" w:rsidP="00586F5C">
            <w:pPr>
              <w:jc w:val="center"/>
              <w:rPr>
                <w:rFonts w:asciiTheme="minorBidi" w:eastAsiaTheme="minorHAnsi" w:hAnsiTheme="minorBidi"/>
                <w:noProof/>
                <w:color w:val="1F4E79" w:themeColor="accent5" w:themeShade="80"/>
              </w:rPr>
            </w:pPr>
            <w:r w:rsidRPr="00586F5C">
              <w:rPr>
                <w:rFonts w:asciiTheme="minorBidi" w:eastAsiaTheme="minorHAnsi" w:hAnsiTheme="minorBidi"/>
                <w:noProof/>
                <w:color w:val="1F4E79" w:themeColor="accent5" w:themeShade="80"/>
              </w:rPr>
              <w:drawing>
                <wp:inline distT="0" distB="0" distL="0" distR="0" wp14:anchorId="6D59BA02" wp14:editId="2641D5CA">
                  <wp:extent cx="3662363" cy="2290763"/>
                  <wp:effectExtent l="0" t="0" r="14605" b="14605"/>
                  <wp:docPr id="46" name="Chart 46">
                    <a:extLst xmlns:a="http://schemas.openxmlformats.org/drawingml/2006/main">
                      <a:ext uri="{FF2B5EF4-FFF2-40B4-BE49-F238E27FC236}">
                        <a16:creationId xmlns:a16="http://schemas.microsoft.com/office/drawing/2014/main" id="{28EF6214-3C8B-4F9C-AB86-103E183D20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c>
        <w:tc>
          <w:tcPr>
            <w:tcW w:w="4395" w:type="dxa"/>
            <w:shd w:val="clear" w:color="auto" w:fill="auto"/>
          </w:tcPr>
          <w:p w14:paraId="1C9A153B" w14:textId="77777777" w:rsidR="00586F5C" w:rsidRPr="00586F5C" w:rsidRDefault="00586F5C" w:rsidP="00586F5C">
            <w:pPr>
              <w:rPr>
                <w:rFonts w:ascii="Arial" w:eastAsiaTheme="minorHAnsi" w:hAnsi="Arial" w:cs="Arial"/>
                <w:color w:val="1F4E79"/>
                <w:sz w:val="22"/>
                <w:szCs w:val="22"/>
              </w:rPr>
            </w:pPr>
            <w:r w:rsidRPr="00586F5C">
              <w:rPr>
                <w:rFonts w:ascii="Arial" w:eastAsiaTheme="minorHAnsi" w:hAnsi="Arial" w:cs="Arial"/>
                <w:color w:val="1F4E79"/>
                <w:sz w:val="22"/>
                <w:szCs w:val="22"/>
              </w:rPr>
              <w:t>Completed data for all employability programmes in 2018/19 has been delayed due to problems with some national systems.</w:t>
            </w:r>
          </w:p>
          <w:p w14:paraId="5E2D4A67" w14:textId="77777777" w:rsidR="00586F5C" w:rsidRPr="00586F5C" w:rsidRDefault="00586F5C" w:rsidP="00586F5C">
            <w:pPr>
              <w:rPr>
                <w:rFonts w:ascii="Arial" w:eastAsiaTheme="minorHAnsi" w:hAnsi="Arial" w:cs="Arial"/>
                <w:color w:val="1F4E79"/>
                <w:sz w:val="22"/>
                <w:szCs w:val="22"/>
              </w:rPr>
            </w:pPr>
            <w:r w:rsidRPr="00586F5C">
              <w:rPr>
                <w:rFonts w:ascii="Arial" w:eastAsiaTheme="minorHAnsi" w:hAnsi="Arial" w:cs="Arial"/>
                <w:color w:val="1F4E79"/>
                <w:sz w:val="22"/>
                <w:szCs w:val="22"/>
              </w:rPr>
              <w:t xml:space="preserve">However, the data that is available for 2018/19, shows that it has been a great year for Opportunities Fife Partnership programmes funded by the European Social Fund.  The Partnership supported 863 out of 1917 registered people into employment, which is a 45% conversion rate. </w:t>
            </w:r>
          </w:p>
          <w:p w14:paraId="42806551" w14:textId="76145926" w:rsidR="00586F5C" w:rsidRPr="00586F5C" w:rsidRDefault="00586F5C" w:rsidP="001D1617">
            <w:pPr>
              <w:rPr>
                <w:rFonts w:asciiTheme="minorBidi" w:eastAsiaTheme="minorHAnsi" w:hAnsiTheme="minorBidi"/>
                <w:color w:val="1F4E79"/>
                <w:sz w:val="22"/>
                <w:szCs w:val="22"/>
              </w:rPr>
            </w:pPr>
            <w:r w:rsidRPr="00586F5C">
              <w:rPr>
                <w:rFonts w:ascii="Arial" w:eastAsiaTheme="minorHAnsi" w:hAnsi="Arial" w:cs="Arial"/>
                <w:color w:val="1F4E79"/>
                <w:sz w:val="22"/>
                <w:szCs w:val="22"/>
              </w:rPr>
              <w:t xml:space="preserve">For the 4 years between 2015 and 2019 we supported 9681 people and got 3645 into work which is a conversion rate of 38% overall.  </w:t>
            </w:r>
          </w:p>
        </w:tc>
      </w:tr>
      <w:bookmarkEnd w:id="8"/>
      <w:tr w:rsidR="00586F5C" w:rsidRPr="00586F5C" w14:paraId="3BF420DE" w14:textId="77777777" w:rsidTr="003D36E0">
        <w:tc>
          <w:tcPr>
            <w:tcW w:w="6237" w:type="dxa"/>
          </w:tcPr>
          <w:p w14:paraId="03364E1B" w14:textId="77777777" w:rsidR="00586F5C" w:rsidRPr="00586F5C" w:rsidRDefault="00586F5C" w:rsidP="00586F5C">
            <w:pPr>
              <w:jc w:val="center"/>
              <w:rPr>
                <w:rFonts w:asciiTheme="minorBidi" w:eastAsiaTheme="minorHAnsi" w:hAnsiTheme="minorBidi"/>
                <w:noProof/>
                <w:color w:val="1F4E79" w:themeColor="accent5" w:themeShade="80"/>
              </w:rPr>
            </w:pPr>
            <w:r w:rsidRPr="00586F5C">
              <w:rPr>
                <w:rFonts w:asciiTheme="minorBidi" w:eastAsiaTheme="minorHAnsi" w:hAnsiTheme="minorBidi"/>
                <w:noProof/>
                <w:color w:val="1F4E79" w:themeColor="accent5" w:themeShade="80"/>
              </w:rPr>
              <w:drawing>
                <wp:inline distT="0" distB="0" distL="0" distR="0" wp14:anchorId="46B371FC" wp14:editId="25DE76B6">
                  <wp:extent cx="3662045" cy="1571625"/>
                  <wp:effectExtent l="0" t="0" r="14605" b="9525"/>
                  <wp:docPr id="7" name="Chart 7">
                    <a:extLst xmlns:a="http://schemas.openxmlformats.org/drawingml/2006/main">
                      <a:ext uri="{FF2B5EF4-FFF2-40B4-BE49-F238E27FC236}">
                        <a16:creationId xmlns:a16="http://schemas.microsoft.com/office/drawing/2014/main" id="{C165D299-75EF-44CA-A1A4-F165D31AAD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c>
          <w:tcPr>
            <w:tcW w:w="4395" w:type="dxa"/>
          </w:tcPr>
          <w:p w14:paraId="555F16A2" w14:textId="77777777" w:rsidR="00586F5C" w:rsidRPr="00586F5C" w:rsidRDefault="00586F5C" w:rsidP="00586F5C">
            <w:pPr>
              <w:rPr>
                <w:rFonts w:asciiTheme="minorBidi" w:eastAsiaTheme="minorHAnsi" w:hAnsiTheme="minorBidi"/>
                <w:color w:val="1F4E79"/>
                <w:sz w:val="22"/>
                <w:szCs w:val="22"/>
              </w:rPr>
            </w:pPr>
            <w:r w:rsidRPr="00586F5C">
              <w:rPr>
                <w:rFonts w:ascii="Arial" w:eastAsia="Arial" w:hAnsi="Arial" w:cs="Arial"/>
                <w:color w:val="1F4E79"/>
                <w:sz w:val="22"/>
                <w:szCs w:val="22"/>
              </w:rPr>
              <w:t>Our continued focus on using customer feedback from a variety of sources to inform continuous improvements is generating a gradual increase in customer satisfaction levels</w:t>
            </w:r>
            <w:r w:rsidRPr="00586F5C">
              <w:rPr>
                <w:rFonts w:asciiTheme="minorBidi" w:eastAsiaTheme="minorHAnsi" w:hAnsiTheme="minorBidi"/>
                <w:color w:val="1F4E79"/>
                <w:sz w:val="22"/>
                <w:szCs w:val="22"/>
              </w:rPr>
              <w:t>.</w:t>
            </w:r>
          </w:p>
        </w:tc>
      </w:tr>
      <w:tr w:rsidR="00586F5C" w:rsidRPr="00586F5C" w14:paraId="781C5D02" w14:textId="77777777" w:rsidTr="003D36E0">
        <w:tc>
          <w:tcPr>
            <w:tcW w:w="6237" w:type="dxa"/>
            <w:shd w:val="clear" w:color="auto" w:fill="auto"/>
          </w:tcPr>
          <w:p w14:paraId="0ECDF0F9" w14:textId="77777777" w:rsidR="00586F5C" w:rsidRPr="00586F5C" w:rsidRDefault="00586F5C" w:rsidP="00586F5C">
            <w:pPr>
              <w:jc w:val="center"/>
              <w:rPr>
                <w:rFonts w:asciiTheme="minorBidi" w:eastAsiaTheme="minorHAnsi" w:hAnsiTheme="minorBidi"/>
                <w:noProof/>
                <w:color w:val="1F4E79" w:themeColor="accent5" w:themeShade="80"/>
              </w:rPr>
            </w:pPr>
            <w:bookmarkStart w:id="9" w:name="_Hlk19868084"/>
            <w:bookmarkStart w:id="10" w:name="_Hlk19868123"/>
            <w:r w:rsidRPr="00586F5C">
              <w:rPr>
                <w:rFonts w:asciiTheme="minorBidi" w:eastAsiaTheme="minorHAnsi" w:hAnsiTheme="minorBidi"/>
                <w:noProof/>
                <w:color w:val="1F4E79" w:themeColor="accent5" w:themeShade="80"/>
              </w:rPr>
              <w:drawing>
                <wp:inline distT="0" distB="0" distL="0" distR="0" wp14:anchorId="4DB2B767" wp14:editId="41DD0FBB">
                  <wp:extent cx="3652520" cy="1752600"/>
                  <wp:effectExtent l="0" t="0" r="5080" b="0"/>
                  <wp:docPr id="2" name="Chart 2">
                    <a:extLst xmlns:a="http://schemas.openxmlformats.org/drawingml/2006/main">
                      <a:ext uri="{FF2B5EF4-FFF2-40B4-BE49-F238E27FC236}">
                        <a16:creationId xmlns:a16="http://schemas.microsoft.com/office/drawing/2014/main" id="{A4F36989-7D98-470A-BB33-78A9440658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c>
          <w:tcPr>
            <w:tcW w:w="4395" w:type="dxa"/>
            <w:vMerge w:val="restart"/>
            <w:shd w:val="clear" w:color="auto" w:fill="auto"/>
          </w:tcPr>
          <w:p w14:paraId="0DA249E4" w14:textId="77777777" w:rsidR="00586F5C" w:rsidRPr="00586F5C" w:rsidRDefault="00586F5C" w:rsidP="00586F5C">
            <w:pPr>
              <w:rPr>
                <w:rFonts w:ascii="Arial" w:eastAsia="Arial" w:hAnsi="Arial" w:cs="Arial"/>
                <w:color w:val="1F4E79"/>
                <w:sz w:val="22"/>
                <w:szCs w:val="22"/>
              </w:rPr>
            </w:pPr>
            <w:r w:rsidRPr="00586F5C">
              <w:rPr>
                <w:rFonts w:ascii="Arial" w:eastAsia="Arial" w:hAnsi="Arial" w:cs="Arial"/>
                <w:color w:val="1F4E79"/>
                <w:sz w:val="22"/>
                <w:szCs w:val="22"/>
              </w:rPr>
              <w:t>A number of complex Stage 1 &amp; 2 planning complaints have been responded to which have necessitated an extension in time. Whilst agreed with the complainant, this does trigger not meeting the target date.</w:t>
            </w:r>
          </w:p>
          <w:p w14:paraId="25F9639B" w14:textId="77777777" w:rsidR="00586F5C" w:rsidRPr="00586F5C" w:rsidRDefault="00586F5C" w:rsidP="00586F5C">
            <w:pPr>
              <w:rPr>
                <w:rFonts w:ascii="Arial" w:eastAsia="Arial" w:hAnsi="Arial" w:cs="Arial"/>
                <w:b/>
                <w:color w:val="1F4E79"/>
                <w:sz w:val="22"/>
                <w:szCs w:val="22"/>
              </w:rPr>
            </w:pPr>
          </w:p>
          <w:p w14:paraId="6B6EF87D" w14:textId="77777777" w:rsidR="00586F5C" w:rsidRPr="00586F5C" w:rsidRDefault="00586F5C" w:rsidP="00586F5C">
            <w:pPr>
              <w:rPr>
                <w:rFonts w:ascii="Arial" w:eastAsia="Arial" w:hAnsi="Arial" w:cs="Arial"/>
                <w:color w:val="1F4E79"/>
                <w:sz w:val="22"/>
                <w:szCs w:val="22"/>
              </w:rPr>
            </w:pPr>
            <w:r w:rsidRPr="00586F5C">
              <w:rPr>
                <w:rFonts w:ascii="Arial" w:eastAsia="Arial" w:hAnsi="Arial" w:cs="Arial"/>
                <w:color w:val="1F4E79"/>
                <w:sz w:val="22"/>
                <w:szCs w:val="22"/>
              </w:rPr>
              <w:t xml:space="preserve">Business and employability had no stage 1 complaints and one stage 2 complaint. </w:t>
            </w:r>
          </w:p>
          <w:p w14:paraId="1B3FC2AE" w14:textId="77777777" w:rsidR="00586F5C" w:rsidRPr="00586F5C" w:rsidRDefault="00586F5C" w:rsidP="00586F5C">
            <w:pPr>
              <w:rPr>
                <w:rFonts w:ascii="Arial" w:eastAsia="Arial" w:hAnsi="Arial" w:cs="Arial"/>
                <w:b/>
                <w:color w:val="1F4E79"/>
                <w:sz w:val="22"/>
                <w:szCs w:val="22"/>
              </w:rPr>
            </w:pPr>
          </w:p>
        </w:tc>
      </w:tr>
      <w:bookmarkEnd w:id="10"/>
      <w:tr w:rsidR="00586F5C" w:rsidRPr="00586F5C" w14:paraId="31026BC2" w14:textId="77777777" w:rsidTr="003D36E0">
        <w:tc>
          <w:tcPr>
            <w:tcW w:w="6237" w:type="dxa"/>
            <w:shd w:val="clear" w:color="auto" w:fill="auto"/>
          </w:tcPr>
          <w:p w14:paraId="732900B9" w14:textId="77777777" w:rsidR="00586F5C" w:rsidRPr="00586F5C" w:rsidRDefault="00586F5C" w:rsidP="00586F5C">
            <w:pPr>
              <w:jc w:val="center"/>
              <w:rPr>
                <w:rFonts w:asciiTheme="minorBidi" w:eastAsiaTheme="minorHAnsi" w:hAnsiTheme="minorBidi"/>
                <w:noProof/>
                <w:color w:val="1F4E79" w:themeColor="accent5" w:themeShade="80"/>
              </w:rPr>
            </w:pPr>
            <w:r w:rsidRPr="00586F5C">
              <w:rPr>
                <w:rFonts w:asciiTheme="minorBidi" w:eastAsiaTheme="minorHAnsi" w:hAnsiTheme="minorBidi"/>
                <w:noProof/>
                <w:color w:val="1F4E79" w:themeColor="accent5" w:themeShade="80"/>
              </w:rPr>
              <w:drawing>
                <wp:inline distT="0" distB="0" distL="0" distR="0" wp14:anchorId="21B9F3FF" wp14:editId="7294818A">
                  <wp:extent cx="3652520" cy="1666875"/>
                  <wp:effectExtent l="0" t="0" r="5080" b="9525"/>
                  <wp:docPr id="5" name="Chart 5">
                    <a:extLst xmlns:a="http://schemas.openxmlformats.org/drawingml/2006/main">
                      <a:ext uri="{FF2B5EF4-FFF2-40B4-BE49-F238E27FC236}">
                        <a16:creationId xmlns:a16="http://schemas.microsoft.com/office/drawing/2014/main" id="{B290BBC6-A645-4455-8A4C-8F4343E7C6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c>
          <w:tcPr>
            <w:tcW w:w="4395" w:type="dxa"/>
            <w:vMerge/>
            <w:shd w:val="clear" w:color="auto" w:fill="auto"/>
          </w:tcPr>
          <w:p w14:paraId="070DA1BC" w14:textId="77777777" w:rsidR="00586F5C" w:rsidRPr="00586F5C" w:rsidRDefault="00586F5C" w:rsidP="00586F5C">
            <w:pPr>
              <w:rPr>
                <w:rFonts w:ascii="Arial" w:eastAsia="Arial" w:hAnsi="Arial" w:cs="Arial"/>
                <w:b/>
                <w:color w:val="1F4E79"/>
                <w:sz w:val="22"/>
                <w:szCs w:val="22"/>
              </w:rPr>
            </w:pPr>
          </w:p>
        </w:tc>
      </w:tr>
    </w:tbl>
    <w:p w14:paraId="058404B8" w14:textId="28F697F6" w:rsidR="00586F5C" w:rsidRPr="00586F5C" w:rsidRDefault="001D1617" w:rsidP="00586F5C">
      <w:pPr>
        <w:rPr>
          <w:rFonts w:ascii="Arial" w:eastAsiaTheme="minorHAnsi" w:hAnsi="Arial" w:cs="Arial"/>
          <w:color w:val="1F4E79" w:themeColor="accent5" w:themeShade="80"/>
          <w:sz w:val="56"/>
          <w:szCs w:val="56"/>
          <w:lang w:eastAsia="en-US"/>
        </w:rPr>
      </w:pPr>
      <w:bookmarkStart w:id="11" w:name="_Hlk14170694"/>
      <w:bookmarkStart w:id="12" w:name="_Hlk14170914"/>
      <w:bookmarkEnd w:id="9"/>
      <w:r w:rsidRPr="001D1617">
        <w:rPr>
          <w:rFonts w:ascii="Arial" w:eastAsiaTheme="minorHAnsi" w:hAnsi="Arial" w:cs="Arial"/>
          <w:color w:val="1F4E79" w:themeColor="accent5" w:themeShade="80"/>
          <w:sz w:val="56"/>
          <w:szCs w:val="56"/>
          <w:lang w:eastAsia="en-US"/>
        </w:rPr>
        <w:lastRenderedPageBreak/>
        <w:t>P</w:t>
      </w:r>
      <w:r w:rsidR="00586F5C" w:rsidRPr="00586F5C">
        <w:rPr>
          <w:rFonts w:ascii="Arial" w:eastAsiaTheme="minorHAnsi" w:hAnsi="Arial" w:cs="Arial"/>
          <w:color w:val="1F4E79" w:themeColor="accent5" w:themeShade="80"/>
          <w:sz w:val="56"/>
          <w:szCs w:val="56"/>
          <w:lang w:eastAsia="en-US"/>
        </w:rPr>
        <w:t>eople</w:t>
      </w:r>
    </w:p>
    <w:tbl>
      <w:tblPr>
        <w:tblStyle w:val="TableGrid1"/>
        <w:tblW w:w="10490" w:type="dxa"/>
        <w:tblInd w:w="-5" w:type="dxa"/>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Look w:val="04A0" w:firstRow="1" w:lastRow="0" w:firstColumn="1" w:lastColumn="0" w:noHBand="0" w:noVBand="1"/>
      </w:tblPr>
      <w:tblGrid>
        <w:gridCol w:w="6379"/>
        <w:gridCol w:w="4111"/>
      </w:tblGrid>
      <w:tr w:rsidR="00586F5C" w:rsidRPr="00586F5C" w14:paraId="09C2D594" w14:textId="77777777" w:rsidTr="003D36E0">
        <w:tc>
          <w:tcPr>
            <w:tcW w:w="6379" w:type="dxa"/>
            <w:shd w:val="clear" w:color="auto" w:fill="1F4E79" w:themeFill="accent5" w:themeFillShade="80"/>
            <w:vAlign w:val="center"/>
          </w:tcPr>
          <w:bookmarkEnd w:id="11"/>
          <w:p w14:paraId="34B5C7CF" w14:textId="77777777" w:rsidR="00586F5C" w:rsidRPr="00586F5C" w:rsidRDefault="00586F5C" w:rsidP="00586F5C">
            <w:pPr>
              <w:jc w:val="center"/>
              <w:rPr>
                <w:rFonts w:ascii="Arial" w:eastAsiaTheme="minorHAnsi" w:hAnsi="Arial" w:cs="Arial"/>
                <w:b/>
                <w:bCs/>
                <w:color w:val="FFFFFF" w:themeColor="background1"/>
              </w:rPr>
            </w:pPr>
            <w:r w:rsidRPr="00586F5C">
              <w:rPr>
                <w:rFonts w:ascii="Arial" w:eastAsiaTheme="minorHAnsi" w:hAnsi="Arial" w:cs="Arial"/>
                <w:b/>
                <w:bCs/>
                <w:color w:val="FFFFFF" w:themeColor="background1"/>
              </w:rPr>
              <w:t>Performance</w:t>
            </w:r>
          </w:p>
        </w:tc>
        <w:tc>
          <w:tcPr>
            <w:tcW w:w="4111" w:type="dxa"/>
            <w:shd w:val="clear" w:color="auto" w:fill="1F4E79" w:themeFill="accent5" w:themeFillShade="80"/>
            <w:vAlign w:val="center"/>
          </w:tcPr>
          <w:p w14:paraId="3CBF162F" w14:textId="77777777" w:rsidR="00586F5C" w:rsidRPr="00586F5C" w:rsidRDefault="00586F5C" w:rsidP="00586F5C">
            <w:pPr>
              <w:jc w:val="center"/>
              <w:rPr>
                <w:rFonts w:ascii="Arial" w:eastAsiaTheme="minorHAnsi" w:hAnsi="Arial" w:cs="Arial"/>
                <w:b/>
                <w:bCs/>
                <w:color w:val="FFFFFF" w:themeColor="background1"/>
              </w:rPr>
            </w:pPr>
            <w:r w:rsidRPr="00586F5C">
              <w:rPr>
                <w:rFonts w:ascii="Arial" w:eastAsiaTheme="minorHAnsi" w:hAnsi="Arial" w:cs="Arial"/>
                <w:b/>
                <w:bCs/>
                <w:color w:val="FFFFFF" w:themeColor="background1"/>
              </w:rPr>
              <w:t>Progress</w:t>
            </w:r>
          </w:p>
        </w:tc>
      </w:tr>
      <w:tr w:rsidR="00586F5C" w:rsidRPr="00586F5C" w14:paraId="77532E2D" w14:textId="77777777" w:rsidTr="003D36E0">
        <w:tc>
          <w:tcPr>
            <w:tcW w:w="6379" w:type="dxa"/>
          </w:tcPr>
          <w:p w14:paraId="128853B4" w14:textId="77777777" w:rsidR="00586F5C" w:rsidRPr="00586F5C" w:rsidRDefault="00586F5C" w:rsidP="00586F5C">
            <w:pPr>
              <w:jc w:val="center"/>
              <w:rPr>
                <w:rFonts w:asciiTheme="minorBidi" w:eastAsiaTheme="minorHAnsi" w:hAnsiTheme="minorBidi"/>
                <w:color w:val="1F4E79" w:themeColor="accent5" w:themeShade="80"/>
              </w:rPr>
            </w:pPr>
            <w:r w:rsidRPr="00586F5C">
              <w:rPr>
                <w:rFonts w:asciiTheme="minorBidi" w:eastAsiaTheme="minorHAnsi" w:hAnsiTheme="minorBidi"/>
                <w:noProof/>
                <w:color w:val="1F4E79" w:themeColor="accent5" w:themeShade="80"/>
              </w:rPr>
              <w:drawing>
                <wp:inline distT="0" distB="0" distL="0" distR="0" wp14:anchorId="1F0B90AC" wp14:editId="19B9C910">
                  <wp:extent cx="3652838" cy="2281238"/>
                  <wp:effectExtent l="0" t="0" r="5080" b="5080"/>
                  <wp:docPr id="14" name="Chart 14">
                    <a:extLst xmlns:a="http://schemas.openxmlformats.org/drawingml/2006/main">
                      <a:ext uri="{FF2B5EF4-FFF2-40B4-BE49-F238E27FC236}">
                        <a16:creationId xmlns:a16="http://schemas.microsoft.com/office/drawing/2014/main" id="{30C355DE-B203-458B-BA0B-70C6302477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c>
          <w:tcPr>
            <w:tcW w:w="4111" w:type="dxa"/>
            <w:vMerge w:val="restart"/>
          </w:tcPr>
          <w:p w14:paraId="12FFD811" w14:textId="77777777" w:rsidR="00586F5C" w:rsidRPr="00586F5C" w:rsidRDefault="00586F5C" w:rsidP="00586F5C">
            <w:pPr>
              <w:rPr>
                <w:rFonts w:ascii="Arial" w:eastAsia="Arial" w:hAnsi="Arial" w:cs="Arial"/>
                <w:color w:val="1F4E79"/>
                <w:sz w:val="22"/>
                <w:szCs w:val="22"/>
              </w:rPr>
            </w:pPr>
            <w:r w:rsidRPr="00586F5C">
              <w:rPr>
                <w:rFonts w:ascii="Arial" w:eastAsia="Arial" w:hAnsi="Arial" w:cs="Arial"/>
                <w:color w:val="1F4E79"/>
                <w:sz w:val="22"/>
                <w:szCs w:val="22"/>
              </w:rPr>
              <w:t xml:space="preserve">There are several performance indicators under development in this area.  Currently staff absence is only available on </w:t>
            </w:r>
            <w:proofErr w:type="spellStart"/>
            <w:r w:rsidRPr="00586F5C">
              <w:rPr>
                <w:rFonts w:ascii="Arial" w:eastAsia="Arial" w:hAnsi="Arial" w:cs="Arial"/>
                <w:color w:val="1F4E79"/>
                <w:sz w:val="22"/>
                <w:szCs w:val="22"/>
              </w:rPr>
              <w:t>Pentana</w:t>
            </w:r>
            <w:proofErr w:type="spellEnd"/>
            <w:r w:rsidRPr="00586F5C">
              <w:rPr>
                <w:rFonts w:ascii="Arial" w:eastAsia="Arial" w:hAnsi="Arial" w:cs="Arial"/>
                <w:color w:val="1F4E79"/>
                <w:sz w:val="22"/>
                <w:szCs w:val="22"/>
              </w:rPr>
              <w:t xml:space="preserve"> at Service Level (see graph) but will be broken down further during the upcoming year.  Planning currently have an indicator relating to staff satisfaction and work is being done to develop staff satisfaction indicators throughout the Service.</w:t>
            </w:r>
          </w:p>
          <w:p w14:paraId="7C10B613" w14:textId="77777777" w:rsidR="00586F5C" w:rsidRPr="00586F5C" w:rsidRDefault="00586F5C" w:rsidP="00586F5C">
            <w:pPr>
              <w:rPr>
                <w:rFonts w:ascii="Arial" w:eastAsia="Arial" w:hAnsi="Arial" w:cs="Arial"/>
                <w:color w:val="1F4E79"/>
                <w:sz w:val="22"/>
                <w:szCs w:val="22"/>
              </w:rPr>
            </w:pPr>
          </w:p>
          <w:p w14:paraId="2825F60F" w14:textId="77777777" w:rsidR="00586F5C" w:rsidRPr="00586F5C" w:rsidRDefault="00586F5C" w:rsidP="00586F5C">
            <w:pPr>
              <w:rPr>
                <w:rFonts w:ascii="Arial" w:eastAsia="Arial" w:hAnsi="Arial" w:cs="Arial"/>
                <w:color w:val="1F4E79"/>
                <w:sz w:val="22"/>
                <w:szCs w:val="22"/>
              </w:rPr>
            </w:pPr>
            <w:r w:rsidRPr="00586F5C">
              <w:rPr>
                <w:rFonts w:ascii="Arial" w:eastAsia="Arial" w:hAnsi="Arial" w:cs="Arial"/>
                <w:color w:val="1F4E79"/>
                <w:sz w:val="22"/>
                <w:szCs w:val="22"/>
              </w:rPr>
              <w:t>At service level we are managing absence by supporting our employees by using all mechanisms available including our health provider services and Reality Check tools.</w:t>
            </w:r>
          </w:p>
          <w:p w14:paraId="535D5A5D" w14:textId="77777777" w:rsidR="00586F5C" w:rsidRPr="00586F5C" w:rsidRDefault="00586F5C" w:rsidP="00586F5C">
            <w:pPr>
              <w:rPr>
                <w:rFonts w:ascii="Arial" w:eastAsia="Arial" w:hAnsi="Arial" w:cs="Arial"/>
                <w:color w:val="1F4E79"/>
                <w:sz w:val="22"/>
                <w:szCs w:val="22"/>
              </w:rPr>
            </w:pPr>
          </w:p>
          <w:p w14:paraId="3F60957A" w14:textId="77777777" w:rsidR="00586F5C" w:rsidRPr="00586F5C" w:rsidRDefault="00586F5C" w:rsidP="00586F5C">
            <w:pPr>
              <w:rPr>
                <w:rFonts w:asciiTheme="minorBidi" w:eastAsiaTheme="minorHAnsi" w:hAnsiTheme="minorBidi"/>
                <w:color w:val="FF0000"/>
                <w:sz w:val="22"/>
                <w:szCs w:val="22"/>
              </w:rPr>
            </w:pPr>
            <w:r w:rsidRPr="00586F5C">
              <w:rPr>
                <w:rFonts w:ascii="Arial" w:eastAsia="Arial" w:hAnsi="Arial" w:cs="Arial"/>
                <w:color w:val="1F4E79"/>
                <w:sz w:val="22"/>
                <w:szCs w:val="22"/>
              </w:rPr>
              <w:t>The absence rates at service level continue to fall.</w:t>
            </w:r>
          </w:p>
        </w:tc>
      </w:tr>
      <w:tr w:rsidR="00586F5C" w:rsidRPr="00586F5C" w14:paraId="629E9A5E" w14:textId="77777777" w:rsidTr="003D36E0">
        <w:tc>
          <w:tcPr>
            <w:tcW w:w="6379" w:type="dxa"/>
          </w:tcPr>
          <w:p w14:paraId="4D1F71C7" w14:textId="77777777" w:rsidR="00586F5C" w:rsidRPr="00586F5C" w:rsidRDefault="00586F5C" w:rsidP="00586F5C">
            <w:pPr>
              <w:jc w:val="center"/>
              <w:rPr>
                <w:rFonts w:asciiTheme="minorBidi" w:eastAsiaTheme="minorHAnsi" w:hAnsiTheme="minorBidi"/>
                <w:noProof/>
                <w:color w:val="1F4E79" w:themeColor="accent5" w:themeShade="80"/>
              </w:rPr>
            </w:pPr>
            <w:r w:rsidRPr="00586F5C">
              <w:rPr>
                <w:rFonts w:asciiTheme="minorBidi" w:eastAsiaTheme="minorHAnsi" w:hAnsiTheme="minorBidi"/>
                <w:noProof/>
                <w:color w:val="1F4E79" w:themeColor="accent5" w:themeShade="80"/>
              </w:rPr>
              <w:drawing>
                <wp:inline distT="0" distB="0" distL="0" distR="0" wp14:anchorId="07633598" wp14:editId="040BC657">
                  <wp:extent cx="3652838" cy="2281238"/>
                  <wp:effectExtent l="0" t="0" r="5080" b="5080"/>
                  <wp:docPr id="15" name="Chart 15">
                    <a:extLst xmlns:a="http://schemas.openxmlformats.org/drawingml/2006/main">
                      <a:ext uri="{FF2B5EF4-FFF2-40B4-BE49-F238E27FC236}">
                        <a16:creationId xmlns:a16="http://schemas.microsoft.com/office/drawing/2014/main" id="{DE314750-62A0-4982-8BCF-04C34A4F52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c>
          <w:tcPr>
            <w:tcW w:w="4111" w:type="dxa"/>
            <w:vMerge/>
          </w:tcPr>
          <w:p w14:paraId="4A5CBBD4" w14:textId="77777777" w:rsidR="00586F5C" w:rsidRPr="00586F5C" w:rsidRDefault="00586F5C" w:rsidP="00586F5C">
            <w:pPr>
              <w:rPr>
                <w:rFonts w:asciiTheme="minorBidi" w:eastAsiaTheme="minorHAnsi" w:hAnsiTheme="minorBidi"/>
                <w:color w:val="1F4E79"/>
              </w:rPr>
            </w:pPr>
          </w:p>
        </w:tc>
      </w:tr>
      <w:tr w:rsidR="00586F5C" w:rsidRPr="00586F5C" w14:paraId="78626ABD" w14:textId="77777777" w:rsidTr="003D36E0">
        <w:tc>
          <w:tcPr>
            <w:tcW w:w="6379" w:type="dxa"/>
          </w:tcPr>
          <w:p w14:paraId="7994E6A1" w14:textId="77777777" w:rsidR="00586F5C" w:rsidRPr="00586F5C" w:rsidRDefault="00586F5C" w:rsidP="00586F5C">
            <w:pPr>
              <w:jc w:val="center"/>
              <w:rPr>
                <w:rFonts w:asciiTheme="minorBidi" w:eastAsiaTheme="minorHAnsi" w:hAnsiTheme="minorBidi"/>
                <w:noProof/>
                <w:color w:val="1F4E79" w:themeColor="accent5" w:themeShade="80"/>
              </w:rPr>
            </w:pPr>
            <w:r w:rsidRPr="00586F5C">
              <w:rPr>
                <w:rFonts w:asciiTheme="minorBidi" w:eastAsiaTheme="minorHAnsi" w:hAnsiTheme="minorBidi"/>
                <w:noProof/>
                <w:color w:val="1F4E79" w:themeColor="accent5" w:themeShade="80"/>
              </w:rPr>
              <w:drawing>
                <wp:inline distT="0" distB="0" distL="0" distR="0" wp14:anchorId="52C49AF9" wp14:editId="5B7A121B">
                  <wp:extent cx="3662363" cy="2281238"/>
                  <wp:effectExtent l="0" t="0" r="14605" b="5080"/>
                  <wp:docPr id="16" name="Chart 16">
                    <a:extLst xmlns:a="http://schemas.openxmlformats.org/drawingml/2006/main">
                      <a:ext uri="{FF2B5EF4-FFF2-40B4-BE49-F238E27FC236}">
                        <a16:creationId xmlns:a16="http://schemas.microsoft.com/office/drawing/2014/main" id="{0B7DAC63-7178-4B39-96BA-C860BA219E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c>
          <w:tcPr>
            <w:tcW w:w="4111" w:type="dxa"/>
            <w:vMerge/>
          </w:tcPr>
          <w:p w14:paraId="6060B090" w14:textId="77777777" w:rsidR="00586F5C" w:rsidRPr="00586F5C" w:rsidRDefault="00586F5C" w:rsidP="00586F5C">
            <w:pPr>
              <w:rPr>
                <w:rFonts w:asciiTheme="minorBidi" w:eastAsiaTheme="minorHAnsi" w:hAnsiTheme="minorBidi"/>
                <w:color w:val="1F4E79"/>
              </w:rPr>
            </w:pPr>
          </w:p>
        </w:tc>
      </w:tr>
    </w:tbl>
    <w:p w14:paraId="72A5BA1C" w14:textId="77777777" w:rsidR="00586F5C" w:rsidRPr="00586F5C" w:rsidRDefault="00586F5C" w:rsidP="00586F5C">
      <w:pPr>
        <w:rPr>
          <w:rFonts w:asciiTheme="minorBidi" w:eastAsiaTheme="minorHAnsi" w:hAnsiTheme="minorBidi" w:cstheme="minorBidi"/>
          <w:color w:val="1F4E79" w:themeColor="accent5" w:themeShade="80"/>
          <w:szCs w:val="24"/>
          <w:lang w:eastAsia="en-US"/>
        </w:rPr>
      </w:pPr>
    </w:p>
    <w:p w14:paraId="5AE1C246" w14:textId="77777777" w:rsidR="00586F5C" w:rsidRPr="00586F5C" w:rsidRDefault="00586F5C" w:rsidP="00586F5C">
      <w:pPr>
        <w:rPr>
          <w:rFonts w:asciiTheme="minorBidi" w:eastAsiaTheme="minorHAnsi" w:hAnsiTheme="minorBidi" w:cstheme="minorBidi"/>
          <w:color w:val="1F4E79" w:themeColor="accent5" w:themeShade="80"/>
          <w:szCs w:val="24"/>
          <w:lang w:eastAsia="en-US"/>
        </w:rPr>
      </w:pPr>
    </w:p>
    <w:p w14:paraId="21E6EC3F" w14:textId="77777777" w:rsidR="00586F5C" w:rsidRPr="00586F5C" w:rsidRDefault="00586F5C" w:rsidP="00586F5C">
      <w:pPr>
        <w:rPr>
          <w:rFonts w:asciiTheme="minorBidi" w:eastAsiaTheme="minorHAnsi" w:hAnsiTheme="minorBidi" w:cstheme="minorBidi"/>
          <w:color w:val="1F4E79" w:themeColor="accent5" w:themeShade="80"/>
          <w:szCs w:val="24"/>
          <w:lang w:eastAsia="en-US"/>
        </w:rPr>
      </w:pPr>
    </w:p>
    <w:p w14:paraId="3301E72F" w14:textId="77777777" w:rsidR="00586F5C" w:rsidRPr="00586F5C" w:rsidRDefault="00586F5C" w:rsidP="00586F5C">
      <w:pPr>
        <w:rPr>
          <w:rFonts w:asciiTheme="minorBidi" w:eastAsiaTheme="minorHAnsi" w:hAnsiTheme="minorBidi" w:cstheme="minorBidi"/>
          <w:color w:val="1F4E79" w:themeColor="accent5" w:themeShade="80"/>
          <w:szCs w:val="24"/>
          <w:lang w:eastAsia="en-US"/>
        </w:rPr>
      </w:pPr>
    </w:p>
    <w:p w14:paraId="6B0EB5B0" w14:textId="77777777" w:rsidR="00586F5C" w:rsidRPr="00586F5C" w:rsidRDefault="00586F5C" w:rsidP="00586F5C">
      <w:pPr>
        <w:rPr>
          <w:rFonts w:ascii="Arial" w:eastAsiaTheme="minorHAnsi" w:hAnsi="Arial" w:cs="Arial"/>
          <w:color w:val="1F4E79" w:themeColor="accent5" w:themeShade="80"/>
          <w:sz w:val="56"/>
          <w:szCs w:val="56"/>
          <w:lang w:eastAsia="en-US"/>
        </w:rPr>
      </w:pPr>
      <w:bookmarkStart w:id="13" w:name="_Hlk14182278"/>
      <w:bookmarkEnd w:id="12"/>
      <w:r w:rsidRPr="00586F5C">
        <w:rPr>
          <w:rFonts w:ascii="Arial" w:eastAsiaTheme="minorHAnsi" w:hAnsi="Arial" w:cs="Arial"/>
          <w:color w:val="1F4E79" w:themeColor="accent5" w:themeShade="80"/>
          <w:sz w:val="56"/>
          <w:szCs w:val="56"/>
          <w:lang w:eastAsia="en-US"/>
        </w:rPr>
        <w:lastRenderedPageBreak/>
        <w:t>Responsiveness</w:t>
      </w:r>
    </w:p>
    <w:tbl>
      <w:tblPr>
        <w:tblStyle w:val="TableGrid1"/>
        <w:tblW w:w="10632" w:type="dxa"/>
        <w:tblInd w:w="-5" w:type="dxa"/>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Look w:val="04A0" w:firstRow="1" w:lastRow="0" w:firstColumn="1" w:lastColumn="0" w:noHBand="0" w:noVBand="1"/>
      </w:tblPr>
      <w:tblGrid>
        <w:gridCol w:w="6379"/>
        <w:gridCol w:w="4253"/>
      </w:tblGrid>
      <w:tr w:rsidR="00586F5C" w:rsidRPr="00586F5C" w14:paraId="536E7434" w14:textId="77777777" w:rsidTr="003D36E0">
        <w:tc>
          <w:tcPr>
            <w:tcW w:w="6379" w:type="dxa"/>
            <w:shd w:val="clear" w:color="auto" w:fill="1F4E79" w:themeFill="accent5" w:themeFillShade="80"/>
            <w:vAlign w:val="center"/>
          </w:tcPr>
          <w:p w14:paraId="2E5D02F2" w14:textId="77777777" w:rsidR="00586F5C" w:rsidRPr="00586F5C" w:rsidRDefault="00586F5C" w:rsidP="00586F5C">
            <w:pPr>
              <w:jc w:val="center"/>
              <w:rPr>
                <w:rFonts w:ascii="Arial" w:eastAsiaTheme="minorHAnsi" w:hAnsi="Arial" w:cs="Arial"/>
                <w:b/>
                <w:bCs/>
                <w:color w:val="FFFFFF" w:themeColor="background1"/>
              </w:rPr>
            </w:pPr>
            <w:bookmarkStart w:id="14" w:name="_Hlk14171017"/>
            <w:bookmarkEnd w:id="13"/>
            <w:r w:rsidRPr="00586F5C">
              <w:rPr>
                <w:rFonts w:ascii="Arial" w:eastAsiaTheme="minorHAnsi" w:hAnsi="Arial" w:cs="Arial"/>
                <w:b/>
                <w:bCs/>
                <w:color w:val="FFFFFF" w:themeColor="background1"/>
              </w:rPr>
              <w:t>Performance</w:t>
            </w:r>
          </w:p>
        </w:tc>
        <w:tc>
          <w:tcPr>
            <w:tcW w:w="4253" w:type="dxa"/>
            <w:shd w:val="clear" w:color="auto" w:fill="1F4E79" w:themeFill="accent5" w:themeFillShade="80"/>
            <w:vAlign w:val="center"/>
          </w:tcPr>
          <w:p w14:paraId="4146C7DE" w14:textId="77777777" w:rsidR="00586F5C" w:rsidRPr="00586F5C" w:rsidRDefault="00586F5C" w:rsidP="00586F5C">
            <w:pPr>
              <w:jc w:val="center"/>
              <w:rPr>
                <w:rFonts w:ascii="Arial" w:eastAsiaTheme="minorHAnsi" w:hAnsi="Arial" w:cs="Arial"/>
                <w:b/>
                <w:bCs/>
                <w:color w:val="FFFFFF" w:themeColor="background1"/>
              </w:rPr>
            </w:pPr>
            <w:r w:rsidRPr="00586F5C">
              <w:rPr>
                <w:rFonts w:ascii="Arial" w:eastAsiaTheme="minorHAnsi" w:hAnsi="Arial" w:cs="Arial"/>
                <w:b/>
                <w:bCs/>
                <w:color w:val="FFFFFF" w:themeColor="background1"/>
              </w:rPr>
              <w:t>Progress</w:t>
            </w:r>
          </w:p>
        </w:tc>
      </w:tr>
      <w:bookmarkEnd w:id="14"/>
      <w:tr w:rsidR="00586F5C" w:rsidRPr="00586F5C" w14:paraId="5F66C009" w14:textId="77777777" w:rsidTr="003D36E0">
        <w:tc>
          <w:tcPr>
            <w:tcW w:w="6379" w:type="dxa"/>
            <w:shd w:val="clear" w:color="auto" w:fill="auto"/>
          </w:tcPr>
          <w:p w14:paraId="4F6CBF96" w14:textId="77777777" w:rsidR="00586F5C" w:rsidRPr="00586F5C" w:rsidRDefault="00586F5C" w:rsidP="00586F5C">
            <w:pPr>
              <w:jc w:val="center"/>
              <w:rPr>
                <w:rFonts w:asciiTheme="minorBidi" w:eastAsiaTheme="minorHAnsi" w:hAnsiTheme="minorBidi"/>
                <w:color w:val="1F4E79" w:themeColor="accent5" w:themeShade="80"/>
              </w:rPr>
            </w:pPr>
            <w:r w:rsidRPr="00586F5C">
              <w:rPr>
                <w:rFonts w:asciiTheme="minorBidi" w:eastAsiaTheme="minorHAnsi" w:hAnsiTheme="minorBidi"/>
                <w:noProof/>
                <w:color w:val="1F4E79" w:themeColor="accent5" w:themeShade="80"/>
              </w:rPr>
              <w:drawing>
                <wp:inline distT="0" distB="0" distL="0" distR="0" wp14:anchorId="751572DE" wp14:editId="52E49F6A">
                  <wp:extent cx="3652838" cy="2290763"/>
                  <wp:effectExtent l="0" t="0" r="5080" b="14605"/>
                  <wp:docPr id="6" name="Chart 6">
                    <a:extLst xmlns:a="http://schemas.openxmlformats.org/drawingml/2006/main">
                      <a:ext uri="{FF2B5EF4-FFF2-40B4-BE49-F238E27FC236}">
                        <a16:creationId xmlns:a16="http://schemas.microsoft.com/office/drawing/2014/main" id="{EC611532-4384-4D4A-9C5D-072320B6E9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c>
          <w:tcPr>
            <w:tcW w:w="4253" w:type="dxa"/>
            <w:shd w:val="clear" w:color="auto" w:fill="auto"/>
          </w:tcPr>
          <w:p w14:paraId="19FECF63" w14:textId="77777777" w:rsidR="00586F5C" w:rsidRPr="00586F5C" w:rsidRDefault="00586F5C" w:rsidP="00586F5C">
            <w:pPr>
              <w:rPr>
                <w:rFonts w:asciiTheme="minorBidi" w:eastAsiaTheme="minorHAnsi" w:hAnsiTheme="minorBidi"/>
                <w:color w:val="1F4E79"/>
                <w:sz w:val="22"/>
                <w:szCs w:val="22"/>
              </w:rPr>
            </w:pPr>
            <w:r w:rsidRPr="00586F5C">
              <w:rPr>
                <w:rFonts w:ascii="Arial" w:eastAsia="Arial" w:hAnsi="Arial" w:cs="Arial"/>
                <w:color w:val="1F4E79"/>
                <w:sz w:val="22"/>
                <w:szCs w:val="22"/>
              </w:rPr>
              <w:t>The completions figure for 18/19 is 1,118 as per the housing land audit. This is a decrease of 185 completions since 17/18.  This is mainly due to the Council’s affordable home programme coming to the end of its first phase.  The completions figure for 19/20 should see an increase as the next phase of Council affordable homes build programme will be underway.</w:t>
            </w:r>
          </w:p>
        </w:tc>
      </w:tr>
      <w:tr w:rsidR="00586F5C" w:rsidRPr="00586F5C" w14:paraId="75CDFFA9" w14:textId="77777777" w:rsidTr="003D36E0">
        <w:tc>
          <w:tcPr>
            <w:tcW w:w="6379" w:type="dxa"/>
          </w:tcPr>
          <w:p w14:paraId="03E20685" w14:textId="77777777" w:rsidR="00586F5C" w:rsidRPr="00586F5C" w:rsidRDefault="00586F5C" w:rsidP="00586F5C">
            <w:pPr>
              <w:jc w:val="center"/>
              <w:rPr>
                <w:rFonts w:asciiTheme="minorBidi" w:eastAsiaTheme="minorHAnsi" w:hAnsiTheme="minorBidi"/>
                <w:color w:val="1F4E79" w:themeColor="accent5" w:themeShade="80"/>
              </w:rPr>
            </w:pPr>
            <w:r w:rsidRPr="00586F5C">
              <w:rPr>
                <w:rFonts w:asciiTheme="minorBidi" w:eastAsiaTheme="minorHAnsi" w:hAnsiTheme="minorBidi"/>
                <w:noProof/>
                <w:color w:val="1F4E79" w:themeColor="accent5" w:themeShade="80"/>
              </w:rPr>
              <w:drawing>
                <wp:inline distT="0" distB="0" distL="0" distR="0" wp14:anchorId="27C48D96" wp14:editId="3A78726F">
                  <wp:extent cx="3652838" cy="2281238"/>
                  <wp:effectExtent l="0" t="0" r="5080" b="5080"/>
                  <wp:docPr id="26" name="Chart 26">
                    <a:extLst xmlns:a="http://schemas.openxmlformats.org/drawingml/2006/main">
                      <a:ext uri="{FF2B5EF4-FFF2-40B4-BE49-F238E27FC236}">
                        <a16:creationId xmlns:a16="http://schemas.microsoft.com/office/drawing/2014/main" id="{1F412596-CFF7-4C61-BF59-D12DFDBA08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c>
          <w:tcPr>
            <w:tcW w:w="4253" w:type="dxa"/>
          </w:tcPr>
          <w:p w14:paraId="1120C95A" w14:textId="77777777" w:rsidR="00586F5C" w:rsidRPr="00586F5C" w:rsidRDefault="00586F5C" w:rsidP="001D1617">
            <w:pPr>
              <w:rPr>
                <w:rFonts w:ascii="Arial" w:eastAsia="Arial" w:hAnsi="Arial" w:cs="Arial"/>
                <w:color w:val="1F4E79"/>
                <w:sz w:val="22"/>
                <w:szCs w:val="22"/>
              </w:rPr>
            </w:pPr>
            <w:r w:rsidRPr="00586F5C">
              <w:rPr>
                <w:rFonts w:ascii="Arial" w:eastAsia="Arial" w:hAnsi="Arial" w:cs="Arial"/>
                <w:color w:val="1F4E79"/>
                <w:sz w:val="22"/>
                <w:szCs w:val="22"/>
              </w:rPr>
              <w:t>Fife Council determined a total of 16 major applications in the PPF8 reporting period. This small number inevitably skews the reported performance when based on a statistical or percentage basis. The nature of the applications also adds to the complexity involved. Of particular note was one proposal which was managed through the system in collaboration with the developer which took approximately 3.8 years to determine due to the complexity of the issues to be resolved and the circumstances relating to the deliverability by the applicant.</w:t>
            </w:r>
          </w:p>
          <w:p w14:paraId="31D93B8B" w14:textId="77777777" w:rsidR="00586F5C" w:rsidRPr="00586F5C" w:rsidRDefault="00586F5C" w:rsidP="00586F5C">
            <w:pPr>
              <w:autoSpaceDE w:val="0"/>
              <w:autoSpaceDN w:val="0"/>
              <w:adjustRightInd w:val="0"/>
              <w:spacing w:before="0" w:after="0"/>
              <w:rPr>
                <w:rFonts w:ascii="Arial" w:eastAsiaTheme="minorHAnsi" w:hAnsi="Arial" w:cs="Arial"/>
                <w:color w:val="1F4E79"/>
                <w:sz w:val="22"/>
                <w:szCs w:val="22"/>
              </w:rPr>
            </w:pPr>
          </w:p>
        </w:tc>
      </w:tr>
      <w:tr w:rsidR="00586F5C" w:rsidRPr="00586F5C" w14:paraId="45FAADCD" w14:textId="77777777" w:rsidTr="003D36E0">
        <w:tc>
          <w:tcPr>
            <w:tcW w:w="6379" w:type="dxa"/>
          </w:tcPr>
          <w:p w14:paraId="7AD5F120" w14:textId="77777777" w:rsidR="00586F5C" w:rsidRPr="00586F5C" w:rsidRDefault="00586F5C" w:rsidP="00586F5C">
            <w:pPr>
              <w:jc w:val="center"/>
              <w:rPr>
                <w:rFonts w:asciiTheme="minorBidi" w:eastAsiaTheme="minorHAnsi" w:hAnsiTheme="minorBidi"/>
                <w:noProof/>
                <w:color w:val="1F4E79"/>
              </w:rPr>
            </w:pPr>
            <w:r w:rsidRPr="00586F5C">
              <w:rPr>
                <w:rFonts w:asciiTheme="minorBidi" w:eastAsiaTheme="minorHAnsi" w:hAnsiTheme="minorBidi"/>
                <w:noProof/>
                <w:color w:val="1F4E79" w:themeColor="accent5" w:themeShade="80"/>
              </w:rPr>
              <w:drawing>
                <wp:inline distT="0" distB="0" distL="0" distR="0" wp14:anchorId="39CAD5FB" wp14:editId="357FC6DD">
                  <wp:extent cx="3657600" cy="2281238"/>
                  <wp:effectExtent l="0" t="0" r="0" b="5080"/>
                  <wp:docPr id="10" name="Chart 10">
                    <a:extLst xmlns:a="http://schemas.openxmlformats.org/drawingml/2006/main">
                      <a:ext uri="{FF2B5EF4-FFF2-40B4-BE49-F238E27FC236}">
                        <a16:creationId xmlns:a16="http://schemas.microsoft.com/office/drawing/2014/main" id="{F6EECB27-7328-4379-B5F9-A67C9EC0A8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c>
          <w:tcPr>
            <w:tcW w:w="4253" w:type="dxa"/>
          </w:tcPr>
          <w:p w14:paraId="7C9046D7" w14:textId="77777777" w:rsidR="00586F5C" w:rsidRPr="00586F5C" w:rsidRDefault="00586F5C" w:rsidP="001D1617">
            <w:pPr>
              <w:rPr>
                <w:rFonts w:asciiTheme="minorBidi" w:eastAsiaTheme="minorHAnsi" w:hAnsiTheme="minorBidi"/>
                <w:color w:val="1F4E79"/>
                <w:sz w:val="22"/>
                <w:szCs w:val="22"/>
              </w:rPr>
            </w:pPr>
            <w:r w:rsidRPr="00586F5C">
              <w:rPr>
                <w:rFonts w:ascii="Arial" w:eastAsia="Arial" w:hAnsi="Arial" w:cs="Arial"/>
                <w:color w:val="1F4E79"/>
                <w:sz w:val="22"/>
                <w:szCs w:val="22"/>
              </w:rPr>
              <w:t>We have continued to make significant improvements in our speed of decision making of local and household applications. The performance reporting capabilities of our Planning system Uniform Enterprise,  and continued effective project managed case loads has delivered improved performance.  Where improvements can be achieved we will seek to do so. We consider in terms of our household and local performance we are reaching a level of efficiency which reflects an appropriate balance between speed, customer service and the time required to build in quality outcomes on the ground.</w:t>
            </w:r>
          </w:p>
        </w:tc>
      </w:tr>
    </w:tbl>
    <w:p w14:paraId="3CEA6984" w14:textId="77777777" w:rsidR="00586F5C" w:rsidRPr="00586F5C" w:rsidRDefault="00586F5C" w:rsidP="00586F5C">
      <w:pPr>
        <w:rPr>
          <w:rFonts w:asciiTheme="minorBidi" w:eastAsiaTheme="minorHAnsi" w:hAnsiTheme="minorBidi" w:cstheme="minorBidi"/>
          <w:color w:val="1F4E79"/>
          <w:szCs w:val="24"/>
          <w:lang w:eastAsia="en-US"/>
        </w:rPr>
      </w:pPr>
    </w:p>
    <w:p w14:paraId="0E604F4D" w14:textId="77777777" w:rsidR="00586F5C" w:rsidRPr="00586F5C" w:rsidRDefault="00586F5C" w:rsidP="00586F5C">
      <w:pPr>
        <w:rPr>
          <w:rFonts w:ascii="Arial" w:eastAsiaTheme="minorHAnsi" w:hAnsi="Arial" w:cs="Arial"/>
          <w:color w:val="1F4E79" w:themeColor="accent5" w:themeShade="80"/>
          <w:szCs w:val="24"/>
          <w:lang w:eastAsia="en-US"/>
        </w:rPr>
      </w:pPr>
      <w:r w:rsidRPr="00586F5C">
        <w:rPr>
          <w:rFonts w:ascii="Arial" w:eastAsiaTheme="minorHAnsi" w:hAnsi="Arial" w:cs="Arial"/>
          <w:color w:val="1F4E79" w:themeColor="accent5" w:themeShade="80"/>
          <w:sz w:val="56"/>
          <w:szCs w:val="56"/>
          <w:lang w:eastAsia="en-US"/>
        </w:rPr>
        <w:lastRenderedPageBreak/>
        <w:t>Responsiveness – cont.</w:t>
      </w:r>
    </w:p>
    <w:tbl>
      <w:tblPr>
        <w:tblStyle w:val="TableGrid1"/>
        <w:tblW w:w="10627" w:type="dxa"/>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Look w:val="04A0" w:firstRow="1" w:lastRow="0" w:firstColumn="1" w:lastColumn="0" w:noHBand="0" w:noVBand="1"/>
      </w:tblPr>
      <w:tblGrid>
        <w:gridCol w:w="6232"/>
        <w:gridCol w:w="4395"/>
      </w:tblGrid>
      <w:tr w:rsidR="00586F5C" w:rsidRPr="00586F5C" w14:paraId="0C867F5B" w14:textId="77777777" w:rsidTr="003D36E0">
        <w:tc>
          <w:tcPr>
            <w:tcW w:w="6232" w:type="dxa"/>
            <w:shd w:val="clear" w:color="auto" w:fill="1F4E79" w:themeFill="accent5" w:themeFillShade="80"/>
            <w:vAlign w:val="center"/>
          </w:tcPr>
          <w:p w14:paraId="1FCEEA28" w14:textId="77777777" w:rsidR="00586F5C" w:rsidRPr="00586F5C" w:rsidRDefault="00586F5C" w:rsidP="00586F5C">
            <w:pPr>
              <w:jc w:val="center"/>
              <w:rPr>
                <w:rFonts w:ascii="Arial" w:eastAsiaTheme="minorHAnsi" w:hAnsi="Arial" w:cs="Arial"/>
                <w:b/>
                <w:bCs/>
                <w:color w:val="FFFFFF" w:themeColor="background1"/>
              </w:rPr>
            </w:pPr>
            <w:r w:rsidRPr="00586F5C">
              <w:rPr>
                <w:rFonts w:ascii="Arial" w:eastAsiaTheme="minorHAnsi" w:hAnsi="Arial" w:cs="Arial"/>
                <w:b/>
                <w:bCs/>
                <w:color w:val="FFFFFF" w:themeColor="background1"/>
              </w:rPr>
              <w:t>Performance</w:t>
            </w:r>
          </w:p>
        </w:tc>
        <w:tc>
          <w:tcPr>
            <w:tcW w:w="4395" w:type="dxa"/>
            <w:shd w:val="clear" w:color="auto" w:fill="1F4E79" w:themeFill="accent5" w:themeFillShade="80"/>
            <w:vAlign w:val="center"/>
          </w:tcPr>
          <w:p w14:paraId="5FF9C850" w14:textId="77777777" w:rsidR="00586F5C" w:rsidRPr="00586F5C" w:rsidRDefault="00586F5C" w:rsidP="00586F5C">
            <w:pPr>
              <w:jc w:val="center"/>
              <w:rPr>
                <w:rFonts w:ascii="Arial" w:eastAsiaTheme="minorHAnsi" w:hAnsi="Arial" w:cs="Arial"/>
                <w:b/>
                <w:bCs/>
                <w:color w:val="FFFFFF" w:themeColor="background1"/>
              </w:rPr>
            </w:pPr>
            <w:r w:rsidRPr="00586F5C">
              <w:rPr>
                <w:rFonts w:ascii="Arial" w:eastAsiaTheme="minorHAnsi" w:hAnsi="Arial" w:cs="Arial"/>
                <w:b/>
                <w:bCs/>
                <w:color w:val="FFFFFF" w:themeColor="background1"/>
              </w:rPr>
              <w:t>Progress</w:t>
            </w:r>
          </w:p>
        </w:tc>
      </w:tr>
      <w:tr w:rsidR="00586F5C" w:rsidRPr="00586F5C" w14:paraId="28210F55" w14:textId="77777777" w:rsidTr="003D36E0">
        <w:trPr>
          <w:trHeight w:val="207"/>
        </w:trPr>
        <w:tc>
          <w:tcPr>
            <w:tcW w:w="6232" w:type="dxa"/>
            <w:shd w:val="clear" w:color="auto" w:fill="auto"/>
          </w:tcPr>
          <w:p w14:paraId="1ED074D1" w14:textId="77777777" w:rsidR="00586F5C" w:rsidRPr="00586F5C" w:rsidRDefault="00586F5C" w:rsidP="00586F5C">
            <w:pPr>
              <w:jc w:val="center"/>
              <w:rPr>
                <w:rFonts w:asciiTheme="minorBidi" w:eastAsiaTheme="minorHAnsi" w:hAnsiTheme="minorBidi"/>
                <w:noProof/>
                <w:color w:val="1F4E79" w:themeColor="accent5" w:themeShade="80"/>
              </w:rPr>
            </w:pPr>
            <w:r w:rsidRPr="00586F5C">
              <w:rPr>
                <w:rFonts w:asciiTheme="minorBidi" w:eastAsiaTheme="minorHAnsi" w:hAnsiTheme="minorBidi"/>
                <w:noProof/>
                <w:color w:val="1F4E79" w:themeColor="accent5" w:themeShade="80"/>
              </w:rPr>
              <w:drawing>
                <wp:inline distT="0" distB="0" distL="0" distR="0" wp14:anchorId="01FCED79" wp14:editId="5F2EDE9F">
                  <wp:extent cx="3614738" cy="2281238"/>
                  <wp:effectExtent l="0" t="0" r="5080" b="5080"/>
                  <wp:docPr id="45" name="Chart 45">
                    <a:extLst xmlns:a="http://schemas.openxmlformats.org/drawingml/2006/main">
                      <a:ext uri="{FF2B5EF4-FFF2-40B4-BE49-F238E27FC236}">
                        <a16:creationId xmlns:a16="http://schemas.microsoft.com/office/drawing/2014/main" id="{70C9E05E-3162-472D-9E27-082CF41EB0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c>
          <w:tcPr>
            <w:tcW w:w="4395" w:type="dxa"/>
            <w:shd w:val="clear" w:color="auto" w:fill="auto"/>
          </w:tcPr>
          <w:p w14:paraId="3E1E3697" w14:textId="77777777" w:rsidR="00586F5C" w:rsidRPr="00586F5C" w:rsidRDefault="00586F5C" w:rsidP="00586F5C">
            <w:pPr>
              <w:rPr>
                <w:rFonts w:asciiTheme="minorBidi" w:eastAsiaTheme="minorHAnsi" w:hAnsiTheme="minorBidi"/>
                <w:color w:val="1F4E79" w:themeColor="accent5" w:themeShade="80"/>
                <w:sz w:val="22"/>
                <w:szCs w:val="22"/>
              </w:rPr>
            </w:pPr>
            <w:r w:rsidRPr="00586F5C">
              <w:rPr>
                <w:rFonts w:ascii="Arial" w:eastAsia="Arial" w:hAnsi="Arial" w:cs="Arial"/>
                <w:color w:val="1F4E79"/>
                <w:sz w:val="22"/>
                <w:szCs w:val="22"/>
              </w:rPr>
              <w:t>Heads of Planning are in discussion with Improvement Service to remove/change this indicator. Improvements are being implemented across the planning authority to assist in speeding up application decision times.</w:t>
            </w:r>
          </w:p>
        </w:tc>
      </w:tr>
    </w:tbl>
    <w:p w14:paraId="5578A64C" w14:textId="77777777" w:rsidR="00586F5C" w:rsidRPr="00586F5C" w:rsidRDefault="00586F5C" w:rsidP="00586F5C">
      <w:pPr>
        <w:spacing w:before="0" w:after="0"/>
        <w:rPr>
          <w:rFonts w:asciiTheme="minorBidi" w:eastAsiaTheme="minorHAnsi" w:hAnsiTheme="minorBidi" w:cstheme="minorBidi"/>
          <w:color w:val="1F4E79" w:themeColor="accent5" w:themeShade="80"/>
          <w:szCs w:val="24"/>
          <w:lang w:eastAsia="en-US"/>
        </w:rPr>
      </w:pPr>
      <w:r w:rsidRPr="00586F5C">
        <w:rPr>
          <w:rFonts w:asciiTheme="minorBidi" w:eastAsiaTheme="minorHAnsi" w:hAnsiTheme="minorBidi" w:cstheme="minorBidi"/>
          <w:color w:val="1F4E79" w:themeColor="accent5" w:themeShade="80"/>
          <w:szCs w:val="24"/>
          <w:lang w:eastAsia="en-US"/>
        </w:rPr>
        <w:br w:type="page"/>
      </w:r>
    </w:p>
    <w:p w14:paraId="10909DBC" w14:textId="77777777" w:rsidR="00586F5C" w:rsidRPr="00586F5C" w:rsidRDefault="00586F5C" w:rsidP="00586F5C">
      <w:pPr>
        <w:rPr>
          <w:rFonts w:ascii="Arial" w:eastAsiaTheme="minorHAnsi" w:hAnsi="Arial" w:cs="Arial"/>
          <w:color w:val="1F4E79" w:themeColor="accent5" w:themeShade="80"/>
          <w:szCs w:val="24"/>
          <w:lang w:eastAsia="en-US"/>
        </w:rPr>
      </w:pPr>
      <w:r w:rsidRPr="00586F5C">
        <w:rPr>
          <w:rFonts w:ascii="Arial" w:eastAsiaTheme="minorHAnsi" w:hAnsi="Arial" w:cs="Arial"/>
          <w:color w:val="1F4E79" w:themeColor="accent5" w:themeShade="80"/>
          <w:sz w:val="56"/>
          <w:szCs w:val="56"/>
          <w:lang w:eastAsia="en-US"/>
        </w:rPr>
        <w:lastRenderedPageBreak/>
        <w:t>Responsiveness – cont.</w:t>
      </w:r>
    </w:p>
    <w:tbl>
      <w:tblPr>
        <w:tblStyle w:val="TableGrid1"/>
        <w:tblW w:w="10627" w:type="dxa"/>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Look w:val="04A0" w:firstRow="1" w:lastRow="0" w:firstColumn="1" w:lastColumn="0" w:noHBand="0" w:noVBand="1"/>
      </w:tblPr>
      <w:tblGrid>
        <w:gridCol w:w="6232"/>
        <w:gridCol w:w="4395"/>
      </w:tblGrid>
      <w:tr w:rsidR="00586F5C" w:rsidRPr="00586F5C" w14:paraId="0E773E53" w14:textId="77777777" w:rsidTr="003D36E0">
        <w:tc>
          <w:tcPr>
            <w:tcW w:w="6232" w:type="dxa"/>
            <w:shd w:val="clear" w:color="auto" w:fill="1F4E79" w:themeFill="accent5" w:themeFillShade="80"/>
            <w:vAlign w:val="center"/>
          </w:tcPr>
          <w:p w14:paraId="16FFECE6" w14:textId="77777777" w:rsidR="00586F5C" w:rsidRPr="00586F5C" w:rsidRDefault="00586F5C" w:rsidP="00586F5C">
            <w:pPr>
              <w:jc w:val="center"/>
              <w:rPr>
                <w:rFonts w:ascii="Arial" w:eastAsiaTheme="minorHAnsi" w:hAnsi="Arial" w:cs="Arial"/>
                <w:b/>
                <w:bCs/>
                <w:color w:val="FFFFFF" w:themeColor="background1"/>
              </w:rPr>
            </w:pPr>
            <w:r w:rsidRPr="00586F5C">
              <w:rPr>
                <w:rFonts w:ascii="Arial" w:eastAsiaTheme="minorHAnsi" w:hAnsi="Arial" w:cs="Arial"/>
                <w:b/>
                <w:bCs/>
                <w:color w:val="FFFFFF" w:themeColor="background1"/>
              </w:rPr>
              <w:t>Performance</w:t>
            </w:r>
          </w:p>
        </w:tc>
        <w:tc>
          <w:tcPr>
            <w:tcW w:w="4395" w:type="dxa"/>
            <w:shd w:val="clear" w:color="auto" w:fill="1F4E79" w:themeFill="accent5" w:themeFillShade="80"/>
            <w:vAlign w:val="center"/>
          </w:tcPr>
          <w:p w14:paraId="732FDE7C" w14:textId="77777777" w:rsidR="00586F5C" w:rsidRPr="00586F5C" w:rsidRDefault="00586F5C" w:rsidP="00586F5C">
            <w:pPr>
              <w:jc w:val="center"/>
              <w:rPr>
                <w:rFonts w:ascii="Arial" w:eastAsiaTheme="minorHAnsi" w:hAnsi="Arial" w:cs="Arial"/>
                <w:b/>
                <w:bCs/>
                <w:color w:val="FFFFFF" w:themeColor="background1"/>
              </w:rPr>
            </w:pPr>
            <w:r w:rsidRPr="00586F5C">
              <w:rPr>
                <w:rFonts w:ascii="Arial" w:eastAsiaTheme="minorHAnsi" w:hAnsi="Arial" w:cs="Arial"/>
                <w:b/>
                <w:bCs/>
                <w:color w:val="FFFFFF" w:themeColor="background1"/>
              </w:rPr>
              <w:t>Progress</w:t>
            </w:r>
          </w:p>
        </w:tc>
      </w:tr>
      <w:tr w:rsidR="00586F5C" w:rsidRPr="00586F5C" w14:paraId="3A8389E4" w14:textId="77777777" w:rsidTr="003D36E0">
        <w:trPr>
          <w:trHeight w:val="207"/>
        </w:trPr>
        <w:tc>
          <w:tcPr>
            <w:tcW w:w="6232" w:type="dxa"/>
          </w:tcPr>
          <w:p w14:paraId="0F9EB29F" w14:textId="77777777" w:rsidR="00586F5C" w:rsidRPr="00586F5C" w:rsidRDefault="00586F5C" w:rsidP="00586F5C">
            <w:pPr>
              <w:jc w:val="center"/>
              <w:rPr>
                <w:rFonts w:asciiTheme="minorBidi" w:eastAsiaTheme="minorHAnsi" w:hAnsiTheme="minorBidi"/>
                <w:color w:val="1F4E79" w:themeColor="accent5" w:themeShade="80"/>
              </w:rPr>
            </w:pPr>
            <w:r w:rsidRPr="00586F5C">
              <w:rPr>
                <w:rFonts w:asciiTheme="minorBidi" w:eastAsiaTheme="minorHAnsi" w:hAnsiTheme="minorBidi"/>
                <w:noProof/>
                <w:color w:val="1F4E79" w:themeColor="accent5" w:themeShade="80"/>
              </w:rPr>
              <w:drawing>
                <wp:inline distT="0" distB="0" distL="0" distR="0" wp14:anchorId="241F654A" wp14:editId="637D8519">
                  <wp:extent cx="3671888" cy="2290763"/>
                  <wp:effectExtent l="0" t="0" r="5080" b="14605"/>
                  <wp:docPr id="22" name="Chart 22">
                    <a:extLst xmlns:a="http://schemas.openxmlformats.org/drawingml/2006/main">
                      <a:ext uri="{FF2B5EF4-FFF2-40B4-BE49-F238E27FC236}">
                        <a16:creationId xmlns:a16="http://schemas.microsoft.com/office/drawing/2014/main"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c>
          <w:tcPr>
            <w:tcW w:w="4395" w:type="dxa"/>
            <w:vMerge w:val="restart"/>
          </w:tcPr>
          <w:p w14:paraId="563747A4" w14:textId="77777777" w:rsidR="00586F5C" w:rsidRPr="00586F5C" w:rsidRDefault="00586F5C" w:rsidP="00586F5C">
            <w:pPr>
              <w:shd w:val="clear" w:color="auto" w:fill="FFFFFF"/>
              <w:spacing w:before="0" w:after="135"/>
              <w:rPr>
                <w:rFonts w:ascii="Arial" w:eastAsia="Times New Roman" w:hAnsi="Arial" w:cs="Arial"/>
                <w:color w:val="1F4E79"/>
                <w:sz w:val="22"/>
                <w:szCs w:val="22"/>
              </w:rPr>
            </w:pPr>
            <w:r w:rsidRPr="00586F5C">
              <w:rPr>
                <w:rFonts w:ascii="Arial" w:eastAsiaTheme="majorEastAsia" w:hAnsi="Arial" w:cs="Arial"/>
                <w:iCs/>
                <w:color w:val="1F4E79"/>
                <w:sz w:val="22"/>
                <w:szCs w:val="22"/>
              </w:rPr>
              <w:t>Kirkcaldy has seen the departure of high profile and long-established retailers such as Marks and Spencer, with Debenhams announcing its planned closure in early 2020 and other retailers actively reviewing national portfolios. It is anticipated that the retail vacancy rate will rise with the pace of change in the industry increasing and national brands re-trenching and changing their business models. This will be a key driver in placemaking approaches to Kirkcaldy town centre.</w:t>
            </w:r>
          </w:p>
          <w:p w14:paraId="21C43C2A" w14:textId="77777777" w:rsidR="00586F5C" w:rsidRPr="00586F5C" w:rsidRDefault="00586F5C" w:rsidP="00586F5C">
            <w:pPr>
              <w:shd w:val="clear" w:color="auto" w:fill="FFFFFF"/>
              <w:spacing w:before="0" w:after="135"/>
              <w:rPr>
                <w:rFonts w:ascii="Arial" w:eastAsia="Times New Roman" w:hAnsi="Arial" w:cs="Arial"/>
                <w:color w:val="1F4E79"/>
                <w:sz w:val="22"/>
                <w:szCs w:val="22"/>
              </w:rPr>
            </w:pPr>
            <w:r w:rsidRPr="00586F5C">
              <w:rPr>
                <w:rFonts w:ascii="Arial" w:eastAsiaTheme="majorEastAsia" w:hAnsi="Arial" w:cs="Arial"/>
                <w:iCs/>
                <w:color w:val="1F4E79"/>
                <w:sz w:val="22"/>
                <w:szCs w:val="22"/>
              </w:rPr>
              <w:t>Glenrothes continues to show high levels of vacant and persistently vacant units and for the same reasons as Kirkcaldy. The generic problem remains too much retail space combined with the numbers of larger format units which are problematic to let for through a relative lack of flexibility, higher rates and rents, locations and being harder to subdivide or re-develop for alternate uses. Owners are actively considering how to improve their portfolios and increase footfall.</w:t>
            </w:r>
          </w:p>
          <w:p w14:paraId="0044EC15" w14:textId="77777777" w:rsidR="00586F5C" w:rsidRPr="00586F5C" w:rsidRDefault="00586F5C" w:rsidP="00586F5C">
            <w:pPr>
              <w:rPr>
                <w:rFonts w:ascii="Arial" w:eastAsia="Arial" w:hAnsi="Arial" w:cs="Arial"/>
                <w:iCs/>
                <w:color w:val="1F4E79"/>
                <w:sz w:val="22"/>
                <w:szCs w:val="22"/>
              </w:rPr>
            </w:pPr>
            <w:r w:rsidRPr="00586F5C">
              <w:rPr>
                <w:rFonts w:ascii="Arial" w:eastAsia="Arial" w:hAnsi="Arial" w:cs="Arial"/>
                <w:iCs/>
                <w:color w:val="1F4E79"/>
                <w:sz w:val="22"/>
                <w:szCs w:val="22"/>
              </w:rPr>
              <w:t>In terms of Mid-Fife, the picture mirrors Kirkcaldy and Glenrothes with vacancy rates continuing to rise. However, these towns, particularly Cowdenbeath and Leven town centres, have fewer multiples and larger format stores and the pace of change is largely fuelled by changing shopping patterns, shop owners retiring or opting to leave the profession, and customer change in habits and expectations, including engaging other retail channels such as e-commerce.</w:t>
            </w:r>
          </w:p>
          <w:p w14:paraId="6F21866B" w14:textId="77777777" w:rsidR="00586F5C" w:rsidRPr="00586F5C" w:rsidRDefault="00586F5C" w:rsidP="00586F5C">
            <w:pPr>
              <w:rPr>
                <w:rFonts w:ascii="Arial" w:eastAsia="Arial" w:hAnsi="Arial" w:cs="Arial"/>
                <w:color w:val="1F4E79"/>
                <w:sz w:val="22"/>
                <w:szCs w:val="22"/>
              </w:rPr>
            </w:pPr>
            <w:r w:rsidRPr="00586F5C">
              <w:rPr>
                <w:rFonts w:ascii="Arial" w:eastAsia="Arial" w:hAnsi="Arial" w:cs="Arial"/>
                <w:color w:val="1F4E79"/>
                <w:sz w:val="22"/>
                <w:szCs w:val="22"/>
              </w:rPr>
              <w:t>There have been issues with collecting 2018/19 data from Experian, this will not be available until the end of quarter 2.</w:t>
            </w:r>
          </w:p>
          <w:p w14:paraId="742E97D4" w14:textId="77777777" w:rsidR="00586F5C" w:rsidRPr="00586F5C" w:rsidRDefault="00586F5C" w:rsidP="00586F5C">
            <w:pPr>
              <w:rPr>
                <w:rFonts w:ascii="Arial" w:eastAsiaTheme="minorHAnsi" w:hAnsi="Arial" w:cs="Arial"/>
                <w:color w:val="1F4E79"/>
                <w:sz w:val="22"/>
                <w:szCs w:val="22"/>
              </w:rPr>
            </w:pPr>
            <w:r w:rsidRPr="00586F5C">
              <w:rPr>
                <w:rFonts w:ascii="Arial" w:eastAsia="Arial" w:hAnsi="Arial" w:cs="Arial"/>
                <w:color w:val="1F4E79"/>
                <w:sz w:val="22"/>
                <w:szCs w:val="22"/>
              </w:rPr>
              <w:t xml:space="preserve"> </w:t>
            </w:r>
          </w:p>
        </w:tc>
      </w:tr>
      <w:tr w:rsidR="00586F5C" w:rsidRPr="00586F5C" w14:paraId="15842A2A" w14:textId="77777777" w:rsidTr="003D36E0">
        <w:trPr>
          <w:trHeight w:val="207"/>
        </w:trPr>
        <w:tc>
          <w:tcPr>
            <w:tcW w:w="6232" w:type="dxa"/>
          </w:tcPr>
          <w:p w14:paraId="634DBCA1" w14:textId="77777777" w:rsidR="00586F5C" w:rsidRPr="00586F5C" w:rsidRDefault="00586F5C" w:rsidP="00586F5C">
            <w:pPr>
              <w:jc w:val="center"/>
              <w:rPr>
                <w:rFonts w:asciiTheme="minorBidi" w:eastAsiaTheme="minorHAnsi" w:hAnsiTheme="minorBidi"/>
                <w:noProof/>
                <w:color w:val="1F4E79" w:themeColor="accent5" w:themeShade="80"/>
              </w:rPr>
            </w:pPr>
            <w:r w:rsidRPr="00586F5C">
              <w:rPr>
                <w:rFonts w:asciiTheme="minorBidi" w:eastAsiaTheme="minorHAnsi" w:hAnsiTheme="minorBidi"/>
                <w:noProof/>
                <w:color w:val="1F4E79" w:themeColor="accent5" w:themeShade="80"/>
              </w:rPr>
              <w:drawing>
                <wp:inline distT="0" distB="0" distL="0" distR="0" wp14:anchorId="6167F948" wp14:editId="6CD319E4">
                  <wp:extent cx="3652838" cy="2281237"/>
                  <wp:effectExtent l="0" t="0" r="5080" b="5080"/>
                  <wp:docPr id="23" name="Chart 23">
                    <a:extLst xmlns:a="http://schemas.openxmlformats.org/drawingml/2006/main">
                      <a:ext uri="{FF2B5EF4-FFF2-40B4-BE49-F238E27FC236}">
                        <a16:creationId xmlns:a16="http://schemas.microsoft.com/office/drawing/2014/main" id="{00000000-0008-0000-01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c>
          <w:tcPr>
            <w:tcW w:w="4395" w:type="dxa"/>
            <w:vMerge/>
          </w:tcPr>
          <w:p w14:paraId="384A4D4C" w14:textId="77777777" w:rsidR="00586F5C" w:rsidRPr="00586F5C" w:rsidRDefault="00586F5C" w:rsidP="00586F5C">
            <w:pPr>
              <w:rPr>
                <w:rFonts w:asciiTheme="minorBidi" w:eastAsiaTheme="minorHAnsi" w:hAnsiTheme="minorBidi"/>
                <w:color w:val="1F4E79" w:themeColor="accent5" w:themeShade="80"/>
              </w:rPr>
            </w:pPr>
          </w:p>
        </w:tc>
      </w:tr>
      <w:tr w:rsidR="00586F5C" w:rsidRPr="00586F5C" w14:paraId="3431C298" w14:textId="77777777" w:rsidTr="003D36E0">
        <w:tc>
          <w:tcPr>
            <w:tcW w:w="6232" w:type="dxa"/>
            <w:shd w:val="clear" w:color="auto" w:fill="auto"/>
          </w:tcPr>
          <w:p w14:paraId="0A5240AA" w14:textId="77777777" w:rsidR="00586F5C" w:rsidRPr="00586F5C" w:rsidRDefault="00586F5C" w:rsidP="00586F5C">
            <w:pPr>
              <w:jc w:val="center"/>
              <w:rPr>
                <w:rFonts w:asciiTheme="minorBidi" w:eastAsiaTheme="minorHAnsi" w:hAnsiTheme="minorBidi"/>
                <w:color w:val="1F4E79" w:themeColor="accent5" w:themeShade="80"/>
              </w:rPr>
            </w:pPr>
            <w:r w:rsidRPr="00586F5C">
              <w:rPr>
                <w:rFonts w:asciiTheme="minorBidi" w:eastAsiaTheme="minorHAnsi" w:hAnsiTheme="minorBidi"/>
                <w:noProof/>
                <w:color w:val="1F4E79" w:themeColor="accent5" w:themeShade="80"/>
              </w:rPr>
              <w:drawing>
                <wp:inline distT="0" distB="0" distL="0" distR="0" wp14:anchorId="79953EC1" wp14:editId="6D9566ED">
                  <wp:extent cx="3652838" cy="2281238"/>
                  <wp:effectExtent l="0" t="0" r="5080" b="5080"/>
                  <wp:docPr id="41" name="Chart 41">
                    <a:extLst xmlns:a="http://schemas.openxmlformats.org/drawingml/2006/main">
                      <a:ext uri="{FF2B5EF4-FFF2-40B4-BE49-F238E27FC236}">
                        <a16:creationId xmlns:a16="http://schemas.microsoft.com/office/drawing/2014/main" id="{FA55EF55-ED9E-4333-B3C7-DC96B64D0B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c>
          <w:tcPr>
            <w:tcW w:w="4395" w:type="dxa"/>
            <w:vMerge/>
            <w:shd w:val="clear" w:color="auto" w:fill="auto"/>
            <w:vAlign w:val="center"/>
          </w:tcPr>
          <w:p w14:paraId="10875E1A" w14:textId="77777777" w:rsidR="00586F5C" w:rsidRPr="00586F5C" w:rsidRDefault="00586F5C" w:rsidP="00586F5C">
            <w:pPr>
              <w:rPr>
                <w:rFonts w:asciiTheme="minorBidi" w:eastAsiaTheme="minorHAnsi" w:hAnsiTheme="minorBidi"/>
                <w:color w:val="1F4E79" w:themeColor="accent5" w:themeShade="80"/>
              </w:rPr>
            </w:pPr>
          </w:p>
        </w:tc>
      </w:tr>
    </w:tbl>
    <w:p w14:paraId="74030F11" w14:textId="77777777" w:rsidR="00586F5C" w:rsidRPr="00586F5C" w:rsidRDefault="00586F5C" w:rsidP="00586F5C">
      <w:pPr>
        <w:spacing w:before="0" w:after="0"/>
        <w:rPr>
          <w:rFonts w:asciiTheme="minorBidi" w:eastAsiaTheme="minorHAnsi" w:hAnsiTheme="minorBidi" w:cstheme="minorBidi"/>
          <w:color w:val="1F4E79" w:themeColor="accent5" w:themeShade="80"/>
          <w:szCs w:val="24"/>
          <w:lang w:eastAsia="en-US"/>
        </w:rPr>
      </w:pPr>
    </w:p>
    <w:p w14:paraId="3465F4D0" w14:textId="77777777" w:rsidR="00586F5C" w:rsidRPr="00586F5C" w:rsidRDefault="00586F5C" w:rsidP="00586F5C">
      <w:pPr>
        <w:spacing w:before="0" w:after="0"/>
        <w:rPr>
          <w:rFonts w:asciiTheme="minorBidi" w:eastAsiaTheme="minorHAnsi" w:hAnsiTheme="minorBidi" w:cstheme="minorBidi"/>
          <w:color w:val="1F4E79" w:themeColor="accent5" w:themeShade="80"/>
          <w:szCs w:val="24"/>
          <w:lang w:eastAsia="en-US"/>
        </w:rPr>
      </w:pPr>
      <w:r w:rsidRPr="00586F5C">
        <w:rPr>
          <w:rFonts w:asciiTheme="minorBidi" w:eastAsiaTheme="minorHAnsi" w:hAnsiTheme="minorBidi" w:cstheme="minorBidi"/>
          <w:color w:val="1F4E79" w:themeColor="accent5" w:themeShade="80"/>
          <w:szCs w:val="24"/>
          <w:lang w:eastAsia="en-US"/>
        </w:rPr>
        <w:br w:type="page"/>
      </w:r>
    </w:p>
    <w:p w14:paraId="466DB04B" w14:textId="77777777" w:rsidR="00586F5C" w:rsidRPr="00586F5C" w:rsidRDefault="00586F5C" w:rsidP="00586F5C">
      <w:pPr>
        <w:rPr>
          <w:rFonts w:ascii="Arial" w:eastAsiaTheme="minorHAnsi" w:hAnsi="Arial" w:cs="Arial"/>
          <w:color w:val="1F4E79" w:themeColor="accent5" w:themeShade="80"/>
          <w:szCs w:val="24"/>
          <w:lang w:eastAsia="en-US"/>
        </w:rPr>
      </w:pPr>
      <w:bookmarkStart w:id="15" w:name="_Hlk19879793"/>
      <w:r w:rsidRPr="00586F5C">
        <w:rPr>
          <w:rFonts w:ascii="Arial" w:eastAsiaTheme="minorHAnsi" w:hAnsi="Arial" w:cs="Arial"/>
          <w:color w:val="1F4E79" w:themeColor="accent5" w:themeShade="80"/>
          <w:sz w:val="56"/>
          <w:szCs w:val="56"/>
          <w:lang w:eastAsia="en-US"/>
        </w:rPr>
        <w:lastRenderedPageBreak/>
        <w:t>Responsiveness – cont.</w:t>
      </w:r>
    </w:p>
    <w:tbl>
      <w:tblPr>
        <w:tblStyle w:val="TableGrid1"/>
        <w:tblW w:w="10627" w:type="dxa"/>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Look w:val="04A0" w:firstRow="1" w:lastRow="0" w:firstColumn="1" w:lastColumn="0" w:noHBand="0" w:noVBand="1"/>
      </w:tblPr>
      <w:tblGrid>
        <w:gridCol w:w="6232"/>
        <w:gridCol w:w="4395"/>
      </w:tblGrid>
      <w:tr w:rsidR="00586F5C" w:rsidRPr="00586F5C" w14:paraId="05FBD558" w14:textId="77777777" w:rsidTr="003D36E0">
        <w:tc>
          <w:tcPr>
            <w:tcW w:w="6232" w:type="dxa"/>
            <w:shd w:val="clear" w:color="auto" w:fill="1F4E79" w:themeFill="accent5" w:themeFillShade="80"/>
            <w:vAlign w:val="center"/>
          </w:tcPr>
          <w:bookmarkEnd w:id="15"/>
          <w:p w14:paraId="79111A30" w14:textId="77777777" w:rsidR="00586F5C" w:rsidRPr="00586F5C" w:rsidRDefault="00586F5C" w:rsidP="00586F5C">
            <w:pPr>
              <w:jc w:val="center"/>
              <w:rPr>
                <w:rFonts w:ascii="Arial" w:eastAsiaTheme="minorHAnsi" w:hAnsi="Arial" w:cs="Arial"/>
                <w:b/>
                <w:bCs/>
                <w:color w:val="FFFFFF" w:themeColor="background1"/>
              </w:rPr>
            </w:pPr>
            <w:r w:rsidRPr="00586F5C">
              <w:rPr>
                <w:rFonts w:ascii="Arial" w:eastAsiaTheme="minorHAnsi" w:hAnsi="Arial" w:cs="Arial"/>
                <w:b/>
                <w:bCs/>
                <w:color w:val="FFFFFF" w:themeColor="background1"/>
              </w:rPr>
              <w:t>Performance</w:t>
            </w:r>
          </w:p>
        </w:tc>
        <w:tc>
          <w:tcPr>
            <w:tcW w:w="4395" w:type="dxa"/>
            <w:shd w:val="clear" w:color="auto" w:fill="1F4E79" w:themeFill="accent5" w:themeFillShade="80"/>
            <w:vAlign w:val="center"/>
          </w:tcPr>
          <w:p w14:paraId="2026A7B0" w14:textId="77777777" w:rsidR="00586F5C" w:rsidRPr="00586F5C" w:rsidRDefault="00586F5C" w:rsidP="00586F5C">
            <w:pPr>
              <w:jc w:val="center"/>
              <w:rPr>
                <w:rFonts w:ascii="Arial" w:eastAsiaTheme="minorHAnsi" w:hAnsi="Arial" w:cs="Arial"/>
                <w:b/>
                <w:bCs/>
                <w:color w:val="FFFFFF" w:themeColor="background1"/>
              </w:rPr>
            </w:pPr>
            <w:r w:rsidRPr="00586F5C">
              <w:rPr>
                <w:rFonts w:ascii="Arial" w:eastAsiaTheme="minorHAnsi" w:hAnsi="Arial" w:cs="Arial"/>
                <w:b/>
                <w:bCs/>
                <w:color w:val="FFFFFF" w:themeColor="background1"/>
              </w:rPr>
              <w:t>Progress</w:t>
            </w:r>
          </w:p>
        </w:tc>
      </w:tr>
      <w:tr w:rsidR="00586F5C" w:rsidRPr="00586F5C" w14:paraId="6DB909E8" w14:textId="77777777" w:rsidTr="003D36E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232" w:type="dxa"/>
          </w:tcPr>
          <w:p w14:paraId="2934529C" w14:textId="77777777" w:rsidR="00586F5C" w:rsidRPr="00586F5C" w:rsidRDefault="00586F5C" w:rsidP="00586F5C">
            <w:pPr>
              <w:jc w:val="center"/>
              <w:rPr>
                <w:rFonts w:asciiTheme="minorBidi" w:eastAsiaTheme="minorHAnsi" w:hAnsiTheme="minorBidi"/>
                <w:noProof/>
                <w:color w:val="1F4E79" w:themeColor="accent5" w:themeShade="80"/>
              </w:rPr>
            </w:pPr>
          </w:p>
          <w:p w14:paraId="5751E2A4" w14:textId="77777777" w:rsidR="00586F5C" w:rsidRPr="00586F5C" w:rsidRDefault="00586F5C" w:rsidP="00586F5C">
            <w:pPr>
              <w:jc w:val="center"/>
              <w:rPr>
                <w:rFonts w:asciiTheme="minorBidi" w:eastAsiaTheme="minorHAnsi" w:hAnsiTheme="minorBidi"/>
                <w:noProof/>
                <w:color w:val="1F4E79" w:themeColor="accent5" w:themeShade="80"/>
              </w:rPr>
            </w:pPr>
          </w:p>
          <w:p w14:paraId="7B70A1B7" w14:textId="77777777" w:rsidR="00586F5C" w:rsidRPr="00586F5C" w:rsidRDefault="00586F5C" w:rsidP="00586F5C">
            <w:pPr>
              <w:jc w:val="center"/>
              <w:rPr>
                <w:rFonts w:asciiTheme="minorBidi" w:eastAsiaTheme="minorHAnsi" w:hAnsiTheme="minorBidi"/>
                <w:noProof/>
                <w:color w:val="1F4E79" w:themeColor="accent5" w:themeShade="80"/>
              </w:rPr>
            </w:pPr>
          </w:p>
          <w:p w14:paraId="2AF8D827" w14:textId="77777777" w:rsidR="00586F5C" w:rsidRPr="00586F5C" w:rsidRDefault="00586F5C" w:rsidP="00586F5C">
            <w:pPr>
              <w:jc w:val="center"/>
              <w:rPr>
                <w:rFonts w:asciiTheme="minorBidi" w:eastAsiaTheme="minorHAnsi" w:hAnsiTheme="minorBidi"/>
                <w:noProof/>
                <w:color w:val="1F4E79" w:themeColor="accent5" w:themeShade="80"/>
              </w:rPr>
            </w:pPr>
          </w:p>
          <w:p w14:paraId="27890E96" w14:textId="77777777" w:rsidR="00586F5C" w:rsidRPr="00586F5C" w:rsidRDefault="00586F5C" w:rsidP="00586F5C">
            <w:pPr>
              <w:jc w:val="center"/>
              <w:rPr>
                <w:rFonts w:asciiTheme="minorBidi" w:eastAsiaTheme="minorHAnsi" w:hAnsiTheme="minorBidi"/>
                <w:noProof/>
                <w:color w:val="1F4E79" w:themeColor="accent5" w:themeShade="80"/>
              </w:rPr>
            </w:pPr>
          </w:p>
          <w:p w14:paraId="50014FBB" w14:textId="77777777" w:rsidR="00586F5C" w:rsidRPr="00586F5C" w:rsidRDefault="00586F5C" w:rsidP="00586F5C">
            <w:pPr>
              <w:jc w:val="center"/>
              <w:rPr>
                <w:rFonts w:asciiTheme="minorBidi" w:eastAsiaTheme="minorHAnsi" w:hAnsiTheme="minorBidi"/>
                <w:noProof/>
                <w:color w:val="1F4E79" w:themeColor="accent5" w:themeShade="80"/>
              </w:rPr>
            </w:pPr>
          </w:p>
          <w:p w14:paraId="5D5C9E76" w14:textId="77777777" w:rsidR="00586F5C" w:rsidRPr="00586F5C" w:rsidRDefault="00586F5C" w:rsidP="00586F5C">
            <w:pPr>
              <w:jc w:val="center"/>
              <w:rPr>
                <w:rFonts w:asciiTheme="minorBidi" w:eastAsiaTheme="minorHAnsi" w:hAnsiTheme="minorBidi"/>
                <w:noProof/>
                <w:color w:val="1F4E79" w:themeColor="accent5" w:themeShade="80"/>
              </w:rPr>
            </w:pPr>
            <w:r w:rsidRPr="00586F5C">
              <w:rPr>
                <w:rFonts w:asciiTheme="minorBidi" w:eastAsiaTheme="minorHAnsi" w:hAnsiTheme="minorBidi"/>
                <w:noProof/>
                <w:color w:val="1F4E79" w:themeColor="accent5" w:themeShade="80"/>
              </w:rPr>
              <w:drawing>
                <wp:inline distT="0" distB="0" distL="0" distR="0" wp14:anchorId="179A72D5" wp14:editId="1B341C0A">
                  <wp:extent cx="3652838" cy="2290763"/>
                  <wp:effectExtent l="0" t="0" r="5080" b="14605"/>
                  <wp:docPr id="4" name="Chart 4">
                    <a:extLst xmlns:a="http://schemas.openxmlformats.org/drawingml/2006/main">
                      <a:ext uri="{FF2B5EF4-FFF2-40B4-BE49-F238E27FC236}">
                        <a16:creationId xmlns:a16="http://schemas.microsoft.com/office/drawing/2014/main" id="{00000000-0008-0000-0100-00002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c>
          <w:tcPr>
            <w:tcW w:w="4395" w:type="dxa"/>
          </w:tcPr>
          <w:p w14:paraId="4537F36D" w14:textId="77777777" w:rsidR="00586F5C" w:rsidRPr="00586F5C" w:rsidRDefault="00586F5C" w:rsidP="00586F5C">
            <w:pPr>
              <w:rPr>
                <w:rFonts w:ascii="Arial" w:eastAsia="Arial" w:hAnsi="Arial" w:cs="Arial"/>
                <w:sz w:val="22"/>
                <w:szCs w:val="22"/>
              </w:rPr>
            </w:pPr>
            <w:r w:rsidRPr="00586F5C">
              <w:rPr>
                <w:rFonts w:ascii="Arial" w:eastAsia="Arial" w:hAnsi="Arial" w:cs="Arial"/>
                <w:color w:val="1F4E79" w:themeColor="accent5" w:themeShade="80"/>
                <w:sz w:val="22"/>
                <w:szCs w:val="22"/>
              </w:rPr>
              <w:t xml:space="preserve">The average weekly earnings of </w:t>
            </w:r>
            <w:r w:rsidRPr="00586F5C">
              <w:rPr>
                <w:rFonts w:ascii="Arial" w:eastAsia="Arial" w:hAnsi="Arial" w:cs="Arial"/>
                <w:b/>
                <w:color w:val="1F4E79" w:themeColor="accent5" w:themeShade="80"/>
                <w:sz w:val="22"/>
                <w:szCs w:val="22"/>
              </w:rPr>
              <w:t>people both working and living in Fife</w:t>
            </w:r>
            <w:r w:rsidRPr="00586F5C">
              <w:rPr>
                <w:rFonts w:ascii="Arial" w:eastAsia="Arial" w:hAnsi="Arial" w:cs="Arial"/>
                <w:color w:val="1F4E79" w:themeColor="accent5" w:themeShade="80"/>
                <w:sz w:val="22"/>
                <w:szCs w:val="22"/>
              </w:rPr>
              <w:t xml:space="preserve"> increased in 2018 after a decline the previous year. The earnings of people </w:t>
            </w:r>
            <w:r w:rsidRPr="00586F5C">
              <w:rPr>
                <w:rFonts w:ascii="Arial" w:eastAsia="Arial" w:hAnsi="Arial" w:cs="Arial"/>
                <w:b/>
                <w:color w:val="1F4E79" w:themeColor="accent5" w:themeShade="80"/>
                <w:sz w:val="22"/>
                <w:szCs w:val="22"/>
              </w:rPr>
              <w:t>working in Fife</w:t>
            </w:r>
            <w:r w:rsidRPr="00586F5C">
              <w:rPr>
                <w:rFonts w:ascii="Arial" w:eastAsia="Arial" w:hAnsi="Arial" w:cs="Arial"/>
                <w:color w:val="1F4E79" w:themeColor="accent5" w:themeShade="80"/>
                <w:sz w:val="22"/>
                <w:szCs w:val="22"/>
              </w:rPr>
              <w:t xml:space="preserve"> are significantly lower than those for people </w:t>
            </w:r>
            <w:r w:rsidRPr="00586F5C">
              <w:rPr>
                <w:rFonts w:ascii="Arial" w:eastAsia="Arial" w:hAnsi="Arial" w:cs="Arial"/>
                <w:b/>
                <w:color w:val="1F4E79" w:themeColor="accent5" w:themeShade="80"/>
                <w:sz w:val="22"/>
                <w:szCs w:val="22"/>
              </w:rPr>
              <w:t>living in Fife</w:t>
            </w:r>
            <w:r w:rsidRPr="00586F5C">
              <w:rPr>
                <w:rFonts w:ascii="Arial" w:eastAsia="Arial" w:hAnsi="Arial" w:cs="Arial"/>
                <w:color w:val="1F4E79" w:themeColor="accent5" w:themeShade="80"/>
                <w:sz w:val="22"/>
                <w:szCs w:val="22"/>
              </w:rPr>
              <w:t xml:space="preserve">, suggesting that jobs out with Fife provide higher earnings. </w:t>
            </w:r>
          </w:p>
          <w:p w14:paraId="0E827F48" w14:textId="77777777" w:rsidR="00586F5C" w:rsidRPr="00586F5C" w:rsidRDefault="00586F5C" w:rsidP="00586F5C">
            <w:pPr>
              <w:rPr>
                <w:rFonts w:ascii="Arial" w:eastAsia="Arial" w:hAnsi="Arial" w:cs="Arial"/>
                <w:color w:val="1F4E79" w:themeColor="accent5" w:themeShade="80"/>
                <w:sz w:val="22"/>
                <w:szCs w:val="22"/>
              </w:rPr>
            </w:pPr>
            <w:r w:rsidRPr="00586F5C">
              <w:rPr>
                <w:rFonts w:ascii="Arial" w:eastAsia="Arial" w:hAnsi="Arial" w:cs="Arial"/>
                <w:color w:val="1F4E79" w:themeColor="accent5" w:themeShade="80"/>
                <w:sz w:val="22"/>
                <w:szCs w:val="22"/>
              </w:rPr>
              <w:t xml:space="preserve">The average weekly earnings of </w:t>
            </w:r>
            <w:r w:rsidRPr="00586F5C">
              <w:rPr>
                <w:rFonts w:ascii="Arial" w:eastAsia="Arial" w:hAnsi="Arial" w:cs="Arial"/>
                <w:b/>
                <w:color w:val="1F4E79" w:themeColor="accent5" w:themeShade="80"/>
                <w:sz w:val="22"/>
                <w:szCs w:val="22"/>
              </w:rPr>
              <w:t>people working in Mid-Fife</w:t>
            </w:r>
            <w:r w:rsidRPr="00586F5C">
              <w:rPr>
                <w:rFonts w:ascii="Arial" w:eastAsia="Arial" w:hAnsi="Arial" w:cs="Arial"/>
                <w:color w:val="1F4E79" w:themeColor="accent5" w:themeShade="80"/>
                <w:sz w:val="22"/>
                <w:szCs w:val="22"/>
              </w:rPr>
              <w:t xml:space="preserve"> increased 2016 to 2018, but at a lower rate than the increase for Fife. Average weekly earnings for people working in Mid-Fife are lower than for both Fife and Scotland. A study of the Mid-Fife economy undertaken in 2019 suggests that this is due to the industrial mix in Mid-Fife – a high reliance on public sector jobs, strong manufacturing base and absence of knowledge-intensive business service jobs.</w:t>
            </w:r>
          </w:p>
          <w:p w14:paraId="3F59A919" w14:textId="77777777" w:rsidR="00586F5C" w:rsidRPr="00586F5C" w:rsidRDefault="00586F5C" w:rsidP="00586F5C">
            <w:pPr>
              <w:rPr>
                <w:rFonts w:ascii="Arial" w:eastAsiaTheme="minorHAnsi" w:hAnsi="Arial" w:cs="Arial"/>
                <w:color w:val="1F4E79" w:themeColor="accent5" w:themeShade="80"/>
                <w:sz w:val="22"/>
                <w:szCs w:val="22"/>
              </w:rPr>
            </w:pPr>
            <w:r w:rsidRPr="00586F5C">
              <w:rPr>
                <w:rFonts w:ascii="Arial" w:eastAsia="Arial" w:hAnsi="Arial" w:cs="Arial"/>
                <w:color w:val="1F4E79" w:themeColor="accent5" w:themeShade="80"/>
                <w:sz w:val="22"/>
                <w:szCs w:val="22"/>
              </w:rPr>
              <w:t xml:space="preserve">The earnings of </w:t>
            </w:r>
            <w:r w:rsidRPr="00586F5C">
              <w:rPr>
                <w:rFonts w:ascii="Arial" w:eastAsia="Arial" w:hAnsi="Arial" w:cs="Arial"/>
                <w:b/>
                <w:color w:val="1F4E79" w:themeColor="accent5" w:themeShade="80"/>
                <w:sz w:val="22"/>
                <w:szCs w:val="22"/>
              </w:rPr>
              <w:t>people who live in Mid-Fife</w:t>
            </w:r>
            <w:r w:rsidRPr="00586F5C">
              <w:rPr>
                <w:rFonts w:ascii="Arial" w:eastAsia="Arial" w:hAnsi="Arial" w:cs="Arial"/>
                <w:color w:val="1F4E79" w:themeColor="accent5" w:themeShade="80"/>
                <w:sz w:val="22"/>
                <w:szCs w:val="22"/>
              </w:rPr>
              <w:t xml:space="preserve"> are lower than those who work there. This is the reverse of what we see for Fife as a whole and suggests that a high proportion of people living in the Mid-Fife area are employed in lower-paid jobs, with better paid jobs within the area potentially being held by people who live elsewhere in Fife and/or out with Fife. It is also significant that resident weekly earnings in Mid-Fife fell in 2018, despite an increase in the figure for Fife as a whole</w:t>
            </w:r>
          </w:p>
        </w:tc>
      </w:tr>
      <w:tr w:rsidR="00586F5C" w:rsidRPr="00586F5C" w14:paraId="771BDF0F" w14:textId="77777777" w:rsidTr="003D36E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232" w:type="dxa"/>
          </w:tcPr>
          <w:p w14:paraId="6EBE03B6" w14:textId="77777777" w:rsidR="00586F5C" w:rsidRPr="00586F5C" w:rsidRDefault="00586F5C" w:rsidP="00586F5C">
            <w:pPr>
              <w:jc w:val="center"/>
              <w:rPr>
                <w:rFonts w:asciiTheme="minorBidi" w:eastAsiaTheme="minorHAnsi" w:hAnsiTheme="minorBidi"/>
                <w:noProof/>
                <w:color w:val="1F4E79" w:themeColor="accent5" w:themeShade="80"/>
              </w:rPr>
            </w:pPr>
            <w:r w:rsidRPr="00586F5C">
              <w:rPr>
                <w:rFonts w:asciiTheme="minorBidi" w:eastAsiaTheme="minorHAnsi" w:hAnsiTheme="minorBidi"/>
                <w:noProof/>
                <w:color w:val="1F4E79" w:themeColor="accent5" w:themeShade="80"/>
              </w:rPr>
              <w:drawing>
                <wp:inline distT="0" distB="0" distL="0" distR="0" wp14:anchorId="39246A20" wp14:editId="450813D5">
                  <wp:extent cx="3652838" cy="2281238"/>
                  <wp:effectExtent l="0" t="0" r="5080" b="5080"/>
                  <wp:docPr id="32" name="Chart 32">
                    <a:extLst xmlns:a="http://schemas.openxmlformats.org/drawingml/2006/main">
                      <a:ext uri="{FF2B5EF4-FFF2-40B4-BE49-F238E27FC236}">
                        <a16:creationId xmlns:a16="http://schemas.microsoft.com/office/drawing/2014/main" id="{00000000-0008-0000-0100-00002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c>
          <w:tcPr>
            <w:tcW w:w="4395" w:type="dxa"/>
          </w:tcPr>
          <w:p w14:paraId="0AA155D5" w14:textId="77777777" w:rsidR="00586F5C" w:rsidRPr="00586F5C" w:rsidRDefault="00586F5C" w:rsidP="00586F5C">
            <w:pPr>
              <w:rPr>
                <w:rFonts w:ascii="Arial" w:eastAsia="Arial" w:hAnsi="Arial" w:cs="Arial"/>
                <w:sz w:val="22"/>
                <w:szCs w:val="22"/>
              </w:rPr>
            </w:pPr>
            <w:r w:rsidRPr="00586F5C">
              <w:rPr>
                <w:rFonts w:ascii="Arial" w:eastAsia="Arial" w:hAnsi="Arial" w:cs="Arial"/>
                <w:color w:val="1F4E79" w:themeColor="accent5" w:themeShade="80"/>
                <w:sz w:val="22"/>
                <w:szCs w:val="22"/>
              </w:rPr>
              <w:t>The proportion of jobs in Mid-Fife that are paid less than the real Living Wage has decreased in 2018. The fall was greatest in the Kirkcaldy and Cowdenbeath Parliamentary Constituency.</w:t>
            </w:r>
            <w:r w:rsidRPr="00586F5C">
              <w:rPr>
                <w:rFonts w:ascii="Arial" w:eastAsia="Arial" w:hAnsi="Arial" w:cs="Arial"/>
                <w:color w:val="1F4E79" w:themeColor="accent5" w:themeShade="80"/>
                <w:sz w:val="22"/>
                <w:szCs w:val="22"/>
              </w:rPr>
              <w:br/>
              <w:t>In August 2019 Glenrothes became the first accredited Living Wage Town in the UK in recognition of its commitment to promoting the real Living Wage.</w:t>
            </w:r>
          </w:p>
          <w:p w14:paraId="6A667177" w14:textId="77777777" w:rsidR="00586F5C" w:rsidRPr="00586F5C" w:rsidRDefault="00586F5C" w:rsidP="00586F5C">
            <w:pPr>
              <w:rPr>
                <w:rFonts w:ascii="Arial" w:eastAsiaTheme="minorHAnsi" w:hAnsi="Arial" w:cs="Arial"/>
                <w:color w:val="1F4E79" w:themeColor="accent5" w:themeShade="80"/>
                <w:sz w:val="22"/>
                <w:szCs w:val="22"/>
              </w:rPr>
            </w:pPr>
          </w:p>
        </w:tc>
      </w:tr>
    </w:tbl>
    <w:p w14:paraId="034933D2" w14:textId="77777777" w:rsidR="00586F5C" w:rsidRPr="00586F5C" w:rsidRDefault="00586F5C" w:rsidP="00586F5C">
      <w:pPr>
        <w:spacing w:before="0" w:after="0"/>
        <w:rPr>
          <w:rFonts w:asciiTheme="minorBidi" w:eastAsiaTheme="minorHAnsi" w:hAnsiTheme="minorBidi" w:cstheme="minorBidi"/>
          <w:color w:val="1F4E79" w:themeColor="accent5" w:themeShade="80"/>
          <w:szCs w:val="24"/>
          <w:lang w:eastAsia="en-US"/>
        </w:rPr>
      </w:pPr>
    </w:p>
    <w:p w14:paraId="2A55AC06" w14:textId="77777777" w:rsidR="00586F5C" w:rsidRPr="00586F5C" w:rsidRDefault="00586F5C" w:rsidP="00586F5C">
      <w:pPr>
        <w:spacing w:before="0" w:after="0"/>
        <w:rPr>
          <w:rFonts w:asciiTheme="minorBidi" w:eastAsiaTheme="minorHAnsi" w:hAnsiTheme="minorBidi" w:cstheme="minorBidi"/>
          <w:color w:val="1F4E79" w:themeColor="accent5" w:themeShade="80"/>
          <w:szCs w:val="24"/>
          <w:lang w:eastAsia="en-US"/>
        </w:rPr>
      </w:pPr>
    </w:p>
    <w:p w14:paraId="33B52685" w14:textId="77777777" w:rsidR="00586F5C" w:rsidRPr="00586F5C" w:rsidRDefault="00586F5C" w:rsidP="00586F5C">
      <w:pPr>
        <w:rPr>
          <w:rFonts w:ascii="Arial" w:eastAsiaTheme="minorHAnsi" w:hAnsi="Arial" w:cs="Arial"/>
          <w:color w:val="1F4E79" w:themeColor="accent5" w:themeShade="80"/>
          <w:szCs w:val="24"/>
          <w:lang w:eastAsia="en-US"/>
        </w:rPr>
      </w:pPr>
      <w:r w:rsidRPr="00586F5C">
        <w:rPr>
          <w:rFonts w:ascii="Arial" w:eastAsiaTheme="minorHAnsi" w:hAnsi="Arial" w:cs="Arial"/>
          <w:color w:val="1F4E79" w:themeColor="accent5" w:themeShade="80"/>
          <w:sz w:val="56"/>
          <w:szCs w:val="56"/>
          <w:lang w:eastAsia="en-US"/>
        </w:rPr>
        <w:lastRenderedPageBreak/>
        <w:t>Responsiveness – cont.</w:t>
      </w:r>
    </w:p>
    <w:tbl>
      <w:tblPr>
        <w:tblStyle w:val="TableGrid1"/>
        <w:tblW w:w="10774" w:type="dxa"/>
        <w:tblInd w:w="-147" w:type="dxa"/>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Look w:val="04A0" w:firstRow="1" w:lastRow="0" w:firstColumn="1" w:lastColumn="0" w:noHBand="0" w:noVBand="1"/>
      </w:tblPr>
      <w:tblGrid>
        <w:gridCol w:w="6379"/>
        <w:gridCol w:w="4395"/>
      </w:tblGrid>
      <w:tr w:rsidR="00586F5C" w:rsidRPr="00586F5C" w14:paraId="2F9D61F0" w14:textId="77777777" w:rsidTr="003F5739">
        <w:tc>
          <w:tcPr>
            <w:tcW w:w="6379" w:type="dxa"/>
            <w:shd w:val="clear" w:color="auto" w:fill="1F4E79" w:themeFill="accent5" w:themeFillShade="80"/>
            <w:vAlign w:val="center"/>
          </w:tcPr>
          <w:p w14:paraId="4793799C" w14:textId="77777777" w:rsidR="00586F5C" w:rsidRPr="00586F5C" w:rsidRDefault="00586F5C" w:rsidP="00586F5C">
            <w:pPr>
              <w:jc w:val="center"/>
              <w:rPr>
                <w:rFonts w:ascii="Arial" w:eastAsiaTheme="minorHAnsi" w:hAnsi="Arial" w:cs="Arial"/>
                <w:b/>
                <w:bCs/>
                <w:color w:val="FFFFFF" w:themeColor="background1"/>
              </w:rPr>
            </w:pPr>
            <w:r w:rsidRPr="00586F5C">
              <w:rPr>
                <w:rFonts w:ascii="Arial" w:eastAsiaTheme="minorHAnsi" w:hAnsi="Arial" w:cs="Arial"/>
                <w:b/>
                <w:bCs/>
                <w:color w:val="FFFFFF" w:themeColor="background1"/>
              </w:rPr>
              <w:t>Performance</w:t>
            </w:r>
          </w:p>
        </w:tc>
        <w:tc>
          <w:tcPr>
            <w:tcW w:w="4395" w:type="dxa"/>
            <w:shd w:val="clear" w:color="auto" w:fill="1F4E79" w:themeFill="accent5" w:themeFillShade="80"/>
            <w:vAlign w:val="center"/>
          </w:tcPr>
          <w:p w14:paraId="7FAD1F79" w14:textId="77777777" w:rsidR="00586F5C" w:rsidRPr="00586F5C" w:rsidRDefault="00586F5C" w:rsidP="00586F5C">
            <w:pPr>
              <w:jc w:val="center"/>
              <w:rPr>
                <w:rFonts w:ascii="Arial" w:eastAsiaTheme="minorHAnsi" w:hAnsi="Arial" w:cs="Arial"/>
                <w:b/>
                <w:bCs/>
                <w:color w:val="FFFFFF" w:themeColor="background1"/>
              </w:rPr>
            </w:pPr>
            <w:r w:rsidRPr="00586F5C">
              <w:rPr>
                <w:rFonts w:ascii="Arial" w:eastAsiaTheme="minorHAnsi" w:hAnsi="Arial" w:cs="Arial"/>
                <w:b/>
                <w:bCs/>
                <w:color w:val="FFFFFF" w:themeColor="background1"/>
              </w:rPr>
              <w:t>Progress</w:t>
            </w:r>
          </w:p>
        </w:tc>
      </w:tr>
      <w:tr w:rsidR="00586F5C" w:rsidRPr="00586F5C" w14:paraId="5DEF1513" w14:textId="77777777" w:rsidTr="003F57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379" w:type="dxa"/>
          </w:tcPr>
          <w:p w14:paraId="43C30D21" w14:textId="77777777" w:rsidR="00586F5C" w:rsidRPr="00586F5C" w:rsidRDefault="00586F5C" w:rsidP="00586F5C">
            <w:pPr>
              <w:jc w:val="center"/>
              <w:rPr>
                <w:rFonts w:asciiTheme="minorBidi" w:eastAsiaTheme="minorHAnsi" w:hAnsiTheme="minorBidi"/>
                <w:noProof/>
                <w:color w:val="1F4E79" w:themeColor="accent5" w:themeShade="80"/>
              </w:rPr>
            </w:pPr>
            <w:r w:rsidRPr="00586F5C">
              <w:rPr>
                <w:rFonts w:asciiTheme="minorBidi" w:eastAsiaTheme="minorHAnsi" w:hAnsiTheme="minorBidi"/>
                <w:noProof/>
                <w:color w:val="1F4E79" w:themeColor="accent5" w:themeShade="80"/>
              </w:rPr>
              <w:drawing>
                <wp:inline distT="0" distB="0" distL="0" distR="0" wp14:anchorId="61EDB3C9" wp14:editId="771704F3">
                  <wp:extent cx="3652838" cy="2290763"/>
                  <wp:effectExtent l="0" t="0" r="5080" b="14605"/>
                  <wp:docPr id="33" name="Chart 33">
                    <a:extLst xmlns:a="http://schemas.openxmlformats.org/drawingml/2006/main">
                      <a:ext uri="{FF2B5EF4-FFF2-40B4-BE49-F238E27FC236}">
                        <a16:creationId xmlns:a16="http://schemas.microsoft.com/office/drawing/2014/main" id="{00000000-0008-0000-0100-00002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CDB75C5" w14:textId="77777777" w:rsidR="00586F5C" w:rsidRPr="00586F5C" w:rsidRDefault="00586F5C" w:rsidP="00586F5C">
            <w:pPr>
              <w:jc w:val="center"/>
              <w:rPr>
                <w:rFonts w:asciiTheme="minorBidi" w:eastAsiaTheme="minorHAnsi" w:hAnsiTheme="minorBidi"/>
                <w:noProof/>
                <w:color w:val="1F4E79" w:themeColor="accent5" w:themeShade="80"/>
              </w:rPr>
            </w:pPr>
          </w:p>
        </w:tc>
        <w:tc>
          <w:tcPr>
            <w:tcW w:w="4395" w:type="dxa"/>
            <w:vMerge w:val="restart"/>
          </w:tcPr>
          <w:p w14:paraId="7A41C4AE" w14:textId="77777777" w:rsidR="00586F5C" w:rsidRPr="00586F5C" w:rsidRDefault="00586F5C" w:rsidP="00586F5C">
            <w:pPr>
              <w:spacing w:before="0" w:after="0"/>
              <w:rPr>
                <w:rFonts w:ascii="Arial" w:eastAsia="Arial" w:hAnsi="Arial" w:cs="Arial"/>
                <w:sz w:val="21"/>
                <w:szCs w:val="21"/>
              </w:rPr>
            </w:pPr>
            <w:r w:rsidRPr="00586F5C">
              <w:rPr>
                <w:rFonts w:ascii="Arial" w:eastAsia="Arial" w:hAnsi="Arial" w:cs="Arial"/>
                <w:color w:val="1F4E79" w:themeColor="accent5" w:themeShade="80"/>
                <w:sz w:val="21"/>
                <w:szCs w:val="21"/>
              </w:rPr>
              <w:t>The unemployment rate in Fife increased slightly in 2018 but is still at its lowest level since the 1970s. Low unemployment, combined with a small increase in wages, is consistent with national trends since the 2008 recession.</w:t>
            </w:r>
          </w:p>
          <w:p w14:paraId="4823374E" w14:textId="77777777" w:rsidR="00586F5C" w:rsidRPr="00586F5C" w:rsidRDefault="00586F5C" w:rsidP="00586F5C">
            <w:pPr>
              <w:spacing w:before="0" w:after="0"/>
              <w:rPr>
                <w:rFonts w:ascii="Arial" w:eastAsia="Arial" w:hAnsi="Arial" w:cs="Arial"/>
                <w:color w:val="1F4E79" w:themeColor="accent5" w:themeShade="80"/>
                <w:sz w:val="21"/>
                <w:szCs w:val="21"/>
              </w:rPr>
            </w:pPr>
            <w:r w:rsidRPr="00586F5C">
              <w:rPr>
                <w:rFonts w:ascii="Arial" w:eastAsia="Arial" w:hAnsi="Arial" w:cs="Arial"/>
                <w:color w:val="1F4E79" w:themeColor="accent5" w:themeShade="80"/>
                <w:sz w:val="21"/>
                <w:szCs w:val="21"/>
              </w:rPr>
              <w:t>The 2018 unemployment rate for Fife of 3.9% is slightly better than the Scottish average of 4.3%.  Analysis undertaken on behalf of the Scottish Government, however, raises concerns that Brexit may have a major short- to medium-term negative impact on unemployment.</w:t>
            </w:r>
          </w:p>
          <w:p w14:paraId="0A0D7AFD" w14:textId="77777777" w:rsidR="00586F5C" w:rsidRPr="00586F5C" w:rsidRDefault="00586F5C" w:rsidP="00586F5C">
            <w:pPr>
              <w:spacing w:before="0"/>
              <w:rPr>
                <w:rFonts w:ascii="Arial" w:eastAsia="Arial" w:hAnsi="Arial" w:cs="Arial"/>
                <w:sz w:val="21"/>
                <w:szCs w:val="21"/>
              </w:rPr>
            </w:pPr>
            <w:r w:rsidRPr="00586F5C">
              <w:rPr>
                <w:rFonts w:ascii="Arial" w:eastAsia="Arial" w:hAnsi="Arial" w:cs="Arial"/>
                <w:color w:val="1F4E79" w:themeColor="accent5" w:themeShade="80"/>
                <w:sz w:val="21"/>
                <w:szCs w:val="21"/>
              </w:rPr>
              <w:t>The 2018 employment rate for Fife was higher than before the 2008 recession and the highest it has been since the 1970s.  Whilst this mirrors the national trend, the Fife rate was 1.1 percentage points higher than the figure for Scotland as a whole</w:t>
            </w:r>
          </w:p>
          <w:p w14:paraId="0F2599A1" w14:textId="77777777" w:rsidR="001D1617" w:rsidRPr="003F5739" w:rsidRDefault="00586F5C" w:rsidP="001D1617">
            <w:pPr>
              <w:spacing w:before="0"/>
              <w:rPr>
                <w:rFonts w:ascii="Arial" w:eastAsia="Arial" w:hAnsi="Arial" w:cs="Arial"/>
                <w:color w:val="1F4E79" w:themeColor="accent5" w:themeShade="80"/>
                <w:sz w:val="21"/>
                <w:szCs w:val="21"/>
              </w:rPr>
            </w:pPr>
            <w:r w:rsidRPr="00586F5C">
              <w:rPr>
                <w:rFonts w:ascii="Arial" w:eastAsia="Arial" w:hAnsi="Arial" w:cs="Arial"/>
                <w:color w:val="1F4E79" w:themeColor="accent5" w:themeShade="80"/>
                <w:sz w:val="21"/>
                <w:szCs w:val="21"/>
              </w:rPr>
              <w:t>The 2018 employment rate for Mid-Fife was higher than the previous year and, for the first time, slightly higher than the Scottish average. It was however 0.9 percentage points lower than the Fife average. Employment rates are below average in all parts of Mid-Fife, except for Glenrothes. Mid-Fife has a shortfall of those in work by more than 2,000 when compared to the Scotland average. Research carried out as part of the 2019 Mid-Fife Action Plan suggests that this shortfall is almost entirely as a result of lower female employment rates.</w:t>
            </w:r>
          </w:p>
          <w:p w14:paraId="3BD4A39C" w14:textId="20847927" w:rsidR="001D1617" w:rsidRPr="003F5739" w:rsidRDefault="001D1617" w:rsidP="003F5739">
            <w:pPr>
              <w:rPr>
                <w:rFonts w:ascii="Arial" w:eastAsia="Arial" w:hAnsi="Arial" w:cs="Arial"/>
                <w:color w:val="1F4E79" w:themeColor="accent5" w:themeShade="80"/>
                <w:sz w:val="21"/>
                <w:szCs w:val="21"/>
              </w:rPr>
            </w:pPr>
            <w:r w:rsidRPr="00586F5C">
              <w:rPr>
                <w:rFonts w:ascii="Arial" w:eastAsiaTheme="minorHAnsi" w:hAnsi="Arial" w:cs="Arial"/>
                <w:color w:val="1F4E79" w:themeColor="accent5" w:themeShade="80"/>
                <w:sz w:val="21"/>
                <w:szCs w:val="21"/>
              </w:rPr>
              <w:t>This indicator is used to measure the percentage of people aged 16-64 claiming either Job-Seeker’s Allowance (JSA) or Universal Credit (UC).</w:t>
            </w:r>
            <w:r w:rsidR="003F5739" w:rsidRPr="003F5739">
              <w:rPr>
                <w:rFonts w:ascii="Arial" w:eastAsiaTheme="minorHAnsi" w:hAnsi="Arial" w:cs="Arial"/>
                <w:color w:val="1F4E79" w:themeColor="accent5" w:themeShade="80"/>
                <w:sz w:val="21"/>
                <w:szCs w:val="21"/>
              </w:rPr>
              <w:t xml:space="preserve"> </w:t>
            </w:r>
            <w:r w:rsidRPr="00586F5C">
              <w:rPr>
                <w:rFonts w:ascii="Arial" w:eastAsiaTheme="minorHAnsi" w:hAnsi="Arial" w:cs="Arial"/>
                <w:color w:val="1F4E79" w:themeColor="accent5" w:themeShade="80"/>
                <w:sz w:val="21"/>
                <w:szCs w:val="21"/>
              </w:rPr>
              <w:t>Under UC, more claimants are required to look for work than under Jobseeker’s Allowance.  Consequently, as Universal Credit Full Service is being rolled out, the number of people recorded as being on the Claimant Count has risen. Whilst the claimant count rates appear to have increased at higher rates than Scotland in both Fife and Mid-Fife, comparisons of the 2018 and 2017 figures must be made with caution due to the different structure of claimants across these periods and between Fife and Scotland.</w:t>
            </w:r>
          </w:p>
          <w:p w14:paraId="4233F29C" w14:textId="77434AC1" w:rsidR="001D1617" w:rsidRPr="00586F5C" w:rsidRDefault="001D1617" w:rsidP="001D1617">
            <w:pPr>
              <w:spacing w:before="0"/>
              <w:rPr>
                <w:rFonts w:ascii="Arial" w:eastAsiaTheme="minorHAnsi" w:hAnsi="Arial" w:cs="Arial"/>
                <w:color w:val="FF0000"/>
                <w:sz w:val="21"/>
                <w:szCs w:val="21"/>
              </w:rPr>
            </w:pPr>
          </w:p>
        </w:tc>
      </w:tr>
      <w:tr w:rsidR="00586F5C" w:rsidRPr="00586F5C" w14:paraId="14EFC064" w14:textId="77777777" w:rsidTr="003F57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884"/>
        </w:trPr>
        <w:tc>
          <w:tcPr>
            <w:tcW w:w="6379" w:type="dxa"/>
          </w:tcPr>
          <w:p w14:paraId="14271D02" w14:textId="77777777" w:rsidR="00586F5C" w:rsidRDefault="00586F5C" w:rsidP="00586F5C">
            <w:pPr>
              <w:jc w:val="center"/>
              <w:rPr>
                <w:rFonts w:asciiTheme="minorBidi" w:eastAsiaTheme="minorHAnsi" w:hAnsiTheme="minorBidi"/>
                <w:noProof/>
                <w:color w:val="1F4E79" w:themeColor="accent5" w:themeShade="80"/>
              </w:rPr>
            </w:pPr>
            <w:r w:rsidRPr="00586F5C">
              <w:rPr>
                <w:rFonts w:asciiTheme="minorBidi" w:eastAsiaTheme="minorHAnsi" w:hAnsiTheme="minorBidi"/>
                <w:noProof/>
                <w:color w:val="1F4E79" w:themeColor="accent5" w:themeShade="80"/>
              </w:rPr>
              <w:drawing>
                <wp:inline distT="0" distB="0" distL="0" distR="0" wp14:anchorId="4925E3CD" wp14:editId="4DA0FD53">
                  <wp:extent cx="3652838" cy="2281238"/>
                  <wp:effectExtent l="0" t="0" r="5080" b="5080"/>
                  <wp:docPr id="35" name="Chart 35">
                    <a:extLst xmlns:a="http://schemas.openxmlformats.org/drawingml/2006/main">
                      <a:ext uri="{FF2B5EF4-FFF2-40B4-BE49-F238E27FC236}">
                        <a16:creationId xmlns:a16="http://schemas.microsoft.com/office/drawing/2014/main" id="{00000000-0008-0000-0100-00002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2B00448" w14:textId="77777777" w:rsidR="001D1617" w:rsidRDefault="001D1617" w:rsidP="001D1617">
            <w:pPr>
              <w:rPr>
                <w:rFonts w:asciiTheme="minorBidi" w:eastAsiaTheme="minorHAnsi" w:hAnsiTheme="minorBidi"/>
                <w:noProof/>
                <w:color w:val="1F4E79" w:themeColor="accent5" w:themeShade="80"/>
              </w:rPr>
            </w:pPr>
          </w:p>
          <w:p w14:paraId="380861E7" w14:textId="7DD69366" w:rsidR="001D1617" w:rsidRPr="00586F5C" w:rsidRDefault="001D1617" w:rsidP="001D1617">
            <w:pPr>
              <w:rPr>
                <w:rFonts w:asciiTheme="minorBidi" w:eastAsiaTheme="minorHAnsi" w:hAnsiTheme="minorBidi"/>
              </w:rPr>
            </w:pPr>
            <w:r w:rsidRPr="00586F5C">
              <w:rPr>
                <w:rFonts w:asciiTheme="minorBidi" w:eastAsiaTheme="minorHAnsi" w:hAnsiTheme="minorBidi"/>
                <w:noProof/>
                <w:color w:val="1F4E79" w:themeColor="accent5" w:themeShade="80"/>
              </w:rPr>
              <w:drawing>
                <wp:inline distT="0" distB="0" distL="0" distR="0" wp14:anchorId="2BE1AD1D" wp14:editId="0BBAEB29">
                  <wp:extent cx="3667125" cy="2281238"/>
                  <wp:effectExtent l="0" t="0" r="9525" b="5080"/>
                  <wp:docPr id="20" name="Chart 20">
                    <a:extLst xmlns:a="http://schemas.openxmlformats.org/drawingml/2006/main">
                      <a:ext uri="{FF2B5EF4-FFF2-40B4-BE49-F238E27FC236}">
                        <a16:creationId xmlns:a16="http://schemas.microsoft.com/office/drawing/2014/main" id="{19F21A15-FB9C-4C72-A7F7-40C50DC6DB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c>
        <w:tc>
          <w:tcPr>
            <w:tcW w:w="4395" w:type="dxa"/>
            <w:vMerge/>
          </w:tcPr>
          <w:p w14:paraId="34A0B941" w14:textId="77777777" w:rsidR="00586F5C" w:rsidRPr="00586F5C" w:rsidRDefault="00586F5C" w:rsidP="00586F5C">
            <w:pPr>
              <w:rPr>
                <w:rFonts w:asciiTheme="minorBidi" w:eastAsiaTheme="minorHAnsi" w:hAnsiTheme="minorBidi"/>
                <w:color w:val="1F4E79" w:themeColor="accent5" w:themeShade="80"/>
              </w:rPr>
            </w:pPr>
          </w:p>
        </w:tc>
      </w:tr>
    </w:tbl>
    <w:p w14:paraId="0764D216" w14:textId="77777777" w:rsidR="00586F5C" w:rsidRPr="00586F5C" w:rsidRDefault="00586F5C" w:rsidP="00586F5C">
      <w:pPr>
        <w:spacing w:before="0" w:after="0"/>
        <w:rPr>
          <w:rFonts w:ascii="Arial" w:eastAsiaTheme="minorHAnsi" w:hAnsi="Arial" w:cs="Arial"/>
          <w:color w:val="1F4E79" w:themeColor="accent5" w:themeShade="80"/>
          <w:szCs w:val="24"/>
          <w:lang w:eastAsia="en-US"/>
        </w:rPr>
      </w:pPr>
      <w:r w:rsidRPr="00586F5C">
        <w:rPr>
          <w:rFonts w:asciiTheme="minorBidi" w:eastAsiaTheme="minorHAnsi" w:hAnsiTheme="minorBidi" w:cstheme="minorBidi"/>
          <w:color w:val="1F4E79" w:themeColor="accent5" w:themeShade="80"/>
          <w:szCs w:val="24"/>
          <w:lang w:eastAsia="en-US"/>
        </w:rPr>
        <w:br w:type="page"/>
      </w:r>
      <w:bookmarkStart w:id="16" w:name="_Hlk19027172"/>
      <w:r w:rsidRPr="00586F5C">
        <w:rPr>
          <w:rFonts w:ascii="Arial" w:eastAsiaTheme="minorHAnsi" w:hAnsi="Arial" w:cs="Arial"/>
          <w:color w:val="1F4E79" w:themeColor="accent5" w:themeShade="80"/>
          <w:sz w:val="56"/>
          <w:szCs w:val="56"/>
          <w:lang w:eastAsia="en-US"/>
        </w:rPr>
        <w:lastRenderedPageBreak/>
        <w:t>Responsiveness – cont.</w:t>
      </w:r>
    </w:p>
    <w:tbl>
      <w:tblPr>
        <w:tblStyle w:val="TableGrid1"/>
        <w:tblW w:w="10627" w:type="dxa"/>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Look w:val="04A0" w:firstRow="1" w:lastRow="0" w:firstColumn="1" w:lastColumn="0" w:noHBand="0" w:noVBand="1"/>
      </w:tblPr>
      <w:tblGrid>
        <w:gridCol w:w="6232"/>
        <w:gridCol w:w="4395"/>
      </w:tblGrid>
      <w:tr w:rsidR="00586F5C" w:rsidRPr="00586F5C" w14:paraId="4C71CE3D" w14:textId="77777777" w:rsidTr="003D36E0">
        <w:tc>
          <w:tcPr>
            <w:tcW w:w="6232" w:type="dxa"/>
            <w:shd w:val="clear" w:color="auto" w:fill="1F4E79" w:themeFill="accent5" w:themeFillShade="80"/>
            <w:vAlign w:val="center"/>
          </w:tcPr>
          <w:p w14:paraId="41DC5455" w14:textId="77777777" w:rsidR="00586F5C" w:rsidRPr="00586F5C" w:rsidRDefault="00586F5C" w:rsidP="00586F5C">
            <w:pPr>
              <w:jc w:val="center"/>
              <w:rPr>
                <w:rFonts w:ascii="Arial" w:eastAsiaTheme="minorHAnsi" w:hAnsi="Arial" w:cs="Arial"/>
                <w:b/>
                <w:bCs/>
                <w:color w:val="FFFFFF" w:themeColor="background1"/>
              </w:rPr>
            </w:pPr>
            <w:bookmarkStart w:id="17" w:name="_Hlk19188177"/>
            <w:r w:rsidRPr="00586F5C">
              <w:rPr>
                <w:rFonts w:ascii="Arial" w:eastAsiaTheme="minorHAnsi" w:hAnsi="Arial" w:cs="Arial"/>
                <w:b/>
                <w:bCs/>
                <w:color w:val="FFFFFF" w:themeColor="background1"/>
              </w:rPr>
              <w:t>Performance</w:t>
            </w:r>
          </w:p>
        </w:tc>
        <w:tc>
          <w:tcPr>
            <w:tcW w:w="4395" w:type="dxa"/>
            <w:shd w:val="clear" w:color="auto" w:fill="1F4E79" w:themeFill="accent5" w:themeFillShade="80"/>
            <w:vAlign w:val="center"/>
          </w:tcPr>
          <w:p w14:paraId="3C9C1F84" w14:textId="77777777" w:rsidR="00586F5C" w:rsidRPr="00586F5C" w:rsidRDefault="00586F5C" w:rsidP="00586F5C">
            <w:pPr>
              <w:jc w:val="center"/>
              <w:rPr>
                <w:rFonts w:ascii="Arial" w:eastAsiaTheme="minorHAnsi" w:hAnsi="Arial" w:cs="Arial"/>
                <w:b/>
                <w:bCs/>
                <w:color w:val="FFFFFF" w:themeColor="background1"/>
              </w:rPr>
            </w:pPr>
            <w:r w:rsidRPr="00586F5C">
              <w:rPr>
                <w:rFonts w:ascii="Arial" w:eastAsiaTheme="minorHAnsi" w:hAnsi="Arial" w:cs="Arial"/>
                <w:b/>
                <w:bCs/>
                <w:color w:val="FFFFFF" w:themeColor="background1"/>
              </w:rPr>
              <w:t>Progress</w:t>
            </w:r>
          </w:p>
        </w:tc>
      </w:tr>
      <w:tr w:rsidR="00586F5C" w:rsidRPr="00586F5C" w14:paraId="05BBFE89" w14:textId="77777777" w:rsidTr="003D36E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232" w:type="dxa"/>
            <w:shd w:val="clear" w:color="auto" w:fill="auto"/>
          </w:tcPr>
          <w:p w14:paraId="4501D858" w14:textId="77777777" w:rsidR="00586F5C" w:rsidRPr="00586F5C" w:rsidRDefault="00586F5C" w:rsidP="00586F5C">
            <w:pPr>
              <w:jc w:val="center"/>
              <w:rPr>
                <w:rFonts w:asciiTheme="minorBidi" w:eastAsiaTheme="minorHAnsi" w:hAnsiTheme="minorBidi"/>
                <w:noProof/>
                <w:color w:val="1F4E79" w:themeColor="accent5" w:themeShade="80"/>
              </w:rPr>
            </w:pPr>
            <w:bookmarkStart w:id="18" w:name="_Hlk19868569"/>
            <w:bookmarkEnd w:id="16"/>
            <w:bookmarkEnd w:id="17"/>
            <w:r w:rsidRPr="00586F5C">
              <w:rPr>
                <w:rFonts w:asciiTheme="minorBidi" w:eastAsiaTheme="minorHAnsi" w:hAnsiTheme="minorBidi"/>
                <w:noProof/>
                <w:color w:val="1F4E79" w:themeColor="accent5" w:themeShade="80"/>
              </w:rPr>
              <w:drawing>
                <wp:inline distT="0" distB="0" distL="0" distR="0" wp14:anchorId="06D6C9B9" wp14:editId="6345FD43">
                  <wp:extent cx="3700145" cy="2133600"/>
                  <wp:effectExtent l="0" t="0" r="14605" b="0"/>
                  <wp:docPr id="44" name="Chart 44">
                    <a:extLst xmlns:a="http://schemas.openxmlformats.org/drawingml/2006/main">
                      <a:ext uri="{FF2B5EF4-FFF2-40B4-BE49-F238E27FC236}">
                        <a16:creationId xmlns:a16="http://schemas.microsoft.com/office/drawing/2014/main" id="{9ECA0AC0-7534-43F4-A0E6-AB3C651AE9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c>
          <w:tcPr>
            <w:tcW w:w="4395" w:type="dxa"/>
            <w:shd w:val="clear" w:color="auto" w:fill="auto"/>
          </w:tcPr>
          <w:p w14:paraId="72D58E2B" w14:textId="77777777" w:rsidR="00586F5C" w:rsidRPr="00586F5C" w:rsidRDefault="00586F5C" w:rsidP="003F5739">
            <w:pPr>
              <w:spacing w:before="0" w:after="0"/>
              <w:rPr>
                <w:rFonts w:ascii="Arial" w:eastAsia="Arial" w:hAnsi="Arial" w:cs="Arial"/>
                <w:color w:val="1F4E79" w:themeColor="accent5" w:themeShade="80"/>
                <w:sz w:val="22"/>
                <w:szCs w:val="22"/>
              </w:rPr>
            </w:pPr>
            <w:r w:rsidRPr="00586F5C">
              <w:rPr>
                <w:rFonts w:ascii="Arial" w:eastAsia="Arial" w:hAnsi="Arial" w:cs="Arial"/>
                <w:color w:val="1F4E79" w:themeColor="accent5" w:themeShade="80"/>
                <w:sz w:val="22"/>
                <w:szCs w:val="22"/>
              </w:rPr>
              <w:t>The volume of Fife Council's Modern Apprenticeships and Foundation Apprenticeships contracts has been increasing year on year since 2017. There has been an increased drive to promote the Foundation Apprenticeships within all 18 High Schools in Fife, leading to increased numbers moving onto Modern and Graduate apprenticeships.   Each school has been assigned a DYW co-ordinator one day per week and we have also developed an FA App which will promote the Apprenticeship family to a wider school audience.</w:t>
            </w:r>
          </w:p>
        </w:tc>
      </w:tr>
      <w:tr w:rsidR="00586F5C" w:rsidRPr="00586F5C" w14:paraId="052ECB79" w14:textId="77777777" w:rsidTr="003D36E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232" w:type="dxa"/>
            <w:shd w:val="clear" w:color="auto" w:fill="auto"/>
          </w:tcPr>
          <w:p w14:paraId="18208B70" w14:textId="77777777" w:rsidR="00586F5C" w:rsidRPr="00586F5C" w:rsidRDefault="00586F5C" w:rsidP="00586F5C">
            <w:pPr>
              <w:spacing w:before="1200"/>
              <w:jc w:val="center"/>
              <w:rPr>
                <w:rFonts w:asciiTheme="minorBidi" w:eastAsiaTheme="minorHAnsi" w:hAnsiTheme="minorBidi"/>
                <w:noProof/>
                <w:color w:val="1F4E79" w:themeColor="accent5" w:themeShade="80"/>
              </w:rPr>
            </w:pPr>
            <w:bookmarkStart w:id="19" w:name="_Hlk19188196"/>
            <w:bookmarkEnd w:id="18"/>
            <w:r w:rsidRPr="00586F5C">
              <w:rPr>
                <w:rFonts w:asciiTheme="minorBidi" w:eastAsiaTheme="minorHAnsi" w:hAnsiTheme="minorBidi"/>
                <w:noProof/>
                <w:color w:val="1F4E79" w:themeColor="accent5" w:themeShade="80"/>
              </w:rPr>
              <w:drawing>
                <wp:inline distT="0" distB="0" distL="0" distR="0" wp14:anchorId="62BE8309" wp14:editId="45752F57">
                  <wp:extent cx="3652838" cy="2281238"/>
                  <wp:effectExtent l="0" t="0" r="5080" b="14605"/>
                  <wp:docPr id="27" name="Chart 27">
                    <a:extLst xmlns:a="http://schemas.openxmlformats.org/drawingml/2006/main">
                      <a:ext uri="{FF2B5EF4-FFF2-40B4-BE49-F238E27FC236}">
                        <a16:creationId xmlns:a16="http://schemas.microsoft.com/office/drawing/2014/main" id="{CD0379AC-5E55-4FDB-83E7-279A0FA248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c>
          <w:tcPr>
            <w:tcW w:w="4395" w:type="dxa"/>
            <w:shd w:val="clear" w:color="auto" w:fill="auto"/>
          </w:tcPr>
          <w:p w14:paraId="33920DF9" w14:textId="77777777" w:rsidR="00586F5C" w:rsidRPr="00586F5C" w:rsidRDefault="00586F5C" w:rsidP="003F5739">
            <w:pPr>
              <w:spacing w:before="0" w:after="0"/>
              <w:rPr>
                <w:rFonts w:ascii="Arial" w:eastAsia="Arial" w:hAnsi="Arial" w:cs="Arial"/>
                <w:color w:val="1F4E79" w:themeColor="accent5" w:themeShade="80"/>
                <w:sz w:val="22"/>
                <w:szCs w:val="22"/>
              </w:rPr>
            </w:pPr>
            <w:r w:rsidRPr="00586F5C">
              <w:rPr>
                <w:rFonts w:ascii="Arial" w:eastAsia="Arial" w:hAnsi="Arial" w:cs="Arial"/>
                <w:color w:val="1F4E79" w:themeColor="accent5" w:themeShade="80"/>
                <w:sz w:val="22"/>
                <w:szCs w:val="22"/>
              </w:rPr>
              <w:t xml:space="preserve">Although the Improvement Service have not yet published 2018/19 figures, an estimated figure for Fife is 19.8.  The drop in Fife figures is attributed to the fact that the </w:t>
            </w:r>
            <w:proofErr w:type="spellStart"/>
            <w:r w:rsidRPr="00586F5C">
              <w:rPr>
                <w:rFonts w:ascii="Arial" w:eastAsia="Arial" w:hAnsi="Arial" w:cs="Arial"/>
                <w:color w:val="1F4E79" w:themeColor="accent5" w:themeShade="80"/>
                <w:sz w:val="22"/>
                <w:szCs w:val="22"/>
              </w:rPr>
              <w:t>Longannet</w:t>
            </w:r>
            <w:proofErr w:type="spellEnd"/>
            <w:r w:rsidRPr="00586F5C">
              <w:rPr>
                <w:rFonts w:ascii="Arial" w:eastAsia="Arial" w:hAnsi="Arial" w:cs="Arial"/>
                <w:color w:val="1F4E79" w:themeColor="accent5" w:themeShade="80"/>
                <w:sz w:val="22"/>
                <w:szCs w:val="22"/>
              </w:rPr>
              <w:t xml:space="preserve"> Site formally used as a power station by Scottish Power became classified as employment land. The Scottish Average being higher than Fife can be explained by Fife having a very large proportion of employment land in comparison to city authorities and discrepancies in how immediately available employment land is classified across all authorities. Fife will be working with Aberdeenshire Council to try and ensure that a consistent approach is taken in the Future.</w:t>
            </w:r>
          </w:p>
        </w:tc>
      </w:tr>
      <w:bookmarkEnd w:id="19"/>
      <w:tr w:rsidR="00586F5C" w:rsidRPr="00586F5C" w14:paraId="2CC6CC47" w14:textId="77777777" w:rsidTr="003D36E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232" w:type="dxa"/>
            <w:shd w:val="clear" w:color="auto" w:fill="auto"/>
          </w:tcPr>
          <w:p w14:paraId="6F409567" w14:textId="77777777" w:rsidR="00586F5C" w:rsidRPr="00586F5C" w:rsidRDefault="00586F5C" w:rsidP="00586F5C">
            <w:pPr>
              <w:jc w:val="center"/>
              <w:rPr>
                <w:rFonts w:asciiTheme="minorBidi" w:eastAsiaTheme="minorHAnsi" w:hAnsiTheme="minorBidi"/>
                <w:noProof/>
                <w:color w:val="1F4E79" w:themeColor="accent5" w:themeShade="80"/>
              </w:rPr>
            </w:pPr>
            <w:r w:rsidRPr="00586F5C">
              <w:rPr>
                <w:rFonts w:asciiTheme="minorBidi" w:eastAsiaTheme="minorHAnsi" w:hAnsiTheme="minorBidi"/>
                <w:noProof/>
                <w:color w:val="1F4E79" w:themeColor="accent5" w:themeShade="80"/>
              </w:rPr>
              <w:drawing>
                <wp:inline distT="0" distB="0" distL="0" distR="0" wp14:anchorId="783F4D03" wp14:editId="2F7A53DE">
                  <wp:extent cx="3657601" cy="2290763"/>
                  <wp:effectExtent l="0" t="0" r="0" b="14605"/>
                  <wp:docPr id="17" name="Chart 17">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c>
        <w:tc>
          <w:tcPr>
            <w:tcW w:w="4395" w:type="dxa"/>
            <w:shd w:val="clear" w:color="auto" w:fill="auto"/>
          </w:tcPr>
          <w:p w14:paraId="1BB09651" w14:textId="77777777" w:rsidR="00586F5C" w:rsidRPr="00586F5C" w:rsidRDefault="00586F5C" w:rsidP="003F5739">
            <w:pPr>
              <w:spacing w:before="0" w:after="0"/>
              <w:rPr>
                <w:rFonts w:ascii="Arial" w:eastAsia="Arial" w:hAnsi="Arial" w:cs="Arial"/>
                <w:color w:val="1F4E79" w:themeColor="accent5" w:themeShade="80"/>
                <w:sz w:val="22"/>
                <w:szCs w:val="22"/>
              </w:rPr>
            </w:pPr>
            <w:r w:rsidRPr="00586F5C">
              <w:rPr>
                <w:rFonts w:ascii="Arial" w:eastAsia="Arial" w:hAnsi="Arial" w:cs="Arial"/>
                <w:color w:val="1F4E79" w:themeColor="accent5" w:themeShade="80"/>
                <w:sz w:val="22"/>
                <w:szCs w:val="22"/>
              </w:rPr>
              <w:t>The number of tourist-related jobs in Fife has fluctuated between 2012 and 2017 but has increased overall. The target of the previous Fife Tourism Strategy to grow tourism employment to 10,000 by 2024 was exceeded in 2015.  The emerging 2019-2029 Fife Tourism &amp; Events Strategy aims to increase the number of jobs by 5% each year.</w:t>
            </w:r>
          </w:p>
          <w:p w14:paraId="60836BAE" w14:textId="77777777" w:rsidR="00586F5C" w:rsidRPr="00586F5C" w:rsidRDefault="00586F5C" w:rsidP="003F5739">
            <w:pPr>
              <w:spacing w:before="0" w:after="0"/>
              <w:rPr>
                <w:rFonts w:ascii="Arial" w:eastAsia="Arial" w:hAnsi="Arial" w:cs="Arial"/>
                <w:color w:val="1F4E79" w:themeColor="accent5" w:themeShade="80"/>
                <w:sz w:val="22"/>
                <w:szCs w:val="22"/>
              </w:rPr>
            </w:pPr>
          </w:p>
        </w:tc>
      </w:tr>
    </w:tbl>
    <w:p w14:paraId="61978001" w14:textId="77777777" w:rsidR="00586F5C" w:rsidRPr="00586F5C" w:rsidRDefault="00586F5C" w:rsidP="00586F5C">
      <w:pPr>
        <w:rPr>
          <w:rFonts w:asciiTheme="minorBidi" w:eastAsiaTheme="minorHAnsi" w:hAnsiTheme="minorBidi" w:cstheme="minorBidi"/>
          <w:color w:val="1F4E79" w:themeColor="accent5" w:themeShade="80"/>
          <w:sz w:val="56"/>
          <w:szCs w:val="56"/>
          <w:lang w:eastAsia="en-US"/>
        </w:rPr>
      </w:pPr>
    </w:p>
    <w:p w14:paraId="0C1699C2" w14:textId="77777777" w:rsidR="00586F5C" w:rsidRPr="00586F5C" w:rsidRDefault="00586F5C" w:rsidP="00586F5C">
      <w:pPr>
        <w:rPr>
          <w:rFonts w:ascii="Arial" w:eastAsiaTheme="minorHAnsi" w:hAnsi="Arial" w:cs="Arial"/>
          <w:color w:val="1F4E79" w:themeColor="accent5" w:themeShade="80"/>
          <w:szCs w:val="24"/>
          <w:lang w:eastAsia="en-US"/>
        </w:rPr>
      </w:pPr>
      <w:r w:rsidRPr="00586F5C">
        <w:rPr>
          <w:rFonts w:ascii="Arial" w:eastAsiaTheme="minorHAnsi" w:hAnsi="Arial" w:cs="Arial"/>
          <w:color w:val="1F4E79" w:themeColor="accent5" w:themeShade="80"/>
          <w:sz w:val="56"/>
          <w:szCs w:val="56"/>
          <w:lang w:eastAsia="en-US"/>
        </w:rPr>
        <w:lastRenderedPageBreak/>
        <w:t>Responsiveness – cont.</w:t>
      </w:r>
    </w:p>
    <w:tbl>
      <w:tblPr>
        <w:tblStyle w:val="TableGrid1"/>
        <w:tblW w:w="10627" w:type="dxa"/>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Look w:val="04A0" w:firstRow="1" w:lastRow="0" w:firstColumn="1" w:lastColumn="0" w:noHBand="0" w:noVBand="1"/>
      </w:tblPr>
      <w:tblGrid>
        <w:gridCol w:w="6232"/>
        <w:gridCol w:w="4395"/>
      </w:tblGrid>
      <w:tr w:rsidR="00586F5C" w:rsidRPr="00586F5C" w14:paraId="264931C3" w14:textId="77777777" w:rsidTr="003D36E0">
        <w:tc>
          <w:tcPr>
            <w:tcW w:w="6232" w:type="dxa"/>
            <w:shd w:val="clear" w:color="auto" w:fill="1F4E79" w:themeFill="accent5" w:themeFillShade="80"/>
            <w:vAlign w:val="center"/>
          </w:tcPr>
          <w:p w14:paraId="5A155076" w14:textId="77777777" w:rsidR="00586F5C" w:rsidRPr="00586F5C" w:rsidRDefault="00586F5C" w:rsidP="00586F5C">
            <w:pPr>
              <w:jc w:val="center"/>
              <w:rPr>
                <w:rFonts w:ascii="Arial" w:eastAsiaTheme="minorHAnsi" w:hAnsi="Arial" w:cs="Arial"/>
                <w:b/>
                <w:bCs/>
                <w:color w:val="FFFFFF" w:themeColor="background1"/>
              </w:rPr>
            </w:pPr>
            <w:r w:rsidRPr="00586F5C">
              <w:rPr>
                <w:rFonts w:ascii="Arial" w:eastAsiaTheme="minorHAnsi" w:hAnsi="Arial" w:cs="Arial"/>
                <w:b/>
                <w:bCs/>
                <w:color w:val="FFFFFF" w:themeColor="background1"/>
              </w:rPr>
              <w:t>Performance</w:t>
            </w:r>
          </w:p>
        </w:tc>
        <w:tc>
          <w:tcPr>
            <w:tcW w:w="4395" w:type="dxa"/>
            <w:shd w:val="clear" w:color="auto" w:fill="1F4E79" w:themeFill="accent5" w:themeFillShade="80"/>
            <w:vAlign w:val="center"/>
          </w:tcPr>
          <w:p w14:paraId="7EBCA66A" w14:textId="77777777" w:rsidR="00586F5C" w:rsidRPr="00586F5C" w:rsidRDefault="00586F5C" w:rsidP="00586F5C">
            <w:pPr>
              <w:jc w:val="center"/>
              <w:rPr>
                <w:rFonts w:ascii="Arial" w:eastAsiaTheme="minorHAnsi" w:hAnsi="Arial" w:cs="Arial"/>
                <w:b/>
                <w:bCs/>
                <w:color w:val="FFFFFF" w:themeColor="background1"/>
              </w:rPr>
            </w:pPr>
            <w:r w:rsidRPr="00586F5C">
              <w:rPr>
                <w:rFonts w:ascii="Arial" w:eastAsiaTheme="minorHAnsi" w:hAnsi="Arial" w:cs="Arial"/>
                <w:b/>
                <w:bCs/>
                <w:color w:val="FFFFFF" w:themeColor="background1"/>
              </w:rPr>
              <w:t>Progress</w:t>
            </w:r>
          </w:p>
        </w:tc>
      </w:tr>
      <w:tr w:rsidR="00586F5C" w:rsidRPr="00586F5C" w14:paraId="0E1E2BE3" w14:textId="77777777" w:rsidTr="003D36E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232" w:type="dxa"/>
            <w:shd w:val="clear" w:color="auto" w:fill="auto"/>
          </w:tcPr>
          <w:p w14:paraId="6106C60D" w14:textId="77777777" w:rsidR="00586F5C" w:rsidRPr="00586F5C" w:rsidRDefault="00586F5C" w:rsidP="00586F5C">
            <w:pPr>
              <w:jc w:val="center"/>
              <w:rPr>
                <w:rFonts w:asciiTheme="minorBidi" w:eastAsiaTheme="minorHAnsi" w:hAnsiTheme="minorBidi"/>
                <w:noProof/>
                <w:color w:val="1F4E79" w:themeColor="accent5" w:themeShade="80"/>
              </w:rPr>
            </w:pPr>
            <w:r w:rsidRPr="00586F5C">
              <w:rPr>
                <w:rFonts w:asciiTheme="minorBidi" w:eastAsiaTheme="minorHAnsi" w:hAnsiTheme="minorBidi"/>
                <w:noProof/>
                <w:color w:val="1F4E79" w:themeColor="accent5" w:themeShade="80"/>
              </w:rPr>
              <w:drawing>
                <wp:inline distT="0" distB="0" distL="0" distR="0" wp14:anchorId="02F03528" wp14:editId="5433FA46">
                  <wp:extent cx="3652838" cy="2286000"/>
                  <wp:effectExtent l="0" t="0" r="5080" b="0"/>
                  <wp:docPr id="37" name="Chart 37">
                    <a:extLst xmlns:a="http://schemas.openxmlformats.org/drawingml/2006/main">
                      <a:ext uri="{FF2B5EF4-FFF2-40B4-BE49-F238E27FC236}">
                        <a16:creationId xmlns:a16="http://schemas.microsoft.com/office/drawing/2014/main" id="{40AA3302-D322-4A85-B05D-3ED77E2BED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c>
          <w:tcPr>
            <w:tcW w:w="4395" w:type="dxa"/>
            <w:shd w:val="clear" w:color="auto" w:fill="auto"/>
          </w:tcPr>
          <w:p w14:paraId="5BE8D41C" w14:textId="77777777" w:rsidR="00586F5C" w:rsidRPr="00586F5C" w:rsidRDefault="00586F5C" w:rsidP="003F5739">
            <w:pPr>
              <w:spacing w:before="0" w:after="0"/>
              <w:rPr>
                <w:rFonts w:asciiTheme="minorBidi" w:eastAsiaTheme="minorHAnsi" w:hAnsiTheme="minorBidi"/>
                <w:color w:val="1F4E79" w:themeColor="accent5" w:themeShade="80"/>
                <w:sz w:val="22"/>
                <w:szCs w:val="22"/>
              </w:rPr>
            </w:pPr>
            <w:r w:rsidRPr="00586F5C">
              <w:rPr>
                <w:rFonts w:ascii="Arial" w:eastAsia="Arial" w:hAnsi="Arial" w:cs="Arial"/>
                <w:color w:val="1F4E79" w:themeColor="accent5" w:themeShade="80"/>
                <w:sz w:val="22"/>
                <w:szCs w:val="22"/>
              </w:rPr>
              <w:t>Further investment is being made through the Digital Scotland Superfast Broadband programme as take-up across Scotland, including Fife, continues to be higher than expected.  This will continue to March 2020. The procurement for the Reaching 100 (R100) programme continues with information on its outcome anticipated by the end of 19/20.  Virgin Media is concluding its Project Lightning investment in Dunfermline but continues to work with Fife Council on its investment plans for other areas in Fife.</w:t>
            </w:r>
          </w:p>
        </w:tc>
      </w:tr>
    </w:tbl>
    <w:p w14:paraId="368664A7" w14:textId="77777777" w:rsidR="00586F5C" w:rsidRPr="00586F5C" w:rsidRDefault="00586F5C" w:rsidP="00586F5C">
      <w:pPr>
        <w:spacing w:before="0" w:after="0"/>
        <w:rPr>
          <w:rFonts w:asciiTheme="minorBidi" w:eastAsiaTheme="minorHAnsi" w:hAnsiTheme="minorBidi" w:cstheme="minorBidi"/>
          <w:color w:val="1F4E79" w:themeColor="accent5" w:themeShade="80"/>
          <w:sz w:val="56"/>
          <w:szCs w:val="56"/>
          <w:lang w:eastAsia="en-US"/>
        </w:rPr>
      </w:pPr>
      <w:r w:rsidRPr="00586F5C">
        <w:rPr>
          <w:rFonts w:asciiTheme="minorBidi" w:eastAsiaTheme="minorHAnsi" w:hAnsiTheme="minorBidi" w:cstheme="minorBidi"/>
          <w:color w:val="1F4E79" w:themeColor="accent5" w:themeShade="80"/>
          <w:sz w:val="56"/>
          <w:szCs w:val="56"/>
          <w:lang w:eastAsia="en-US"/>
        </w:rPr>
        <w:br w:type="page"/>
      </w:r>
    </w:p>
    <w:p w14:paraId="5CD0358E" w14:textId="77777777" w:rsidR="00586F5C" w:rsidRPr="00586F5C" w:rsidRDefault="00586F5C" w:rsidP="00586F5C">
      <w:pPr>
        <w:rPr>
          <w:rFonts w:ascii="Arial" w:eastAsiaTheme="minorHAnsi" w:hAnsi="Arial" w:cs="Arial"/>
          <w:color w:val="1F4E79" w:themeColor="accent5" w:themeShade="80"/>
          <w:sz w:val="56"/>
          <w:szCs w:val="56"/>
          <w:lang w:eastAsia="en-US"/>
        </w:rPr>
      </w:pPr>
      <w:r w:rsidRPr="00586F5C">
        <w:rPr>
          <w:rFonts w:ascii="Arial" w:eastAsiaTheme="minorHAnsi" w:hAnsi="Arial" w:cs="Arial"/>
          <w:color w:val="1F4E79" w:themeColor="accent5" w:themeShade="80"/>
          <w:sz w:val="56"/>
          <w:szCs w:val="56"/>
          <w:lang w:eastAsia="en-US"/>
        </w:rPr>
        <w:lastRenderedPageBreak/>
        <w:t>Cost</w:t>
      </w:r>
    </w:p>
    <w:tbl>
      <w:tblPr>
        <w:tblStyle w:val="TableGrid1"/>
        <w:tblW w:w="10632" w:type="dxa"/>
        <w:tblInd w:w="-5" w:type="dxa"/>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Look w:val="04A0" w:firstRow="1" w:lastRow="0" w:firstColumn="1" w:lastColumn="0" w:noHBand="0" w:noVBand="1"/>
      </w:tblPr>
      <w:tblGrid>
        <w:gridCol w:w="6379"/>
        <w:gridCol w:w="4253"/>
      </w:tblGrid>
      <w:tr w:rsidR="00586F5C" w:rsidRPr="00586F5C" w14:paraId="5C9634FA" w14:textId="77777777" w:rsidTr="003F5739">
        <w:tc>
          <w:tcPr>
            <w:tcW w:w="6379" w:type="dxa"/>
            <w:shd w:val="clear" w:color="auto" w:fill="1F4E79" w:themeFill="accent5" w:themeFillShade="80"/>
            <w:vAlign w:val="center"/>
          </w:tcPr>
          <w:p w14:paraId="3AA36F17" w14:textId="77777777" w:rsidR="00586F5C" w:rsidRPr="00586F5C" w:rsidRDefault="00586F5C" w:rsidP="00586F5C">
            <w:pPr>
              <w:jc w:val="center"/>
              <w:rPr>
                <w:rFonts w:ascii="Arial" w:eastAsiaTheme="minorHAnsi" w:hAnsi="Arial" w:cs="Arial"/>
                <w:b/>
                <w:bCs/>
                <w:color w:val="FFFFFF" w:themeColor="background1"/>
              </w:rPr>
            </w:pPr>
            <w:r w:rsidRPr="00586F5C">
              <w:rPr>
                <w:rFonts w:ascii="Arial" w:eastAsiaTheme="minorHAnsi" w:hAnsi="Arial" w:cs="Arial"/>
                <w:b/>
                <w:bCs/>
                <w:color w:val="FFFFFF" w:themeColor="background1"/>
              </w:rPr>
              <w:t>Performance</w:t>
            </w:r>
          </w:p>
        </w:tc>
        <w:tc>
          <w:tcPr>
            <w:tcW w:w="4253" w:type="dxa"/>
            <w:shd w:val="clear" w:color="auto" w:fill="1F4E79" w:themeFill="accent5" w:themeFillShade="80"/>
            <w:vAlign w:val="center"/>
          </w:tcPr>
          <w:p w14:paraId="2AE98B6A" w14:textId="77777777" w:rsidR="00586F5C" w:rsidRPr="00586F5C" w:rsidRDefault="00586F5C" w:rsidP="00586F5C">
            <w:pPr>
              <w:jc w:val="center"/>
              <w:rPr>
                <w:rFonts w:ascii="Arial" w:eastAsiaTheme="minorHAnsi" w:hAnsi="Arial" w:cs="Arial"/>
                <w:b/>
                <w:bCs/>
                <w:color w:val="FFFFFF" w:themeColor="background1"/>
              </w:rPr>
            </w:pPr>
            <w:r w:rsidRPr="00586F5C">
              <w:rPr>
                <w:rFonts w:ascii="Arial" w:eastAsiaTheme="minorHAnsi" w:hAnsi="Arial" w:cs="Arial"/>
                <w:b/>
                <w:bCs/>
                <w:color w:val="FFFFFF" w:themeColor="background1"/>
              </w:rPr>
              <w:t>Progress</w:t>
            </w:r>
          </w:p>
        </w:tc>
      </w:tr>
      <w:tr w:rsidR="00586F5C" w:rsidRPr="00586F5C" w14:paraId="017E4B1B" w14:textId="77777777" w:rsidTr="003F5739">
        <w:tc>
          <w:tcPr>
            <w:tcW w:w="6379" w:type="dxa"/>
          </w:tcPr>
          <w:p w14:paraId="097B4200" w14:textId="77777777" w:rsidR="00586F5C" w:rsidRPr="00586F5C" w:rsidRDefault="00586F5C" w:rsidP="00586F5C">
            <w:pPr>
              <w:jc w:val="center"/>
              <w:rPr>
                <w:rFonts w:asciiTheme="minorBidi" w:eastAsiaTheme="minorHAnsi" w:hAnsiTheme="minorBidi"/>
                <w:color w:val="1F4E79" w:themeColor="accent5" w:themeShade="80"/>
              </w:rPr>
            </w:pPr>
            <w:r w:rsidRPr="00586F5C">
              <w:rPr>
                <w:rFonts w:asciiTheme="minorBidi" w:eastAsiaTheme="minorHAnsi" w:hAnsiTheme="minorBidi"/>
                <w:noProof/>
                <w:color w:val="1F4E79" w:themeColor="accent5" w:themeShade="80"/>
              </w:rPr>
              <w:drawing>
                <wp:inline distT="0" distB="0" distL="0" distR="0" wp14:anchorId="691538DB" wp14:editId="6E3309D7">
                  <wp:extent cx="3662363" cy="2281238"/>
                  <wp:effectExtent l="0" t="0" r="14605" b="5080"/>
                  <wp:docPr id="18" name="Chart 18">
                    <a:extLst xmlns:a="http://schemas.openxmlformats.org/drawingml/2006/main">
                      <a:ext uri="{FF2B5EF4-FFF2-40B4-BE49-F238E27FC236}">
                        <a16:creationId xmlns:a16="http://schemas.microsoft.com/office/drawing/2014/main" id="{F68B9DC8-9579-431E-AE90-E113632FA8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c>
          <w:tcPr>
            <w:tcW w:w="4253" w:type="dxa"/>
            <w:shd w:val="clear" w:color="auto" w:fill="auto"/>
          </w:tcPr>
          <w:p w14:paraId="589FB20C" w14:textId="77777777" w:rsidR="00586F5C" w:rsidRPr="00586F5C" w:rsidRDefault="00586F5C" w:rsidP="003F5739">
            <w:pPr>
              <w:spacing w:before="0" w:after="0"/>
              <w:rPr>
                <w:rFonts w:asciiTheme="minorBidi" w:eastAsiaTheme="minorHAnsi" w:hAnsiTheme="minorBidi"/>
                <w:color w:val="1F4E79" w:themeColor="accent5" w:themeShade="80"/>
                <w:sz w:val="22"/>
                <w:szCs w:val="22"/>
              </w:rPr>
            </w:pPr>
            <w:r w:rsidRPr="00586F5C">
              <w:rPr>
                <w:rFonts w:ascii="Arial" w:eastAsia="Arial" w:hAnsi="Arial" w:cs="Arial"/>
                <w:color w:val="1F4E79" w:themeColor="accent5" w:themeShade="80"/>
                <w:sz w:val="22"/>
                <w:szCs w:val="22"/>
              </w:rPr>
              <w:t xml:space="preserve">The investment figures for 2018/19 were above recent trend thanks to two major capital investment projects in Fife, namely </w:t>
            </w:r>
            <w:proofErr w:type="spellStart"/>
            <w:r w:rsidRPr="00586F5C">
              <w:rPr>
                <w:rFonts w:ascii="Arial" w:eastAsia="Arial" w:hAnsi="Arial" w:cs="Arial"/>
                <w:color w:val="1F4E79" w:themeColor="accent5" w:themeShade="80"/>
                <w:sz w:val="22"/>
                <w:szCs w:val="22"/>
              </w:rPr>
              <w:t>Cefetra</w:t>
            </w:r>
            <w:proofErr w:type="spellEnd"/>
            <w:r w:rsidRPr="00586F5C">
              <w:rPr>
                <w:rFonts w:ascii="Arial" w:eastAsia="Arial" w:hAnsi="Arial" w:cs="Arial"/>
                <w:color w:val="1F4E79" w:themeColor="accent5" w:themeShade="80"/>
                <w:sz w:val="22"/>
                <w:szCs w:val="22"/>
              </w:rPr>
              <w:t xml:space="preserve"> in Rosyth and </w:t>
            </w:r>
            <w:proofErr w:type="spellStart"/>
            <w:r w:rsidRPr="00586F5C">
              <w:rPr>
                <w:rFonts w:ascii="Arial" w:eastAsia="Arial" w:hAnsi="Arial" w:cs="Arial"/>
                <w:color w:val="1F4E79" w:themeColor="accent5" w:themeShade="80"/>
                <w:sz w:val="22"/>
                <w:szCs w:val="22"/>
              </w:rPr>
              <w:t>ClasSic</w:t>
            </w:r>
            <w:proofErr w:type="spellEnd"/>
            <w:r w:rsidRPr="00586F5C">
              <w:rPr>
                <w:rFonts w:ascii="Arial" w:eastAsia="Arial" w:hAnsi="Arial" w:cs="Arial"/>
                <w:color w:val="1F4E79" w:themeColor="accent5" w:themeShade="80"/>
                <w:sz w:val="22"/>
                <w:szCs w:val="22"/>
              </w:rPr>
              <w:t xml:space="preserve"> in Lochgelly, coming in at £10m and £40m respectively.</w:t>
            </w:r>
          </w:p>
        </w:tc>
      </w:tr>
      <w:tr w:rsidR="00586F5C" w:rsidRPr="00586F5C" w14:paraId="07EA31C0" w14:textId="77777777" w:rsidTr="003F5739">
        <w:tc>
          <w:tcPr>
            <w:tcW w:w="6379" w:type="dxa"/>
            <w:shd w:val="clear" w:color="auto" w:fill="auto"/>
          </w:tcPr>
          <w:p w14:paraId="65140EFE" w14:textId="77777777" w:rsidR="00586F5C" w:rsidRPr="00586F5C" w:rsidRDefault="00586F5C" w:rsidP="00586F5C">
            <w:pPr>
              <w:spacing w:before="840"/>
              <w:jc w:val="center"/>
              <w:rPr>
                <w:rFonts w:asciiTheme="minorBidi" w:eastAsiaTheme="minorHAnsi" w:hAnsiTheme="minorBidi"/>
                <w:color w:val="1F4E79" w:themeColor="accent5" w:themeShade="80"/>
              </w:rPr>
            </w:pPr>
            <w:r w:rsidRPr="00586F5C">
              <w:rPr>
                <w:rFonts w:asciiTheme="minorBidi" w:eastAsiaTheme="minorHAnsi" w:hAnsiTheme="minorBidi"/>
                <w:noProof/>
                <w:color w:val="1F4E79" w:themeColor="accent5" w:themeShade="80"/>
              </w:rPr>
              <w:drawing>
                <wp:inline distT="0" distB="0" distL="0" distR="0" wp14:anchorId="370D669B" wp14:editId="1826188F">
                  <wp:extent cx="3648075" cy="2295525"/>
                  <wp:effectExtent l="0" t="0" r="9525" b="9525"/>
                  <wp:docPr id="43" name="Chart 43">
                    <a:extLst xmlns:a="http://schemas.openxmlformats.org/drawingml/2006/main">
                      <a:ext uri="{FF2B5EF4-FFF2-40B4-BE49-F238E27FC236}">
                        <a16:creationId xmlns:a16="http://schemas.microsoft.com/office/drawing/2014/main" id="{29C0D474-C69F-4064-A433-169C7C9342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c>
          <w:tcPr>
            <w:tcW w:w="4253" w:type="dxa"/>
            <w:shd w:val="clear" w:color="auto" w:fill="auto"/>
            <w:vAlign w:val="center"/>
          </w:tcPr>
          <w:p w14:paraId="4D900B5A" w14:textId="77777777" w:rsidR="00586F5C" w:rsidRPr="00586F5C" w:rsidRDefault="00586F5C" w:rsidP="00586F5C">
            <w:pPr>
              <w:rPr>
                <w:rFonts w:ascii="Arial" w:eastAsiaTheme="minorHAnsi" w:hAnsi="Arial" w:cs="Arial"/>
                <w:sz w:val="21"/>
                <w:szCs w:val="21"/>
              </w:rPr>
            </w:pPr>
            <w:r w:rsidRPr="00586F5C">
              <w:rPr>
                <w:rFonts w:ascii="Arial" w:eastAsiaTheme="minorHAnsi" w:hAnsi="Arial" w:cs="Arial"/>
                <w:color w:val="1F4E79" w:themeColor="accent5" w:themeShade="80"/>
                <w:sz w:val="21"/>
                <w:szCs w:val="21"/>
              </w:rPr>
              <w:t xml:space="preserve">This indicator assesses the value of external funding that the council’s own financial contribution to economic development and employability projects has secured. </w:t>
            </w:r>
          </w:p>
          <w:p w14:paraId="2A106246" w14:textId="77777777" w:rsidR="00586F5C" w:rsidRPr="00586F5C" w:rsidRDefault="00586F5C" w:rsidP="00586F5C">
            <w:pPr>
              <w:rPr>
                <w:rFonts w:ascii="Arial" w:eastAsiaTheme="minorHAnsi" w:hAnsi="Arial" w:cs="Arial"/>
                <w:color w:val="1F4E79" w:themeColor="accent5" w:themeShade="80"/>
                <w:sz w:val="21"/>
                <w:szCs w:val="21"/>
              </w:rPr>
            </w:pPr>
            <w:r w:rsidRPr="00586F5C">
              <w:rPr>
                <w:rFonts w:ascii="Arial" w:eastAsiaTheme="minorHAnsi" w:hAnsi="Arial" w:cs="Arial"/>
                <w:color w:val="1F4E79" w:themeColor="accent5" w:themeShade="80"/>
                <w:sz w:val="21"/>
                <w:szCs w:val="21"/>
              </w:rPr>
              <w:t>In 2018/19, Fife Council secured external funding for 25 economic development and employability projects.  The estimated cost of these projects was £22 million and for every £1 of council spend, an additional £2.09 was levered in from external funding sources. This figure was higher than the Scottish local authority average (£1.83).</w:t>
            </w:r>
          </w:p>
          <w:p w14:paraId="5196E475" w14:textId="77777777" w:rsidR="00586F5C" w:rsidRPr="00586F5C" w:rsidRDefault="00586F5C" w:rsidP="00586F5C">
            <w:pPr>
              <w:rPr>
                <w:rFonts w:ascii="Arial" w:eastAsiaTheme="minorHAnsi" w:hAnsi="Arial" w:cs="Arial"/>
                <w:color w:val="1F4E79" w:themeColor="accent5" w:themeShade="80"/>
                <w:sz w:val="21"/>
                <w:szCs w:val="21"/>
              </w:rPr>
            </w:pPr>
            <w:r w:rsidRPr="00586F5C">
              <w:rPr>
                <w:rFonts w:ascii="Arial" w:eastAsiaTheme="minorHAnsi" w:hAnsi="Arial" w:cs="Arial"/>
                <w:color w:val="1F4E79" w:themeColor="accent5" w:themeShade="80"/>
                <w:sz w:val="21"/>
                <w:szCs w:val="21"/>
              </w:rPr>
              <w:t>As these figures only include funding that has been drawn down, they can vary considerably from year to year.</w:t>
            </w:r>
          </w:p>
          <w:p w14:paraId="24C72BDB" w14:textId="77777777" w:rsidR="00586F5C" w:rsidRPr="00586F5C" w:rsidRDefault="00586F5C" w:rsidP="00586F5C">
            <w:pPr>
              <w:rPr>
                <w:rFonts w:ascii="Arial" w:eastAsiaTheme="minorHAnsi" w:hAnsi="Arial" w:cs="Arial"/>
                <w:color w:val="1F4E79" w:themeColor="accent5" w:themeShade="80"/>
                <w:sz w:val="22"/>
                <w:szCs w:val="22"/>
              </w:rPr>
            </w:pPr>
            <w:r w:rsidRPr="00586F5C">
              <w:rPr>
                <w:rFonts w:ascii="Arial" w:eastAsiaTheme="minorHAnsi" w:hAnsi="Arial" w:cs="Arial"/>
                <w:color w:val="1F4E79" w:themeColor="accent5" w:themeShade="80"/>
                <w:sz w:val="21"/>
                <w:szCs w:val="21"/>
              </w:rPr>
              <w:t xml:space="preserve"> Several large projects were completed in 2018/19 including the Glenrothes Heat, </w:t>
            </w:r>
            <w:proofErr w:type="spellStart"/>
            <w:r w:rsidRPr="00586F5C">
              <w:rPr>
                <w:rFonts w:ascii="Arial" w:eastAsiaTheme="minorHAnsi" w:hAnsi="Arial" w:cs="Arial"/>
                <w:color w:val="1F4E79" w:themeColor="accent5" w:themeShade="80"/>
                <w:sz w:val="21"/>
                <w:szCs w:val="21"/>
              </w:rPr>
              <w:t>Levenmouth</w:t>
            </w:r>
            <w:proofErr w:type="spellEnd"/>
            <w:r w:rsidRPr="00586F5C">
              <w:rPr>
                <w:rFonts w:ascii="Arial" w:eastAsiaTheme="minorHAnsi" w:hAnsi="Arial" w:cs="Arial"/>
                <w:color w:val="1F4E79" w:themeColor="accent5" w:themeShade="80"/>
                <w:sz w:val="21"/>
                <w:szCs w:val="21"/>
              </w:rPr>
              <w:t xml:space="preserve"> Community Energy Project and Bankhead Hydrogen Refueller.</w:t>
            </w:r>
          </w:p>
        </w:tc>
      </w:tr>
      <w:tr w:rsidR="00586F5C" w:rsidRPr="00586F5C" w14:paraId="64DF4CE1" w14:textId="77777777" w:rsidTr="003F5739">
        <w:tc>
          <w:tcPr>
            <w:tcW w:w="6379" w:type="dxa"/>
          </w:tcPr>
          <w:p w14:paraId="3E834746" w14:textId="77777777" w:rsidR="00586F5C" w:rsidRPr="00586F5C" w:rsidRDefault="00586F5C" w:rsidP="00586F5C">
            <w:pPr>
              <w:jc w:val="center"/>
              <w:rPr>
                <w:rFonts w:asciiTheme="minorBidi" w:eastAsiaTheme="minorHAnsi" w:hAnsiTheme="minorBidi"/>
                <w:noProof/>
                <w:color w:val="1F4E79" w:themeColor="accent5" w:themeShade="80"/>
              </w:rPr>
            </w:pPr>
            <w:r w:rsidRPr="00586F5C">
              <w:rPr>
                <w:rFonts w:asciiTheme="minorBidi" w:eastAsiaTheme="minorHAnsi" w:hAnsiTheme="minorBidi"/>
                <w:noProof/>
                <w:color w:val="1F4E79" w:themeColor="accent5" w:themeShade="80"/>
              </w:rPr>
              <w:drawing>
                <wp:inline distT="0" distB="0" distL="0" distR="0" wp14:anchorId="0888EE09" wp14:editId="082078B5">
                  <wp:extent cx="3652838" cy="2281238"/>
                  <wp:effectExtent l="0" t="0" r="5080" b="5080"/>
                  <wp:docPr id="13" name="Chart 13">
                    <a:extLst xmlns:a="http://schemas.openxmlformats.org/drawingml/2006/main">
                      <a:ext uri="{FF2B5EF4-FFF2-40B4-BE49-F238E27FC236}">
                        <a16:creationId xmlns:a16="http://schemas.microsoft.com/office/drawing/2014/main" id="{00000000-0008-0000-0100-00001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c>
          <w:tcPr>
            <w:tcW w:w="4253" w:type="dxa"/>
            <w:shd w:val="clear" w:color="auto" w:fill="FFFFFF" w:themeFill="background1"/>
          </w:tcPr>
          <w:p w14:paraId="4D522EEE" w14:textId="77777777" w:rsidR="00586F5C" w:rsidRPr="00586F5C" w:rsidRDefault="00586F5C" w:rsidP="003F5739">
            <w:pPr>
              <w:rPr>
                <w:rFonts w:asciiTheme="minorBidi" w:eastAsiaTheme="minorHAnsi" w:hAnsiTheme="minorBidi"/>
                <w:color w:val="FF0000"/>
                <w:sz w:val="22"/>
                <w:szCs w:val="22"/>
              </w:rPr>
            </w:pPr>
            <w:r w:rsidRPr="00586F5C">
              <w:rPr>
                <w:rFonts w:ascii="Arial" w:eastAsiaTheme="minorHAnsi" w:hAnsi="Arial" w:cs="Arial"/>
                <w:color w:val="1F4E79" w:themeColor="accent5" w:themeShade="80"/>
                <w:sz w:val="21"/>
                <w:szCs w:val="21"/>
              </w:rPr>
              <w:t>This increase in value from £566 million is thanks to national, local and international visitors from all over the world, and has generated tourism related employment for over 12,000 people in Fife. Fife's tourism strategy is focused on increasing spend rather than increasing numbers as this is an indication of resilience and sustainability. These results demonstrate that the work is having an effect.</w:t>
            </w:r>
            <w:r w:rsidRPr="00586F5C">
              <w:rPr>
                <w:rFonts w:asciiTheme="minorBidi" w:eastAsiaTheme="minorHAnsi" w:hAnsiTheme="minorBidi"/>
                <w:color w:val="1F4E79"/>
                <w:sz w:val="22"/>
                <w:szCs w:val="22"/>
              </w:rPr>
              <w:t> </w:t>
            </w:r>
          </w:p>
        </w:tc>
      </w:tr>
    </w:tbl>
    <w:p w14:paraId="65954D92" w14:textId="77777777" w:rsidR="00586F5C" w:rsidRPr="00586F5C" w:rsidRDefault="00586F5C" w:rsidP="00586F5C">
      <w:pPr>
        <w:spacing w:before="0" w:after="0"/>
        <w:rPr>
          <w:rFonts w:ascii="Arial" w:eastAsiaTheme="minorHAnsi" w:hAnsi="Arial" w:cs="Arial"/>
          <w:color w:val="1F4E79" w:themeColor="accent5" w:themeShade="80"/>
          <w:sz w:val="56"/>
          <w:szCs w:val="56"/>
          <w:lang w:eastAsia="en-US"/>
        </w:rPr>
      </w:pPr>
      <w:r w:rsidRPr="00586F5C">
        <w:rPr>
          <w:rFonts w:asciiTheme="minorBidi" w:eastAsiaTheme="minorHAnsi" w:hAnsiTheme="minorBidi" w:cstheme="minorBidi"/>
          <w:color w:val="1F4E79" w:themeColor="accent5" w:themeShade="80"/>
          <w:szCs w:val="24"/>
          <w:lang w:eastAsia="en-US"/>
        </w:rPr>
        <w:br w:type="page"/>
      </w:r>
      <w:r w:rsidRPr="00586F5C">
        <w:rPr>
          <w:rFonts w:ascii="Arial" w:eastAsiaTheme="minorHAnsi" w:hAnsi="Arial" w:cs="Arial"/>
          <w:color w:val="1F4E79" w:themeColor="accent5" w:themeShade="80"/>
          <w:sz w:val="56"/>
          <w:szCs w:val="56"/>
          <w:lang w:eastAsia="en-US"/>
        </w:rPr>
        <w:lastRenderedPageBreak/>
        <w:t>Cost – cont.</w:t>
      </w:r>
    </w:p>
    <w:tbl>
      <w:tblPr>
        <w:tblStyle w:val="TableGrid1"/>
        <w:tblW w:w="10632" w:type="dxa"/>
        <w:tblInd w:w="-5" w:type="dxa"/>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Look w:val="04A0" w:firstRow="1" w:lastRow="0" w:firstColumn="1" w:lastColumn="0" w:noHBand="0" w:noVBand="1"/>
      </w:tblPr>
      <w:tblGrid>
        <w:gridCol w:w="6379"/>
        <w:gridCol w:w="4253"/>
      </w:tblGrid>
      <w:tr w:rsidR="00586F5C" w:rsidRPr="00586F5C" w14:paraId="7F3C4B15" w14:textId="77777777" w:rsidTr="003F5739">
        <w:tc>
          <w:tcPr>
            <w:tcW w:w="6379" w:type="dxa"/>
            <w:shd w:val="clear" w:color="auto" w:fill="1F4E79" w:themeFill="accent5" w:themeFillShade="80"/>
            <w:vAlign w:val="center"/>
          </w:tcPr>
          <w:p w14:paraId="0F7A3965" w14:textId="77777777" w:rsidR="00586F5C" w:rsidRPr="00586F5C" w:rsidRDefault="00586F5C" w:rsidP="00586F5C">
            <w:pPr>
              <w:jc w:val="center"/>
              <w:rPr>
                <w:rFonts w:ascii="Arial" w:eastAsiaTheme="minorHAnsi" w:hAnsi="Arial" w:cs="Arial"/>
                <w:b/>
                <w:bCs/>
                <w:color w:val="FFFFFF" w:themeColor="background1"/>
              </w:rPr>
            </w:pPr>
            <w:bookmarkStart w:id="20" w:name="_Hlk19188694"/>
            <w:r w:rsidRPr="00586F5C">
              <w:rPr>
                <w:rFonts w:ascii="Arial" w:eastAsiaTheme="minorHAnsi" w:hAnsi="Arial" w:cs="Arial"/>
                <w:b/>
                <w:bCs/>
                <w:color w:val="FFFFFF" w:themeColor="background1"/>
              </w:rPr>
              <w:t>Performance</w:t>
            </w:r>
          </w:p>
        </w:tc>
        <w:tc>
          <w:tcPr>
            <w:tcW w:w="4253" w:type="dxa"/>
            <w:shd w:val="clear" w:color="auto" w:fill="1F4E79" w:themeFill="accent5" w:themeFillShade="80"/>
            <w:vAlign w:val="center"/>
          </w:tcPr>
          <w:p w14:paraId="5EF88612" w14:textId="77777777" w:rsidR="00586F5C" w:rsidRPr="00586F5C" w:rsidRDefault="00586F5C" w:rsidP="00586F5C">
            <w:pPr>
              <w:jc w:val="center"/>
              <w:rPr>
                <w:rFonts w:ascii="Arial" w:eastAsiaTheme="minorHAnsi" w:hAnsi="Arial" w:cs="Arial"/>
                <w:b/>
                <w:bCs/>
                <w:color w:val="FFFFFF" w:themeColor="background1"/>
              </w:rPr>
            </w:pPr>
            <w:r w:rsidRPr="00586F5C">
              <w:rPr>
                <w:rFonts w:ascii="Arial" w:eastAsiaTheme="minorHAnsi" w:hAnsi="Arial" w:cs="Arial"/>
                <w:b/>
                <w:bCs/>
                <w:color w:val="FFFFFF" w:themeColor="background1"/>
              </w:rPr>
              <w:t>Progress</w:t>
            </w:r>
          </w:p>
        </w:tc>
      </w:tr>
      <w:tr w:rsidR="00586F5C" w:rsidRPr="00586F5C" w14:paraId="6965E494" w14:textId="77777777" w:rsidTr="003F5739">
        <w:tc>
          <w:tcPr>
            <w:tcW w:w="6379" w:type="dxa"/>
            <w:shd w:val="clear" w:color="auto" w:fill="auto"/>
          </w:tcPr>
          <w:p w14:paraId="47197012" w14:textId="77777777" w:rsidR="00586F5C" w:rsidRPr="00586F5C" w:rsidRDefault="00586F5C" w:rsidP="00586F5C">
            <w:pPr>
              <w:jc w:val="center"/>
              <w:rPr>
                <w:rFonts w:asciiTheme="minorBidi" w:eastAsiaTheme="minorHAnsi" w:hAnsiTheme="minorBidi"/>
                <w:color w:val="1F4E79" w:themeColor="accent5" w:themeShade="80"/>
              </w:rPr>
            </w:pPr>
            <w:bookmarkStart w:id="21" w:name="_Hlk19868198"/>
            <w:r w:rsidRPr="00586F5C">
              <w:rPr>
                <w:rFonts w:asciiTheme="minorBidi" w:eastAsiaTheme="minorHAnsi" w:hAnsiTheme="minorBidi"/>
                <w:noProof/>
                <w:color w:val="1F4E79" w:themeColor="accent5" w:themeShade="80"/>
              </w:rPr>
              <w:drawing>
                <wp:inline distT="0" distB="0" distL="0" distR="0" wp14:anchorId="60C37C63" wp14:editId="4687CA7D">
                  <wp:extent cx="3652838" cy="2281238"/>
                  <wp:effectExtent l="0" t="0" r="5080" b="5080"/>
                  <wp:docPr id="11" name="Chart 11">
                    <a:extLst xmlns:a="http://schemas.openxmlformats.org/drawingml/2006/main">
                      <a:ext uri="{FF2B5EF4-FFF2-40B4-BE49-F238E27FC236}">
                        <a16:creationId xmlns:a16="http://schemas.microsoft.com/office/drawing/2014/main" id="{664C30F1-73E6-4B58-B7E3-D383C80842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c>
          <w:tcPr>
            <w:tcW w:w="4253" w:type="dxa"/>
            <w:shd w:val="clear" w:color="auto" w:fill="auto"/>
          </w:tcPr>
          <w:p w14:paraId="35ED3DBA" w14:textId="77777777" w:rsidR="00586F5C" w:rsidRPr="00586F5C" w:rsidRDefault="00586F5C" w:rsidP="00586F5C">
            <w:pPr>
              <w:rPr>
                <w:rFonts w:ascii="Arial" w:eastAsiaTheme="minorHAnsi" w:hAnsi="Arial" w:cs="Arial"/>
                <w:color w:val="1F4E79" w:themeColor="accent5" w:themeShade="80"/>
                <w:sz w:val="21"/>
                <w:szCs w:val="21"/>
              </w:rPr>
            </w:pPr>
            <w:r w:rsidRPr="00586F5C">
              <w:rPr>
                <w:rFonts w:ascii="Arial" w:eastAsiaTheme="minorHAnsi" w:hAnsi="Arial" w:cs="Arial"/>
                <w:color w:val="1F4E79" w:themeColor="accent5" w:themeShade="80"/>
                <w:sz w:val="21"/>
                <w:szCs w:val="21"/>
              </w:rPr>
              <w:t xml:space="preserve">Fife’s Economic Development and Tourism expenditure remains in line with comparable local authority spend. The national figure for 2017/18 reflects capital spend on projects such as the Aberdeen Exhibition &amp; Conference Centre and investments in island infrastructure. The Council is increasingly investing in product development with capital in heritage tourism (through CARS/TH projects in </w:t>
            </w:r>
            <w:proofErr w:type="spellStart"/>
            <w:r w:rsidRPr="00586F5C">
              <w:rPr>
                <w:rFonts w:ascii="Arial" w:eastAsiaTheme="minorHAnsi" w:hAnsi="Arial" w:cs="Arial"/>
                <w:color w:val="1F4E79" w:themeColor="accent5" w:themeShade="80"/>
                <w:sz w:val="21"/>
                <w:szCs w:val="21"/>
              </w:rPr>
              <w:t>Cupar</w:t>
            </w:r>
            <w:proofErr w:type="spellEnd"/>
            <w:r w:rsidRPr="00586F5C">
              <w:rPr>
                <w:rFonts w:ascii="Arial" w:eastAsiaTheme="minorHAnsi" w:hAnsi="Arial" w:cs="Arial"/>
                <w:color w:val="1F4E79" w:themeColor="accent5" w:themeShade="80"/>
                <w:sz w:val="21"/>
                <w:szCs w:val="21"/>
              </w:rPr>
              <w:t xml:space="preserve"> and Inverkeithing for instance) and destination development activities such as “In the Footsteps of Kings”.  In revenue terms, there is continuing investment in marketing activities to promote Fife’s products</w:t>
            </w:r>
          </w:p>
        </w:tc>
      </w:tr>
      <w:bookmarkEnd w:id="20"/>
      <w:bookmarkEnd w:id="21"/>
      <w:tr w:rsidR="00586F5C" w:rsidRPr="00586F5C" w14:paraId="663CC587" w14:textId="77777777" w:rsidTr="003F5739">
        <w:tc>
          <w:tcPr>
            <w:tcW w:w="6379" w:type="dxa"/>
          </w:tcPr>
          <w:p w14:paraId="04FF0412" w14:textId="77777777" w:rsidR="00586F5C" w:rsidRPr="00586F5C" w:rsidRDefault="00586F5C" w:rsidP="00586F5C">
            <w:pPr>
              <w:jc w:val="center"/>
              <w:rPr>
                <w:rFonts w:asciiTheme="minorBidi" w:eastAsiaTheme="minorHAnsi" w:hAnsiTheme="minorBidi"/>
                <w:color w:val="1F4E79" w:themeColor="accent5" w:themeShade="80"/>
              </w:rPr>
            </w:pPr>
            <w:r w:rsidRPr="00586F5C">
              <w:rPr>
                <w:rFonts w:asciiTheme="minorBidi" w:eastAsiaTheme="minorHAnsi" w:hAnsiTheme="minorBidi"/>
                <w:noProof/>
                <w:color w:val="1F4E79" w:themeColor="accent5" w:themeShade="80"/>
              </w:rPr>
              <w:drawing>
                <wp:inline distT="0" distB="0" distL="0" distR="0" wp14:anchorId="62700628" wp14:editId="7EA92A2F">
                  <wp:extent cx="3614738" cy="2285994"/>
                  <wp:effectExtent l="0" t="0" r="5080" b="635"/>
                  <wp:docPr id="12" name="Chart 12">
                    <a:extLst xmlns:a="http://schemas.openxmlformats.org/drawingml/2006/main">
                      <a:ext uri="{FF2B5EF4-FFF2-40B4-BE49-F238E27FC236}">
                        <a16:creationId xmlns:a16="http://schemas.microsoft.com/office/drawing/2014/main" id="{58A09F59-B736-40EA-B42D-8C5DBD697E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c>
        <w:tc>
          <w:tcPr>
            <w:tcW w:w="4253" w:type="dxa"/>
            <w:shd w:val="clear" w:color="auto" w:fill="FFFFFF" w:themeFill="background1"/>
          </w:tcPr>
          <w:p w14:paraId="464BD525" w14:textId="77777777" w:rsidR="00586F5C" w:rsidRPr="00586F5C" w:rsidRDefault="00586F5C" w:rsidP="003F5739">
            <w:pPr>
              <w:rPr>
                <w:rFonts w:ascii="Arial" w:eastAsiaTheme="minorHAnsi" w:hAnsi="Arial" w:cs="Arial"/>
                <w:color w:val="1F4E79" w:themeColor="accent5" w:themeShade="80"/>
                <w:sz w:val="21"/>
                <w:szCs w:val="21"/>
              </w:rPr>
            </w:pPr>
            <w:r w:rsidRPr="00586F5C">
              <w:rPr>
                <w:rFonts w:ascii="Arial" w:eastAsiaTheme="minorHAnsi" w:hAnsi="Arial" w:cs="Arial"/>
                <w:color w:val="1F4E79" w:themeColor="accent5" w:themeShade="80"/>
                <w:sz w:val="21"/>
                <w:szCs w:val="21"/>
              </w:rPr>
              <w:t>Last year, Fife was one of 12 local authorities which looked at the cost of a planning service and further, more detailed work is being undertaken on the cost of processing a planning application.  This is important given the 49 new and unfunded duties placed on Planning Authorities through the new Planning Act and the Scottish Government are intending to review planning fees.</w:t>
            </w:r>
          </w:p>
        </w:tc>
      </w:tr>
    </w:tbl>
    <w:p w14:paraId="7EAF16F5" w14:textId="77777777" w:rsidR="00586F5C" w:rsidRPr="00690847" w:rsidRDefault="00586F5C" w:rsidP="00690847">
      <w:pPr>
        <w:spacing w:before="0" w:after="0"/>
        <w:rPr>
          <w:rFonts w:ascii="Arial" w:hAnsi="Arial" w:cs="Arial"/>
        </w:rPr>
      </w:pPr>
    </w:p>
    <w:p w14:paraId="7F5BF8E0" w14:textId="0F11DF77" w:rsidR="00690847" w:rsidRDefault="00690847" w:rsidP="008430A3">
      <w:pPr>
        <w:rPr>
          <w:rFonts w:ascii="Arial" w:hAnsi="Arial" w:cs="Arial"/>
        </w:rPr>
      </w:pPr>
    </w:p>
    <w:p w14:paraId="3BB68FD4" w14:textId="65B88950" w:rsidR="003F5739" w:rsidRDefault="003F5739" w:rsidP="008430A3">
      <w:pPr>
        <w:rPr>
          <w:rFonts w:ascii="Arial" w:hAnsi="Arial" w:cs="Arial"/>
        </w:rPr>
      </w:pPr>
    </w:p>
    <w:p w14:paraId="73789EF9" w14:textId="75779949" w:rsidR="003F5739" w:rsidRDefault="003F5739" w:rsidP="008430A3">
      <w:pPr>
        <w:rPr>
          <w:rFonts w:ascii="Arial" w:hAnsi="Arial" w:cs="Arial"/>
        </w:rPr>
      </w:pPr>
    </w:p>
    <w:p w14:paraId="084075D7" w14:textId="2BF5775F" w:rsidR="003F5739" w:rsidRDefault="003F5739" w:rsidP="008430A3">
      <w:pPr>
        <w:rPr>
          <w:rFonts w:ascii="Arial" w:hAnsi="Arial" w:cs="Arial"/>
        </w:rPr>
      </w:pPr>
    </w:p>
    <w:p w14:paraId="02F14F2F" w14:textId="7E775F1D" w:rsidR="003F5739" w:rsidRDefault="003F5739" w:rsidP="008430A3">
      <w:pPr>
        <w:rPr>
          <w:rFonts w:ascii="Arial" w:hAnsi="Arial" w:cs="Arial"/>
        </w:rPr>
      </w:pPr>
    </w:p>
    <w:p w14:paraId="4488DFB6" w14:textId="51FB238E" w:rsidR="003F5739" w:rsidRDefault="003F5739" w:rsidP="008430A3">
      <w:pPr>
        <w:rPr>
          <w:rFonts w:ascii="Arial" w:hAnsi="Arial" w:cs="Arial"/>
        </w:rPr>
      </w:pPr>
    </w:p>
    <w:p w14:paraId="2A8FE1A5" w14:textId="6CD02F5C" w:rsidR="003F5739" w:rsidRDefault="003F5739" w:rsidP="008430A3">
      <w:pPr>
        <w:rPr>
          <w:rFonts w:ascii="Arial" w:hAnsi="Arial" w:cs="Arial"/>
        </w:rPr>
      </w:pPr>
    </w:p>
    <w:p w14:paraId="09B5D403" w14:textId="1F9326AC" w:rsidR="003F5739" w:rsidRDefault="003F5739" w:rsidP="008430A3">
      <w:pPr>
        <w:rPr>
          <w:rFonts w:ascii="Arial" w:hAnsi="Arial" w:cs="Arial"/>
        </w:rPr>
      </w:pPr>
    </w:p>
    <w:p w14:paraId="6B3F5512" w14:textId="77AF8367" w:rsidR="003F5739" w:rsidRDefault="003F5739" w:rsidP="008430A3">
      <w:pPr>
        <w:rPr>
          <w:rFonts w:ascii="Arial" w:hAnsi="Arial" w:cs="Arial"/>
        </w:rPr>
      </w:pPr>
    </w:p>
    <w:p w14:paraId="23510DF7" w14:textId="779186D5" w:rsidR="003F5739" w:rsidRDefault="003F5739" w:rsidP="008430A3">
      <w:pPr>
        <w:rPr>
          <w:rFonts w:ascii="Arial" w:hAnsi="Arial" w:cs="Arial"/>
        </w:rPr>
      </w:pPr>
    </w:p>
    <w:p w14:paraId="24EE8BDF" w14:textId="6E78B277" w:rsidR="003F5739" w:rsidRDefault="003F5739" w:rsidP="008430A3">
      <w:pPr>
        <w:rPr>
          <w:rFonts w:ascii="Arial" w:hAnsi="Arial" w:cs="Arial"/>
        </w:rPr>
      </w:pPr>
    </w:p>
    <w:p w14:paraId="276371DF" w14:textId="2D144E8E" w:rsidR="003F5739" w:rsidRDefault="003F5739" w:rsidP="008430A3">
      <w:pPr>
        <w:rPr>
          <w:rFonts w:ascii="Arial" w:hAnsi="Arial" w:cs="Arial"/>
        </w:rPr>
      </w:pPr>
    </w:p>
    <w:p w14:paraId="6A534CD8" w14:textId="77777777" w:rsidR="003F5739" w:rsidRPr="003F5739" w:rsidRDefault="003F5739" w:rsidP="003F5739">
      <w:pPr>
        <w:rPr>
          <w:rFonts w:asciiTheme="minorBidi" w:eastAsiaTheme="minorHAnsi" w:hAnsiTheme="minorBidi" w:cstheme="minorBidi"/>
          <w:color w:val="1F4E79" w:themeColor="accent5" w:themeShade="80"/>
          <w:szCs w:val="24"/>
          <w:lang w:eastAsia="en-US"/>
        </w:rPr>
      </w:pPr>
    </w:p>
    <w:p w14:paraId="18B7F0C9" w14:textId="77777777" w:rsidR="003F5739" w:rsidRPr="003F5739" w:rsidRDefault="003F5739" w:rsidP="003F5739">
      <w:pPr>
        <w:ind w:left="426"/>
        <w:rPr>
          <w:rFonts w:asciiTheme="minorBidi" w:eastAsiaTheme="minorHAnsi" w:hAnsiTheme="minorBidi" w:cstheme="minorBidi"/>
          <w:color w:val="1F4E79" w:themeColor="accent5" w:themeShade="80"/>
          <w:szCs w:val="24"/>
          <w:lang w:eastAsia="en-US"/>
        </w:rPr>
      </w:pPr>
      <w:r w:rsidRPr="003F5739">
        <w:rPr>
          <w:rFonts w:asciiTheme="minorBidi" w:eastAsiaTheme="minorHAnsi" w:hAnsiTheme="minorBidi" w:cstheme="minorBidi"/>
          <w:noProof/>
          <w:color w:val="1F4E79" w:themeColor="accent5" w:themeShade="80"/>
          <w:szCs w:val="24"/>
        </w:rPr>
        <w:drawing>
          <wp:anchor distT="0" distB="0" distL="114300" distR="114300" simplePos="0" relativeHeight="251661824" behindDoc="0" locked="0" layoutInCell="1" allowOverlap="1" wp14:anchorId="7C9A268C" wp14:editId="40C5BE0C">
            <wp:simplePos x="809625" y="866775"/>
            <wp:positionH relativeFrom="column">
              <wp:align>left</wp:align>
            </wp:positionH>
            <wp:positionV relativeFrom="paragraph">
              <wp:align>top</wp:align>
            </wp:positionV>
            <wp:extent cx="2215166" cy="1003748"/>
            <wp:effectExtent l="0" t="0" r="0" b="635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C_Logo_col.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15166" cy="1003748"/>
                    </a:xfrm>
                    <a:prstGeom prst="rect">
                      <a:avLst/>
                    </a:prstGeom>
                  </pic:spPr>
                </pic:pic>
              </a:graphicData>
            </a:graphic>
          </wp:anchor>
        </w:drawing>
      </w:r>
      <w:r w:rsidRPr="003F5739">
        <w:rPr>
          <w:rFonts w:asciiTheme="minorBidi" w:eastAsiaTheme="minorHAnsi" w:hAnsiTheme="minorBidi" w:cstheme="minorBidi"/>
          <w:color w:val="1F4E79" w:themeColor="accent5" w:themeShade="80"/>
          <w:szCs w:val="24"/>
          <w:lang w:eastAsia="en-US"/>
        </w:rPr>
        <w:br w:type="textWrapping" w:clear="all"/>
      </w:r>
    </w:p>
    <w:p w14:paraId="34F41C6A" w14:textId="4F99BBE6" w:rsidR="003F5739" w:rsidRPr="003F5739" w:rsidRDefault="003F5739" w:rsidP="003F5739">
      <w:pPr>
        <w:keepNext/>
        <w:keepLines/>
        <w:spacing w:before="240" w:after="0"/>
        <w:ind w:right="821"/>
        <w:outlineLvl w:val="0"/>
        <w:rPr>
          <w:rFonts w:ascii="Arial" w:eastAsiaTheme="majorEastAsia" w:hAnsi="Arial" w:cstheme="majorBidi"/>
          <w:color w:val="1F4E79" w:themeColor="accent5" w:themeShade="80"/>
          <w:sz w:val="56"/>
          <w:szCs w:val="56"/>
          <w:lang w:eastAsia="en-US"/>
        </w:rPr>
      </w:pPr>
      <w:r>
        <w:rPr>
          <w:rFonts w:ascii="Arial" w:eastAsiaTheme="majorEastAsia" w:hAnsi="Arial" w:cstheme="majorBidi"/>
          <w:color w:val="1F4E79" w:themeColor="accent5" w:themeShade="80"/>
          <w:sz w:val="56"/>
          <w:szCs w:val="56"/>
          <w:lang w:eastAsia="en-US"/>
        </w:rPr>
        <w:t>R</w:t>
      </w:r>
      <w:r w:rsidRPr="003F5739">
        <w:rPr>
          <w:rFonts w:ascii="Arial" w:eastAsiaTheme="majorEastAsia" w:hAnsi="Arial" w:cstheme="majorBidi"/>
          <w:color w:val="1F4E79" w:themeColor="accent5" w:themeShade="80"/>
          <w:sz w:val="56"/>
          <w:szCs w:val="56"/>
          <w:lang w:eastAsia="en-US"/>
        </w:rPr>
        <w:t>oads and Transportation Services</w:t>
      </w:r>
    </w:p>
    <w:p w14:paraId="13F2D698" w14:textId="77777777" w:rsidR="003F5739" w:rsidRPr="003F5739" w:rsidRDefault="003F5739" w:rsidP="003F5739">
      <w:pPr>
        <w:keepNext/>
        <w:keepLines/>
        <w:spacing w:before="240" w:after="0"/>
        <w:ind w:right="821"/>
        <w:outlineLvl w:val="0"/>
        <w:rPr>
          <w:rFonts w:ascii="Arial" w:eastAsiaTheme="majorEastAsia" w:hAnsi="Arial" w:cstheme="majorBidi"/>
          <w:color w:val="1F4E79" w:themeColor="accent5" w:themeShade="80"/>
          <w:sz w:val="72"/>
          <w:szCs w:val="32"/>
          <w:lang w:eastAsia="en-US"/>
        </w:rPr>
      </w:pPr>
      <w:r w:rsidRPr="003F5739">
        <w:rPr>
          <w:rFonts w:ascii="Arial" w:eastAsiaTheme="majorEastAsia" w:hAnsi="Arial" w:cstheme="majorBidi"/>
          <w:color w:val="1F4E79" w:themeColor="accent5" w:themeShade="80"/>
          <w:sz w:val="56"/>
          <w:szCs w:val="56"/>
          <w:lang w:eastAsia="en-US"/>
        </w:rPr>
        <w:t>Performance Report 2018/19</w:t>
      </w:r>
    </w:p>
    <w:tbl>
      <w:tblPr>
        <w:tblStyle w:val="TableGrid2"/>
        <w:tblW w:w="4997" w:type="pct"/>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shd w:val="clear" w:color="auto" w:fill="FFC000"/>
        <w:tblLook w:val="04A0" w:firstRow="1" w:lastRow="0" w:firstColumn="1" w:lastColumn="0" w:noHBand="0" w:noVBand="1"/>
      </w:tblPr>
      <w:tblGrid>
        <w:gridCol w:w="4811"/>
        <w:gridCol w:w="4811"/>
      </w:tblGrid>
      <w:tr w:rsidR="003F5739" w:rsidRPr="003F5739" w14:paraId="6A8BFF7A" w14:textId="77777777" w:rsidTr="003D36E0">
        <w:trPr>
          <w:trHeight w:val="8720"/>
        </w:trPr>
        <w:tc>
          <w:tcPr>
            <w:tcW w:w="2500" w:type="pct"/>
            <w:shd w:val="clear" w:color="auto" w:fill="auto"/>
          </w:tcPr>
          <w:p w14:paraId="661F2EA7" w14:textId="77777777" w:rsidR="003F5739" w:rsidRPr="003F5739" w:rsidRDefault="003F5739" w:rsidP="003F5739">
            <w:pPr>
              <w:rPr>
                <w:rFonts w:ascii="Arial" w:eastAsiaTheme="minorHAnsi" w:hAnsi="Arial" w:cs="Arial"/>
                <w:color w:val="1F4E79"/>
                <w:sz w:val="22"/>
                <w:szCs w:val="22"/>
              </w:rPr>
            </w:pPr>
            <w:r w:rsidRPr="003F5739">
              <w:rPr>
                <w:rFonts w:ascii="Arial" w:eastAsiaTheme="minorHAnsi" w:hAnsi="Arial" w:cs="Arial"/>
                <w:color w:val="1F4E79"/>
                <w:sz w:val="22"/>
                <w:szCs w:val="22"/>
              </w:rPr>
              <w:t>This report provides a strategic overview of performance against key indicators. We’ve worked hard to maintain and improve performance, and this year has seen several important achievements for Roads &amp; Transportation Services:</w:t>
            </w:r>
          </w:p>
          <w:p w14:paraId="554DA7AA" w14:textId="77777777" w:rsidR="003F5739" w:rsidRPr="003F5739" w:rsidRDefault="003F5739" w:rsidP="003F5739">
            <w:pPr>
              <w:rPr>
                <w:rFonts w:ascii="Arial" w:eastAsiaTheme="minorHAnsi" w:hAnsi="Arial" w:cs="Arial"/>
                <w:color w:val="1F4E79"/>
                <w:sz w:val="22"/>
                <w:szCs w:val="22"/>
              </w:rPr>
            </w:pPr>
          </w:p>
          <w:p w14:paraId="1F260D49" w14:textId="77777777" w:rsidR="003F5739" w:rsidRPr="003F5739" w:rsidRDefault="003F5739" w:rsidP="003F5739">
            <w:pPr>
              <w:numPr>
                <w:ilvl w:val="0"/>
                <w:numId w:val="31"/>
              </w:numPr>
              <w:contextualSpacing/>
              <w:rPr>
                <w:rFonts w:ascii="Arial" w:eastAsiaTheme="minorHAnsi" w:hAnsi="Arial" w:cs="Arial"/>
                <w:color w:val="1F4E79"/>
                <w:sz w:val="22"/>
                <w:szCs w:val="22"/>
              </w:rPr>
            </w:pPr>
            <w:r w:rsidRPr="003F5739">
              <w:rPr>
                <w:rFonts w:ascii="Arial" w:eastAsiaTheme="minorHAnsi" w:hAnsi="Arial" w:cs="Arial"/>
                <w:color w:val="1F4E79"/>
                <w:sz w:val="22"/>
                <w:szCs w:val="22"/>
              </w:rPr>
              <w:t>Capital investment in roads and lighting has led to improvements in these important assets over the last few years.</w:t>
            </w:r>
          </w:p>
          <w:p w14:paraId="11D86BE9" w14:textId="77777777" w:rsidR="003F5739" w:rsidRPr="003F5739" w:rsidRDefault="003F5739" w:rsidP="003F5739">
            <w:pPr>
              <w:numPr>
                <w:ilvl w:val="0"/>
                <w:numId w:val="30"/>
              </w:numPr>
              <w:ind w:left="720"/>
              <w:contextualSpacing/>
              <w:rPr>
                <w:rFonts w:ascii="Arial" w:eastAsiaTheme="minorHAnsi" w:hAnsi="Arial" w:cs="Arial"/>
                <w:color w:val="1F4E79"/>
                <w:sz w:val="22"/>
                <w:szCs w:val="22"/>
              </w:rPr>
            </w:pPr>
          </w:p>
          <w:p w14:paraId="36B07A93" w14:textId="77777777" w:rsidR="003F5739" w:rsidRPr="003F5739" w:rsidRDefault="003F5739" w:rsidP="003F5739">
            <w:pPr>
              <w:numPr>
                <w:ilvl w:val="0"/>
                <w:numId w:val="31"/>
              </w:numPr>
              <w:contextualSpacing/>
              <w:rPr>
                <w:rFonts w:ascii="Arial" w:eastAsiaTheme="minorHAnsi" w:hAnsi="Arial" w:cs="Arial"/>
                <w:color w:val="1F4E79"/>
                <w:sz w:val="22"/>
                <w:szCs w:val="22"/>
              </w:rPr>
            </w:pPr>
            <w:r w:rsidRPr="003F5739">
              <w:rPr>
                <w:rFonts w:ascii="Arial" w:eastAsiaTheme="minorHAnsi" w:hAnsi="Arial" w:cs="Arial"/>
                <w:color w:val="1F4E79" w:themeColor="accent5" w:themeShade="80"/>
                <w:sz w:val="22"/>
                <w:szCs w:val="22"/>
              </w:rPr>
              <w:t>The ‘Beast from the East’ had a few impacts on the delivery of normal repair services however it was of note that the service was able to improve the winter gritting responsiveness during that period.</w:t>
            </w:r>
          </w:p>
          <w:p w14:paraId="2B5B2455" w14:textId="77777777" w:rsidR="003F5739" w:rsidRPr="003F5739" w:rsidRDefault="003F5739" w:rsidP="003F5739">
            <w:pPr>
              <w:numPr>
                <w:ilvl w:val="0"/>
                <w:numId w:val="30"/>
              </w:numPr>
              <w:ind w:left="720"/>
              <w:contextualSpacing/>
              <w:rPr>
                <w:rFonts w:ascii="Arial" w:eastAsiaTheme="minorHAnsi" w:hAnsi="Arial" w:cs="Arial"/>
                <w:color w:val="1F4E79"/>
                <w:sz w:val="22"/>
                <w:szCs w:val="22"/>
              </w:rPr>
            </w:pPr>
          </w:p>
          <w:p w14:paraId="628D9CEE" w14:textId="77777777" w:rsidR="003F5739" w:rsidRPr="003F5739" w:rsidRDefault="003F5739" w:rsidP="003F5739">
            <w:pPr>
              <w:numPr>
                <w:ilvl w:val="0"/>
                <w:numId w:val="31"/>
              </w:numPr>
              <w:contextualSpacing/>
              <w:rPr>
                <w:rFonts w:ascii="Arial" w:eastAsiaTheme="minorHAnsi" w:hAnsi="Arial" w:cs="Arial"/>
                <w:color w:val="1F4E79"/>
                <w:sz w:val="22"/>
                <w:szCs w:val="22"/>
              </w:rPr>
            </w:pPr>
            <w:r w:rsidRPr="003F5739">
              <w:rPr>
                <w:rFonts w:ascii="Arial" w:eastAsiaTheme="minorHAnsi" w:hAnsi="Arial" w:cs="Arial"/>
                <w:color w:val="1F4E79"/>
                <w:sz w:val="22"/>
                <w:szCs w:val="22"/>
              </w:rPr>
              <w:t>The delivery of Traffic Regulation Orders into actual changes in the road network involves several teams and different processes and it physical evidence of committee decisions. It was good to note that performance had improved in 2018/19 during a year of great change within the service,</w:t>
            </w:r>
          </w:p>
          <w:p w14:paraId="6DCA3E4F" w14:textId="77777777" w:rsidR="003F5739" w:rsidRPr="003F5739" w:rsidRDefault="003F5739" w:rsidP="003F5739">
            <w:pPr>
              <w:rPr>
                <w:rFonts w:ascii="Arial" w:eastAsiaTheme="minorHAnsi" w:hAnsi="Arial" w:cs="Arial"/>
                <w:color w:val="1F4E79"/>
                <w:sz w:val="22"/>
                <w:szCs w:val="22"/>
              </w:rPr>
            </w:pPr>
          </w:p>
          <w:p w14:paraId="02C55377" w14:textId="77777777" w:rsidR="003F5739" w:rsidRPr="003F5739" w:rsidRDefault="003F5739" w:rsidP="003F5739">
            <w:pPr>
              <w:rPr>
                <w:rFonts w:ascii="Arial" w:eastAsiaTheme="minorHAnsi" w:hAnsi="Arial" w:cs="Arial"/>
                <w:color w:val="1F4E79"/>
                <w:sz w:val="22"/>
                <w:szCs w:val="22"/>
              </w:rPr>
            </w:pPr>
          </w:p>
        </w:tc>
        <w:tc>
          <w:tcPr>
            <w:tcW w:w="2500" w:type="pct"/>
            <w:shd w:val="clear" w:color="auto" w:fill="auto"/>
          </w:tcPr>
          <w:p w14:paraId="671FABF5" w14:textId="77777777" w:rsidR="003F5739" w:rsidRPr="003F5739" w:rsidRDefault="003F5739" w:rsidP="003F5739">
            <w:pPr>
              <w:rPr>
                <w:rFonts w:ascii="Arial" w:eastAsiaTheme="minorHAnsi" w:hAnsi="Arial" w:cs="Arial"/>
                <w:color w:val="1F4E79"/>
                <w:sz w:val="22"/>
                <w:szCs w:val="22"/>
              </w:rPr>
            </w:pPr>
            <w:r w:rsidRPr="003F5739">
              <w:rPr>
                <w:rFonts w:ascii="Arial" w:eastAsiaTheme="minorHAnsi" w:hAnsi="Arial" w:cs="Arial"/>
                <w:color w:val="1F4E79"/>
                <w:sz w:val="22"/>
                <w:szCs w:val="22"/>
              </w:rPr>
              <w:t>However, we continue to face significant challenges:</w:t>
            </w:r>
          </w:p>
          <w:p w14:paraId="4514CAE5" w14:textId="77777777" w:rsidR="003F5739" w:rsidRPr="003F5739" w:rsidRDefault="003F5739" w:rsidP="003F5739">
            <w:pPr>
              <w:numPr>
                <w:ilvl w:val="0"/>
                <w:numId w:val="32"/>
              </w:numPr>
              <w:contextualSpacing/>
              <w:rPr>
                <w:rFonts w:ascii="Arial" w:eastAsiaTheme="minorHAnsi" w:hAnsi="Arial" w:cs="Arial"/>
                <w:color w:val="1F4E79"/>
                <w:sz w:val="22"/>
                <w:szCs w:val="22"/>
              </w:rPr>
            </w:pPr>
            <w:r w:rsidRPr="003F5739">
              <w:rPr>
                <w:rFonts w:ascii="Arial" w:eastAsiaTheme="minorHAnsi" w:hAnsi="Arial" w:cs="Arial"/>
                <w:color w:val="1F4E79"/>
                <w:sz w:val="22"/>
                <w:szCs w:val="22"/>
              </w:rPr>
              <w:t>Following a period of successive service restructures and downsizing, the level of absence (WDL) in the service is unacceptable and the service management are pursuing several initiatives to improve attendance.</w:t>
            </w:r>
          </w:p>
          <w:p w14:paraId="49B88B75" w14:textId="77777777" w:rsidR="003F5739" w:rsidRPr="003F5739" w:rsidRDefault="003F5739" w:rsidP="003F5739">
            <w:pPr>
              <w:numPr>
                <w:ilvl w:val="0"/>
                <w:numId w:val="30"/>
              </w:numPr>
              <w:ind w:left="720"/>
              <w:contextualSpacing/>
              <w:rPr>
                <w:rFonts w:ascii="Arial" w:eastAsiaTheme="minorHAnsi" w:hAnsi="Arial" w:cs="Arial"/>
                <w:color w:val="1F4E79"/>
                <w:sz w:val="22"/>
                <w:szCs w:val="22"/>
              </w:rPr>
            </w:pPr>
          </w:p>
          <w:p w14:paraId="47CAE04B" w14:textId="77777777" w:rsidR="003F5739" w:rsidRPr="003F5739" w:rsidRDefault="003F5739" w:rsidP="003F5739">
            <w:pPr>
              <w:numPr>
                <w:ilvl w:val="0"/>
                <w:numId w:val="32"/>
              </w:numPr>
              <w:contextualSpacing/>
              <w:rPr>
                <w:rFonts w:ascii="Arial" w:eastAsiaTheme="minorHAnsi" w:hAnsi="Arial" w:cs="Arial"/>
                <w:color w:val="1F4E79"/>
                <w:sz w:val="22"/>
                <w:szCs w:val="22"/>
              </w:rPr>
            </w:pPr>
            <w:r w:rsidRPr="003F5739">
              <w:rPr>
                <w:rFonts w:ascii="Arial" w:eastAsiaTheme="minorHAnsi" w:hAnsi="Arial" w:cs="Arial"/>
                <w:color w:val="1F4E79"/>
                <w:sz w:val="22"/>
                <w:szCs w:val="22"/>
              </w:rPr>
              <w:t>Since 2016/17 there has been a rise in in annual road defects in Fife. This has proved very challenging in relation to achieving the targets from the old road maintenance policy. It is hoped that moving to a ‘Risk Based’ policy approach will provide a more resilient and sustainable approach towards road inspections and repairs and help to tackle the pressure on the revenue budget and performance targets.</w:t>
            </w:r>
          </w:p>
          <w:p w14:paraId="4D0B8073" w14:textId="77777777" w:rsidR="003F5739" w:rsidRPr="003F5739" w:rsidRDefault="003F5739" w:rsidP="003F5739">
            <w:pPr>
              <w:numPr>
                <w:ilvl w:val="0"/>
                <w:numId w:val="30"/>
              </w:numPr>
              <w:ind w:left="720"/>
              <w:contextualSpacing/>
              <w:rPr>
                <w:rFonts w:ascii="Arial" w:eastAsiaTheme="minorHAnsi" w:hAnsi="Arial" w:cs="Arial"/>
                <w:color w:val="1F4E79"/>
                <w:sz w:val="22"/>
                <w:szCs w:val="22"/>
              </w:rPr>
            </w:pPr>
          </w:p>
          <w:p w14:paraId="4D4BA87F" w14:textId="77777777" w:rsidR="003F5739" w:rsidRPr="003F5739" w:rsidRDefault="003F5739" w:rsidP="003F5739">
            <w:pPr>
              <w:numPr>
                <w:ilvl w:val="0"/>
                <w:numId w:val="32"/>
              </w:numPr>
              <w:contextualSpacing/>
              <w:rPr>
                <w:rFonts w:ascii="Arial" w:eastAsiaTheme="minorHAnsi" w:hAnsi="Arial" w:cs="Arial"/>
                <w:color w:val="1F4E79"/>
                <w:sz w:val="22"/>
                <w:szCs w:val="22"/>
              </w:rPr>
            </w:pPr>
            <w:r w:rsidRPr="003F5739">
              <w:rPr>
                <w:rFonts w:ascii="Arial" w:eastAsiaTheme="minorHAnsi" w:hAnsi="Arial" w:cs="Arial"/>
                <w:color w:val="1F4E79"/>
                <w:sz w:val="22"/>
                <w:szCs w:val="22"/>
              </w:rPr>
              <w:t>The NRSWA error rate target of 4% to enter accurate notices and appropriate timescales into the Scottish Road Works Register is a challenging target. This year we improved from 19% down to 8.6% however there is still further work to do to meet the set standard. It should be noted that only a few Councils achieved the target.</w:t>
            </w:r>
          </w:p>
        </w:tc>
      </w:tr>
    </w:tbl>
    <w:p w14:paraId="17D4E861" w14:textId="77777777" w:rsidR="003F5739" w:rsidRPr="003F5739" w:rsidRDefault="003F5739" w:rsidP="003F5739">
      <w:pPr>
        <w:rPr>
          <w:rFonts w:asciiTheme="minorBidi" w:eastAsiaTheme="minorHAnsi" w:hAnsiTheme="minorBidi" w:cstheme="minorBidi"/>
          <w:color w:val="1F4E79" w:themeColor="accent5" w:themeShade="80"/>
          <w:szCs w:val="24"/>
          <w:lang w:eastAsia="en-US"/>
        </w:rPr>
      </w:pPr>
    </w:p>
    <w:p w14:paraId="5DE38AC8" w14:textId="77777777" w:rsidR="003F5739" w:rsidRPr="003F5739" w:rsidRDefault="003F5739" w:rsidP="003F5739">
      <w:pPr>
        <w:spacing w:before="0" w:after="0"/>
        <w:rPr>
          <w:rFonts w:ascii="Arial" w:eastAsiaTheme="minorHAnsi" w:hAnsi="Arial" w:cs="Arial"/>
          <w:color w:val="1F4E79" w:themeColor="accent5" w:themeShade="80"/>
          <w:szCs w:val="24"/>
          <w:lang w:eastAsia="en-US"/>
        </w:rPr>
      </w:pPr>
      <w:r w:rsidRPr="003F5739">
        <w:rPr>
          <w:rFonts w:asciiTheme="minorBidi" w:eastAsiaTheme="minorHAnsi" w:hAnsiTheme="minorBidi" w:cstheme="minorBidi"/>
          <w:color w:val="1F4E79" w:themeColor="accent5" w:themeShade="80"/>
          <w:szCs w:val="24"/>
          <w:lang w:eastAsia="en-US"/>
        </w:rPr>
        <w:br w:type="page"/>
      </w:r>
      <w:r w:rsidRPr="003F5739">
        <w:rPr>
          <w:rFonts w:ascii="Arial" w:eastAsiaTheme="minorHAnsi" w:hAnsi="Arial" w:cs="Arial"/>
          <w:color w:val="1F4E79" w:themeColor="accent5" w:themeShade="80"/>
          <w:sz w:val="56"/>
          <w:szCs w:val="56"/>
          <w:lang w:eastAsia="en-US"/>
        </w:rPr>
        <w:lastRenderedPageBreak/>
        <w:t>Customer</w:t>
      </w:r>
    </w:p>
    <w:tbl>
      <w:tblPr>
        <w:tblStyle w:val="TableGrid2"/>
        <w:tblW w:w="10490" w:type="dxa"/>
        <w:tblInd w:w="-5" w:type="dxa"/>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Layout w:type="fixed"/>
        <w:tblLook w:val="04A0" w:firstRow="1" w:lastRow="0" w:firstColumn="1" w:lastColumn="0" w:noHBand="0" w:noVBand="1"/>
      </w:tblPr>
      <w:tblGrid>
        <w:gridCol w:w="6237"/>
        <w:gridCol w:w="4253"/>
      </w:tblGrid>
      <w:tr w:rsidR="003F5739" w:rsidRPr="003F5739" w14:paraId="6D482BBF" w14:textId="77777777" w:rsidTr="003D36E0">
        <w:tc>
          <w:tcPr>
            <w:tcW w:w="6237" w:type="dxa"/>
            <w:shd w:val="clear" w:color="auto" w:fill="1F4E79" w:themeFill="accent5" w:themeFillShade="80"/>
            <w:vAlign w:val="center"/>
          </w:tcPr>
          <w:p w14:paraId="7D5007AC" w14:textId="77777777" w:rsidR="003F5739" w:rsidRPr="003F5739" w:rsidRDefault="003F5739" w:rsidP="003F5739">
            <w:pPr>
              <w:jc w:val="center"/>
              <w:rPr>
                <w:rFonts w:ascii="Arial" w:eastAsiaTheme="minorHAnsi" w:hAnsi="Arial" w:cs="Arial"/>
                <w:b/>
                <w:bCs/>
                <w:color w:val="FFFFFF" w:themeColor="background1"/>
              </w:rPr>
            </w:pPr>
            <w:r w:rsidRPr="003F5739">
              <w:rPr>
                <w:rFonts w:ascii="Arial" w:eastAsiaTheme="minorHAnsi" w:hAnsi="Arial" w:cs="Arial"/>
                <w:b/>
                <w:bCs/>
                <w:color w:val="FFFFFF" w:themeColor="background1"/>
              </w:rPr>
              <w:t>Performance</w:t>
            </w:r>
          </w:p>
        </w:tc>
        <w:tc>
          <w:tcPr>
            <w:tcW w:w="4253" w:type="dxa"/>
            <w:shd w:val="clear" w:color="auto" w:fill="1F4E79" w:themeFill="accent5" w:themeFillShade="80"/>
            <w:vAlign w:val="center"/>
          </w:tcPr>
          <w:p w14:paraId="02435CB5" w14:textId="77777777" w:rsidR="003F5739" w:rsidRPr="003F5739" w:rsidRDefault="003F5739" w:rsidP="003F5739">
            <w:pPr>
              <w:jc w:val="center"/>
              <w:rPr>
                <w:rFonts w:ascii="Arial" w:eastAsiaTheme="minorHAnsi" w:hAnsi="Arial" w:cs="Arial"/>
                <w:b/>
                <w:bCs/>
                <w:color w:val="FFFFFF" w:themeColor="background1"/>
              </w:rPr>
            </w:pPr>
            <w:r w:rsidRPr="003F5739">
              <w:rPr>
                <w:rFonts w:ascii="Arial" w:eastAsiaTheme="minorHAnsi" w:hAnsi="Arial" w:cs="Arial"/>
                <w:b/>
                <w:bCs/>
                <w:color w:val="FFFFFF" w:themeColor="background1"/>
              </w:rPr>
              <w:t>Progress</w:t>
            </w:r>
          </w:p>
        </w:tc>
      </w:tr>
      <w:tr w:rsidR="003F5739" w:rsidRPr="003F5739" w14:paraId="13DE84C0" w14:textId="77777777" w:rsidTr="003D36E0">
        <w:trPr>
          <w:trHeight w:val="2661"/>
        </w:trPr>
        <w:tc>
          <w:tcPr>
            <w:tcW w:w="6237" w:type="dxa"/>
          </w:tcPr>
          <w:p w14:paraId="04C32DBD" w14:textId="77777777" w:rsidR="003F5739" w:rsidRPr="003F5739" w:rsidRDefault="003F5739" w:rsidP="003F5739">
            <w:pPr>
              <w:rPr>
                <w:rFonts w:asciiTheme="minorBidi" w:eastAsiaTheme="minorHAnsi" w:hAnsiTheme="minorBidi"/>
                <w:color w:val="1F4E79" w:themeColor="accent5" w:themeShade="80"/>
              </w:rPr>
            </w:pPr>
            <w:r w:rsidRPr="003F5739">
              <w:rPr>
                <w:rFonts w:asciiTheme="minorBidi" w:eastAsiaTheme="minorHAnsi" w:hAnsiTheme="minorBidi"/>
                <w:noProof/>
                <w:color w:val="1F4E79" w:themeColor="accent5" w:themeShade="80"/>
              </w:rPr>
              <w:drawing>
                <wp:inline distT="0" distB="0" distL="0" distR="0" wp14:anchorId="7D18AF7E" wp14:editId="37116C82">
                  <wp:extent cx="3657600" cy="2281238"/>
                  <wp:effectExtent l="0" t="0" r="0" b="5080"/>
                  <wp:docPr id="28" name="Chart 28">
                    <a:extLst xmlns:a="http://schemas.openxmlformats.org/drawingml/2006/main">
                      <a:ext uri="{FF2B5EF4-FFF2-40B4-BE49-F238E27FC236}">
                        <a16:creationId xmlns:a16="http://schemas.microsoft.com/office/drawing/2014/main" id="{DF9FC4AE-0B57-4ED7-AF13-870BBC62F6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c>
        <w:tc>
          <w:tcPr>
            <w:tcW w:w="4253" w:type="dxa"/>
            <w:vMerge w:val="restart"/>
            <w:shd w:val="clear" w:color="auto" w:fill="auto"/>
          </w:tcPr>
          <w:p w14:paraId="4EBE4CB4" w14:textId="77777777" w:rsidR="003F5739" w:rsidRPr="003F5739" w:rsidRDefault="003F5739" w:rsidP="003F5739">
            <w:pPr>
              <w:rPr>
                <w:rFonts w:ascii="Arial" w:eastAsiaTheme="minorHAnsi" w:hAnsi="Arial" w:cs="Arial"/>
                <w:color w:val="1F4E79" w:themeColor="accent5" w:themeShade="80"/>
                <w:sz w:val="21"/>
                <w:szCs w:val="21"/>
              </w:rPr>
            </w:pPr>
            <w:r w:rsidRPr="003F5739">
              <w:rPr>
                <w:rFonts w:ascii="Arial" w:eastAsiaTheme="minorHAnsi" w:hAnsi="Arial" w:cs="Arial"/>
                <w:color w:val="1F4E79" w:themeColor="accent5" w:themeShade="80"/>
                <w:sz w:val="21"/>
                <w:szCs w:val="21"/>
              </w:rPr>
              <w:t>The total number of stage 1 and stage 2 complaints received by Roads and Transportation has decreased from 160 in 2017/18 to 141 in 2018/19.  Of the 141 complaints received in 2018/19, 128 were dealt with within the required timescales.</w:t>
            </w:r>
          </w:p>
          <w:p w14:paraId="75917333" w14:textId="77777777" w:rsidR="003F5739" w:rsidRPr="003F5739" w:rsidRDefault="003F5739" w:rsidP="003F5739">
            <w:pPr>
              <w:rPr>
                <w:rFonts w:ascii="Arial" w:eastAsiaTheme="minorHAnsi" w:hAnsi="Arial" w:cs="Arial"/>
                <w:color w:val="1F4E79" w:themeColor="accent5" w:themeShade="80"/>
                <w:sz w:val="21"/>
                <w:szCs w:val="21"/>
              </w:rPr>
            </w:pPr>
            <w:r w:rsidRPr="003F5739">
              <w:rPr>
                <w:rFonts w:ascii="Arial" w:eastAsiaTheme="minorHAnsi" w:hAnsi="Arial" w:cs="Arial"/>
                <w:color w:val="1F4E79" w:themeColor="accent5" w:themeShade="80"/>
                <w:sz w:val="21"/>
                <w:szCs w:val="21"/>
              </w:rPr>
              <w:t>The Service is on target in terms of dealing with complaints within timescale for 2018/19.</w:t>
            </w:r>
          </w:p>
          <w:p w14:paraId="67FD5540" w14:textId="77777777" w:rsidR="003F5739" w:rsidRPr="003F5739" w:rsidRDefault="003F5739" w:rsidP="003F5739">
            <w:pPr>
              <w:rPr>
                <w:rFonts w:ascii="Arial" w:eastAsiaTheme="minorHAnsi" w:hAnsi="Arial" w:cs="Arial"/>
                <w:color w:val="1F4E79" w:themeColor="accent5" w:themeShade="80"/>
                <w:sz w:val="21"/>
                <w:szCs w:val="21"/>
              </w:rPr>
            </w:pPr>
          </w:p>
          <w:p w14:paraId="7CBC5D7A" w14:textId="77777777" w:rsidR="003F5739" w:rsidRPr="003F5739" w:rsidRDefault="003F5739" w:rsidP="003F5739">
            <w:pPr>
              <w:rPr>
                <w:rFonts w:ascii="Arial" w:eastAsiaTheme="minorHAnsi" w:hAnsi="Arial" w:cs="Arial"/>
                <w:color w:val="1F4E79" w:themeColor="accent5" w:themeShade="80"/>
                <w:sz w:val="21"/>
                <w:szCs w:val="21"/>
              </w:rPr>
            </w:pPr>
          </w:p>
          <w:p w14:paraId="615AFA5E" w14:textId="77777777" w:rsidR="003F5739" w:rsidRPr="003F5739" w:rsidRDefault="003F5739" w:rsidP="003F5739">
            <w:pPr>
              <w:rPr>
                <w:rFonts w:ascii="Arial" w:eastAsiaTheme="minorHAnsi" w:hAnsi="Arial" w:cs="Arial"/>
                <w:color w:val="1F4E79" w:themeColor="accent5" w:themeShade="80"/>
                <w:sz w:val="21"/>
                <w:szCs w:val="21"/>
              </w:rPr>
            </w:pPr>
          </w:p>
          <w:p w14:paraId="7A43DB76" w14:textId="77777777" w:rsidR="003F5739" w:rsidRPr="003F5739" w:rsidRDefault="003F5739" w:rsidP="003F5739">
            <w:pPr>
              <w:rPr>
                <w:rFonts w:ascii="Arial" w:eastAsiaTheme="minorHAnsi" w:hAnsi="Arial" w:cs="Arial"/>
                <w:color w:val="1F4E79" w:themeColor="accent5" w:themeShade="80"/>
                <w:sz w:val="21"/>
                <w:szCs w:val="21"/>
              </w:rPr>
            </w:pPr>
          </w:p>
          <w:p w14:paraId="18472C9D" w14:textId="77777777" w:rsidR="003F5739" w:rsidRPr="003F5739" w:rsidRDefault="003F5739" w:rsidP="003F5739">
            <w:pPr>
              <w:rPr>
                <w:rFonts w:ascii="Arial" w:eastAsiaTheme="minorHAnsi" w:hAnsi="Arial" w:cs="Arial"/>
                <w:color w:val="1F4E79" w:themeColor="accent5" w:themeShade="80"/>
                <w:sz w:val="21"/>
                <w:szCs w:val="21"/>
              </w:rPr>
            </w:pPr>
          </w:p>
          <w:p w14:paraId="7D87487E" w14:textId="77777777" w:rsidR="003F5739" w:rsidRPr="003F5739" w:rsidRDefault="003F5739" w:rsidP="003F5739">
            <w:pPr>
              <w:rPr>
                <w:rFonts w:ascii="Arial" w:eastAsiaTheme="minorHAnsi" w:hAnsi="Arial" w:cs="Arial"/>
                <w:color w:val="1F4E79" w:themeColor="accent5" w:themeShade="80"/>
                <w:sz w:val="21"/>
                <w:szCs w:val="21"/>
              </w:rPr>
            </w:pPr>
          </w:p>
          <w:p w14:paraId="49F4F239" w14:textId="77777777" w:rsidR="003F5739" w:rsidRPr="003F5739" w:rsidRDefault="003F5739" w:rsidP="003F5739">
            <w:pPr>
              <w:rPr>
                <w:rFonts w:ascii="Arial" w:eastAsiaTheme="minorHAnsi" w:hAnsi="Arial" w:cs="Arial"/>
                <w:color w:val="1F4E79" w:themeColor="accent5" w:themeShade="80"/>
                <w:sz w:val="21"/>
                <w:szCs w:val="21"/>
              </w:rPr>
            </w:pPr>
          </w:p>
          <w:p w14:paraId="54FD56A3" w14:textId="77777777" w:rsidR="003F5739" w:rsidRPr="003F5739" w:rsidRDefault="003F5739" w:rsidP="003F5739">
            <w:pPr>
              <w:rPr>
                <w:rFonts w:ascii="Arial" w:eastAsiaTheme="minorHAnsi" w:hAnsi="Arial" w:cs="Arial"/>
                <w:color w:val="1F4E79" w:themeColor="accent5" w:themeShade="80"/>
                <w:sz w:val="21"/>
                <w:szCs w:val="21"/>
              </w:rPr>
            </w:pPr>
          </w:p>
          <w:p w14:paraId="15F19491" w14:textId="77777777" w:rsidR="003F5739" w:rsidRPr="003F5739" w:rsidRDefault="003F5739" w:rsidP="003F5739">
            <w:pPr>
              <w:rPr>
                <w:rFonts w:ascii="Arial" w:eastAsiaTheme="minorHAnsi" w:hAnsi="Arial" w:cs="Arial"/>
                <w:color w:val="1F4E79" w:themeColor="accent5" w:themeShade="80"/>
                <w:sz w:val="21"/>
                <w:szCs w:val="21"/>
              </w:rPr>
            </w:pPr>
          </w:p>
          <w:p w14:paraId="6FDD40FC" w14:textId="77777777" w:rsidR="003F5739" w:rsidRPr="003F5739" w:rsidRDefault="003F5739" w:rsidP="003F5739">
            <w:pPr>
              <w:rPr>
                <w:rFonts w:ascii="Arial" w:eastAsiaTheme="minorHAnsi" w:hAnsi="Arial" w:cs="Arial"/>
                <w:color w:val="1F4E79" w:themeColor="accent5" w:themeShade="80"/>
                <w:sz w:val="21"/>
                <w:szCs w:val="21"/>
              </w:rPr>
            </w:pPr>
          </w:p>
          <w:p w14:paraId="1612FA3C" w14:textId="77777777" w:rsidR="003F5739" w:rsidRPr="003F5739" w:rsidRDefault="003F5739" w:rsidP="003F5739">
            <w:pPr>
              <w:rPr>
                <w:rFonts w:ascii="Arial" w:eastAsiaTheme="minorHAnsi" w:hAnsi="Arial" w:cs="Arial"/>
                <w:color w:val="1F4E79" w:themeColor="accent5" w:themeShade="80"/>
                <w:sz w:val="21"/>
                <w:szCs w:val="21"/>
              </w:rPr>
            </w:pPr>
          </w:p>
          <w:p w14:paraId="71169ED8" w14:textId="77777777" w:rsidR="003F5739" w:rsidRPr="003F5739" w:rsidRDefault="003F5739" w:rsidP="003F5739">
            <w:pPr>
              <w:rPr>
                <w:rFonts w:ascii="Arial" w:eastAsiaTheme="minorHAnsi" w:hAnsi="Arial" w:cs="Arial"/>
                <w:color w:val="1F4E79" w:themeColor="accent5" w:themeShade="80"/>
                <w:sz w:val="21"/>
                <w:szCs w:val="21"/>
              </w:rPr>
            </w:pPr>
          </w:p>
          <w:p w14:paraId="0BD8B683" w14:textId="77777777" w:rsidR="003F5739" w:rsidRPr="003F5739" w:rsidRDefault="003F5739" w:rsidP="003F5739">
            <w:pPr>
              <w:rPr>
                <w:rFonts w:asciiTheme="minorBidi" w:eastAsiaTheme="minorHAnsi" w:hAnsiTheme="minorBidi"/>
                <w:color w:val="1F4E79"/>
              </w:rPr>
            </w:pPr>
            <w:r w:rsidRPr="003F5739">
              <w:rPr>
                <w:rFonts w:ascii="Arial" w:eastAsiaTheme="minorHAnsi" w:hAnsi="Arial" w:cs="Arial"/>
                <w:color w:val="1F4E79" w:themeColor="accent5" w:themeShade="80"/>
                <w:sz w:val="21"/>
                <w:szCs w:val="21"/>
              </w:rPr>
              <w:t>It is not thought that all ‘compliments’ are being formally recorded in Lagan and a reminder will be re-issued to staff.</w:t>
            </w:r>
          </w:p>
        </w:tc>
      </w:tr>
      <w:tr w:rsidR="003F5739" w:rsidRPr="003F5739" w14:paraId="30C7B2C9" w14:textId="77777777" w:rsidTr="003D36E0">
        <w:tc>
          <w:tcPr>
            <w:tcW w:w="6237" w:type="dxa"/>
          </w:tcPr>
          <w:p w14:paraId="5A978653" w14:textId="77777777" w:rsidR="003F5739" w:rsidRPr="003F5739" w:rsidRDefault="003F5739" w:rsidP="003F5739">
            <w:pPr>
              <w:rPr>
                <w:rFonts w:asciiTheme="minorBidi" w:eastAsiaTheme="minorHAnsi" w:hAnsiTheme="minorBidi"/>
                <w:color w:val="1F4E79" w:themeColor="accent5" w:themeShade="80"/>
              </w:rPr>
            </w:pPr>
            <w:r w:rsidRPr="003F5739">
              <w:rPr>
                <w:rFonts w:asciiTheme="minorBidi" w:eastAsiaTheme="minorHAnsi" w:hAnsiTheme="minorBidi"/>
                <w:noProof/>
                <w:color w:val="1F4E79" w:themeColor="accent5" w:themeShade="80"/>
              </w:rPr>
              <w:drawing>
                <wp:inline distT="0" distB="0" distL="0" distR="0" wp14:anchorId="327C9B42" wp14:editId="715CF942">
                  <wp:extent cx="3657600" cy="2281238"/>
                  <wp:effectExtent l="0" t="0" r="0" b="5080"/>
                  <wp:docPr id="40" name="Chart 40">
                    <a:extLst xmlns:a="http://schemas.openxmlformats.org/drawingml/2006/main">
                      <a:ext uri="{FF2B5EF4-FFF2-40B4-BE49-F238E27FC236}">
                        <a16:creationId xmlns:a16="http://schemas.microsoft.com/office/drawing/2014/main" id="{2A8BBB5B-8223-4F6E-B080-02F4468DA1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c>
        <w:tc>
          <w:tcPr>
            <w:tcW w:w="4253" w:type="dxa"/>
            <w:vMerge/>
            <w:shd w:val="clear" w:color="auto" w:fill="auto"/>
          </w:tcPr>
          <w:p w14:paraId="0209106C" w14:textId="77777777" w:rsidR="003F5739" w:rsidRPr="003F5739" w:rsidRDefault="003F5739" w:rsidP="003F5739">
            <w:pPr>
              <w:rPr>
                <w:rFonts w:asciiTheme="minorBidi" w:eastAsiaTheme="minorHAnsi" w:hAnsiTheme="minorBidi"/>
                <w:color w:val="1F4E79" w:themeColor="accent5" w:themeShade="80"/>
              </w:rPr>
            </w:pPr>
          </w:p>
        </w:tc>
      </w:tr>
      <w:tr w:rsidR="003F5739" w:rsidRPr="003F5739" w14:paraId="2872B1BB" w14:textId="77777777" w:rsidTr="003D36E0">
        <w:tc>
          <w:tcPr>
            <w:tcW w:w="6237" w:type="dxa"/>
          </w:tcPr>
          <w:p w14:paraId="7822A1A9" w14:textId="77777777" w:rsidR="003F5739" w:rsidRPr="003F5739" w:rsidRDefault="003F5739" w:rsidP="003F5739">
            <w:pPr>
              <w:rPr>
                <w:rFonts w:asciiTheme="minorBidi" w:eastAsiaTheme="minorHAnsi" w:hAnsiTheme="minorBidi"/>
                <w:noProof/>
                <w:color w:val="1F4E79" w:themeColor="accent5" w:themeShade="80"/>
              </w:rPr>
            </w:pPr>
            <w:r w:rsidRPr="003F5739">
              <w:rPr>
                <w:rFonts w:asciiTheme="minorBidi" w:eastAsiaTheme="minorHAnsi" w:hAnsiTheme="minorBidi"/>
                <w:noProof/>
                <w:color w:val="1F4E79" w:themeColor="accent5" w:themeShade="80"/>
              </w:rPr>
              <w:drawing>
                <wp:inline distT="0" distB="0" distL="0" distR="0" wp14:anchorId="16D3415B" wp14:editId="417EF495">
                  <wp:extent cx="3657600" cy="2281238"/>
                  <wp:effectExtent l="0" t="0" r="0" b="5080"/>
                  <wp:docPr id="47" name="Chart 47">
                    <a:extLst xmlns:a="http://schemas.openxmlformats.org/drawingml/2006/main">
                      <a:ext uri="{FF2B5EF4-FFF2-40B4-BE49-F238E27FC236}">
                        <a16:creationId xmlns:a16="http://schemas.microsoft.com/office/drawing/2014/main" id="{539BED1E-2292-4909-A227-B8A5DE4BAD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c>
        <w:tc>
          <w:tcPr>
            <w:tcW w:w="4253" w:type="dxa"/>
            <w:vMerge/>
            <w:shd w:val="clear" w:color="auto" w:fill="auto"/>
          </w:tcPr>
          <w:p w14:paraId="63A0BCAA" w14:textId="77777777" w:rsidR="003F5739" w:rsidRPr="003F5739" w:rsidRDefault="003F5739" w:rsidP="003F5739">
            <w:pPr>
              <w:rPr>
                <w:rFonts w:asciiTheme="minorBidi" w:eastAsiaTheme="minorHAnsi" w:hAnsiTheme="minorBidi"/>
                <w:color w:val="1F4E79" w:themeColor="accent5" w:themeShade="80"/>
              </w:rPr>
            </w:pPr>
          </w:p>
        </w:tc>
      </w:tr>
    </w:tbl>
    <w:p w14:paraId="531922F5" w14:textId="77777777" w:rsidR="003F5739" w:rsidRPr="003F5739" w:rsidRDefault="003F5739" w:rsidP="003F5739">
      <w:pPr>
        <w:spacing w:before="0" w:after="0"/>
        <w:rPr>
          <w:rFonts w:asciiTheme="minorBidi" w:eastAsiaTheme="minorHAnsi" w:hAnsiTheme="minorBidi" w:cstheme="minorBidi"/>
          <w:color w:val="1F4E79" w:themeColor="accent5" w:themeShade="80"/>
          <w:szCs w:val="24"/>
          <w:lang w:eastAsia="en-US"/>
        </w:rPr>
      </w:pPr>
      <w:r w:rsidRPr="003F5739">
        <w:rPr>
          <w:rFonts w:asciiTheme="minorBidi" w:eastAsiaTheme="minorHAnsi" w:hAnsiTheme="minorBidi" w:cstheme="minorBidi"/>
          <w:color w:val="1F4E79" w:themeColor="accent5" w:themeShade="80"/>
          <w:szCs w:val="24"/>
          <w:lang w:eastAsia="en-US"/>
        </w:rPr>
        <w:br w:type="page"/>
      </w:r>
    </w:p>
    <w:p w14:paraId="065EEA8C" w14:textId="77777777" w:rsidR="003F5739" w:rsidRPr="003F5739" w:rsidRDefault="003F5739" w:rsidP="003F5739">
      <w:pPr>
        <w:rPr>
          <w:rFonts w:ascii="Arial" w:eastAsiaTheme="minorHAnsi" w:hAnsi="Arial" w:cs="Arial"/>
          <w:color w:val="1F4E79" w:themeColor="accent5" w:themeShade="80"/>
          <w:sz w:val="56"/>
          <w:szCs w:val="56"/>
          <w:lang w:eastAsia="en-US"/>
        </w:rPr>
      </w:pPr>
      <w:r w:rsidRPr="003F5739">
        <w:rPr>
          <w:rFonts w:ascii="Arial" w:eastAsiaTheme="minorHAnsi" w:hAnsi="Arial" w:cs="Arial"/>
          <w:color w:val="1F4E79" w:themeColor="accent5" w:themeShade="80"/>
          <w:sz w:val="56"/>
          <w:szCs w:val="56"/>
          <w:lang w:eastAsia="en-US"/>
        </w:rPr>
        <w:lastRenderedPageBreak/>
        <w:t>People</w:t>
      </w:r>
    </w:p>
    <w:tbl>
      <w:tblPr>
        <w:tblStyle w:val="TableGrid2"/>
        <w:tblW w:w="10490" w:type="dxa"/>
        <w:tblInd w:w="-5" w:type="dxa"/>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Look w:val="04A0" w:firstRow="1" w:lastRow="0" w:firstColumn="1" w:lastColumn="0" w:noHBand="0" w:noVBand="1"/>
      </w:tblPr>
      <w:tblGrid>
        <w:gridCol w:w="6379"/>
        <w:gridCol w:w="4111"/>
      </w:tblGrid>
      <w:tr w:rsidR="003F5739" w:rsidRPr="003F5739" w14:paraId="40575103" w14:textId="77777777" w:rsidTr="003D36E0">
        <w:tc>
          <w:tcPr>
            <w:tcW w:w="6379" w:type="dxa"/>
            <w:shd w:val="clear" w:color="auto" w:fill="1F4E79" w:themeFill="accent5" w:themeFillShade="80"/>
            <w:vAlign w:val="center"/>
          </w:tcPr>
          <w:p w14:paraId="0258B2A9" w14:textId="77777777" w:rsidR="003F5739" w:rsidRPr="003F5739" w:rsidRDefault="003F5739" w:rsidP="003F5739">
            <w:pPr>
              <w:jc w:val="center"/>
              <w:rPr>
                <w:rFonts w:ascii="Arial" w:eastAsiaTheme="minorHAnsi" w:hAnsi="Arial" w:cs="Arial"/>
                <w:b/>
                <w:bCs/>
                <w:color w:val="FFFFFF" w:themeColor="background1"/>
              </w:rPr>
            </w:pPr>
            <w:r w:rsidRPr="003F5739">
              <w:rPr>
                <w:rFonts w:ascii="Arial" w:eastAsiaTheme="minorHAnsi" w:hAnsi="Arial" w:cs="Arial"/>
                <w:b/>
                <w:bCs/>
                <w:color w:val="FFFFFF" w:themeColor="background1"/>
              </w:rPr>
              <w:t>Performance</w:t>
            </w:r>
          </w:p>
        </w:tc>
        <w:tc>
          <w:tcPr>
            <w:tcW w:w="4111" w:type="dxa"/>
            <w:shd w:val="clear" w:color="auto" w:fill="1F4E79" w:themeFill="accent5" w:themeFillShade="80"/>
            <w:vAlign w:val="center"/>
          </w:tcPr>
          <w:p w14:paraId="1FCAC0E8" w14:textId="77777777" w:rsidR="003F5739" w:rsidRPr="003F5739" w:rsidRDefault="003F5739" w:rsidP="003F5739">
            <w:pPr>
              <w:jc w:val="center"/>
              <w:rPr>
                <w:rFonts w:ascii="Arial" w:eastAsiaTheme="minorHAnsi" w:hAnsi="Arial" w:cs="Arial"/>
                <w:b/>
                <w:bCs/>
                <w:color w:val="FFFFFF" w:themeColor="background1"/>
              </w:rPr>
            </w:pPr>
            <w:r w:rsidRPr="003F5739">
              <w:rPr>
                <w:rFonts w:ascii="Arial" w:eastAsiaTheme="minorHAnsi" w:hAnsi="Arial" w:cs="Arial"/>
                <w:b/>
                <w:bCs/>
                <w:color w:val="FFFFFF" w:themeColor="background1"/>
              </w:rPr>
              <w:t>Progress</w:t>
            </w:r>
          </w:p>
        </w:tc>
      </w:tr>
      <w:tr w:rsidR="003F5739" w:rsidRPr="003F5739" w14:paraId="52AFCF40" w14:textId="77777777" w:rsidTr="003D36E0">
        <w:tc>
          <w:tcPr>
            <w:tcW w:w="6379" w:type="dxa"/>
          </w:tcPr>
          <w:p w14:paraId="70CBAA91" w14:textId="77777777" w:rsidR="003F5739" w:rsidRPr="003F5739" w:rsidRDefault="003F5739" w:rsidP="003F5739">
            <w:pPr>
              <w:rPr>
                <w:rFonts w:asciiTheme="minorBidi" w:eastAsiaTheme="minorHAnsi" w:hAnsiTheme="minorBidi"/>
                <w:color w:val="1F4E79" w:themeColor="accent5" w:themeShade="80"/>
              </w:rPr>
            </w:pPr>
            <w:r w:rsidRPr="003F5739">
              <w:rPr>
                <w:rFonts w:asciiTheme="minorBidi" w:eastAsiaTheme="minorHAnsi" w:hAnsiTheme="minorBidi"/>
                <w:noProof/>
                <w:color w:val="1F4E79" w:themeColor="accent5" w:themeShade="80"/>
              </w:rPr>
              <w:drawing>
                <wp:inline distT="0" distB="0" distL="0" distR="0" wp14:anchorId="3E79DEA2" wp14:editId="645EB2E8">
                  <wp:extent cx="3657600" cy="2281238"/>
                  <wp:effectExtent l="0" t="0" r="0" b="5080"/>
                  <wp:docPr id="48" name="Chart 48">
                    <a:extLst xmlns:a="http://schemas.openxmlformats.org/drawingml/2006/main">
                      <a:ext uri="{FF2B5EF4-FFF2-40B4-BE49-F238E27FC236}">
                        <a16:creationId xmlns:a16="http://schemas.microsoft.com/office/drawing/2014/main" id="{74FA76B2-C039-4A8E-8ADF-F93F1FF7BC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tc>
        <w:tc>
          <w:tcPr>
            <w:tcW w:w="4111" w:type="dxa"/>
            <w:vMerge w:val="restart"/>
            <w:shd w:val="clear" w:color="auto" w:fill="auto"/>
          </w:tcPr>
          <w:p w14:paraId="505B6BA5" w14:textId="77777777" w:rsidR="003F5739" w:rsidRPr="003F5739" w:rsidRDefault="003F5739" w:rsidP="003F5739">
            <w:pPr>
              <w:rPr>
                <w:rFonts w:ascii="Arial" w:eastAsiaTheme="minorHAnsi" w:hAnsi="Arial" w:cs="Arial"/>
                <w:color w:val="1F4E79" w:themeColor="accent5" w:themeShade="80"/>
                <w:sz w:val="21"/>
                <w:szCs w:val="21"/>
              </w:rPr>
            </w:pPr>
            <w:r w:rsidRPr="003F5739">
              <w:rPr>
                <w:rFonts w:ascii="Arial" w:eastAsiaTheme="minorHAnsi" w:hAnsi="Arial" w:cs="Arial"/>
                <w:color w:val="1F4E79" w:themeColor="accent5" w:themeShade="80"/>
                <w:sz w:val="21"/>
                <w:szCs w:val="21"/>
              </w:rPr>
              <w:t>No data is recorded for 16/17 as attendance stats were previous split into Roads, Passenger Transport &amp; Fleet, and Engineering &amp; Waste. Roads &amp; Transportation Services was created during 2017/18 and finalised in 2018/19.</w:t>
            </w:r>
          </w:p>
          <w:p w14:paraId="5E3D733A" w14:textId="77777777" w:rsidR="003F5739" w:rsidRPr="003F5739" w:rsidRDefault="003F5739" w:rsidP="003F5739">
            <w:pPr>
              <w:rPr>
                <w:rFonts w:ascii="Arial" w:eastAsiaTheme="minorHAnsi" w:hAnsi="Arial" w:cs="Arial"/>
                <w:color w:val="1F4E79" w:themeColor="accent5" w:themeShade="80"/>
                <w:sz w:val="21"/>
                <w:szCs w:val="21"/>
              </w:rPr>
            </w:pPr>
          </w:p>
          <w:p w14:paraId="767A738D" w14:textId="77777777" w:rsidR="003F5739" w:rsidRPr="003F5739" w:rsidRDefault="003F5739" w:rsidP="003F5739">
            <w:pPr>
              <w:rPr>
                <w:rFonts w:asciiTheme="minorBidi" w:eastAsiaTheme="minorHAnsi" w:hAnsiTheme="minorBidi"/>
                <w:color w:val="1F4E79"/>
              </w:rPr>
            </w:pPr>
            <w:r w:rsidRPr="003F5739">
              <w:rPr>
                <w:rFonts w:ascii="Arial" w:eastAsiaTheme="minorHAnsi" w:hAnsi="Arial" w:cs="Arial"/>
                <w:color w:val="1F4E79" w:themeColor="accent5" w:themeShade="80"/>
                <w:sz w:val="21"/>
                <w:szCs w:val="21"/>
              </w:rPr>
              <w:t>The level of current absence is not acceptable and improving attendance is a major priority for the Roads &amp; Transportation Services Management Team and several initiatives are being taken forward in this area.</w:t>
            </w:r>
          </w:p>
        </w:tc>
      </w:tr>
      <w:tr w:rsidR="003F5739" w:rsidRPr="003F5739" w14:paraId="2926137E" w14:textId="77777777" w:rsidTr="003D36E0">
        <w:tc>
          <w:tcPr>
            <w:tcW w:w="6379" w:type="dxa"/>
          </w:tcPr>
          <w:p w14:paraId="3DAE9ACC" w14:textId="77777777" w:rsidR="003F5739" w:rsidRPr="003F5739" w:rsidRDefault="003F5739" w:rsidP="003F5739">
            <w:pPr>
              <w:rPr>
                <w:rFonts w:asciiTheme="minorBidi" w:eastAsiaTheme="minorHAnsi" w:hAnsiTheme="minorBidi"/>
                <w:color w:val="1F4E79" w:themeColor="accent5" w:themeShade="80"/>
              </w:rPr>
            </w:pPr>
            <w:r w:rsidRPr="003F5739">
              <w:rPr>
                <w:rFonts w:asciiTheme="minorBidi" w:eastAsiaTheme="minorHAnsi" w:hAnsiTheme="minorBidi"/>
                <w:noProof/>
                <w:color w:val="1F4E79" w:themeColor="accent5" w:themeShade="80"/>
              </w:rPr>
              <w:drawing>
                <wp:inline distT="0" distB="0" distL="0" distR="0" wp14:anchorId="2002681E" wp14:editId="176107B7">
                  <wp:extent cx="3657600" cy="2281238"/>
                  <wp:effectExtent l="0" t="0" r="0" b="5080"/>
                  <wp:docPr id="31" name="Chart 31">
                    <a:extLst xmlns:a="http://schemas.openxmlformats.org/drawingml/2006/main">
                      <a:ext uri="{FF2B5EF4-FFF2-40B4-BE49-F238E27FC236}">
                        <a16:creationId xmlns:a16="http://schemas.microsoft.com/office/drawing/2014/main" id="{2B8B3F1A-9B48-40DD-8B79-414D767086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c>
          <w:tcPr>
            <w:tcW w:w="4111" w:type="dxa"/>
            <w:vMerge/>
            <w:shd w:val="clear" w:color="auto" w:fill="auto"/>
          </w:tcPr>
          <w:p w14:paraId="6E756810" w14:textId="77777777" w:rsidR="003F5739" w:rsidRPr="003F5739" w:rsidRDefault="003F5739" w:rsidP="003F5739">
            <w:pPr>
              <w:rPr>
                <w:rFonts w:asciiTheme="minorBidi" w:eastAsiaTheme="minorHAnsi" w:hAnsiTheme="minorBidi"/>
                <w:color w:val="1F4E79" w:themeColor="accent5" w:themeShade="80"/>
              </w:rPr>
            </w:pPr>
          </w:p>
        </w:tc>
      </w:tr>
      <w:tr w:rsidR="003F5739" w:rsidRPr="003F5739" w14:paraId="73EAC3C9" w14:textId="77777777" w:rsidTr="003D36E0">
        <w:tc>
          <w:tcPr>
            <w:tcW w:w="6379" w:type="dxa"/>
          </w:tcPr>
          <w:p w14:paraId="34C68EFB" w14:textId="77777777" w:rsidR="003F5739" w:rsidRPr="003F5739" w:rsidRDefault="003F5739" w:rsidP="003F5739">
            <w:pPr>
              <w:rPr>
                <w:rFonts w:asciiTheme="minorBidi" w:eastAsiaTheme="minorHAnsi" w:hAnsiTheme="minorBidi"/>
                <w:color w:val="1F4E79" w:themeColor="accent5" w:themeShade="80"/>
              </w:rPr>
            </w:pPr>
            <w:r w:rsidRPr="003F5739">
              <w:rPr>
                <w:rFonts w:asciiTheme="minorBidi" w:eastAsiaTheme="minorHAnsi" w:hAnsiTheme="minorBidi"/>
                <w:noProof/>
                <w:color w:val="1F4E79" w:themeColor="accent5" w:themeShade="80"/>
              </w:rPr>
              <w:drawing>
                <wp:inline distT="0" distB="0" distL="0" distR="0" wp14:anchorId="0071AF88" wp14:editId="2467A2CA">
                  <wp:extent cx="3657600" cy="2281238"/>
                  <wp:effectExtent l="0" t="0" r="0" b="5080"/>
                  <wp:docPr id="49" name="Chart 49">
                    <a:extLst xmlns:a="http://schemas.openxmlformats.org/drawingml/2006/main">
                      <a:ext uri="{FF2B5EF4-FFF2-40B4-BE49-F238E27FC236}">
                        <a16:creationId xmlns:a16="http://schemas.microsoft.com/office/drawing/2014/main" id="{77711AA3-6892-465C-A97B-02E470CD88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c>
          <w:tcPr>
            <w:tcW w:w="4111" w:type="dxa"/>
            <w:vMerge/>
            <w:shd w:val="clear" w:color="auto" w:fill="auto"/>
          </w:tcPr>
          <w:p w14:paraId="40681497" w14:textId="77777777" w:rsidR="003F5739" w:rsidRPr="003F5739" w:rsidRDefault="003F5739" w:rsidP="003F5739">
            <w:pPr>
              <w:rPr>
                <w:rFonts w:asciiTheme="minorBidi" w:eastAsiaTheme="minorHAnsi" w:hAnsiTheme="minorBidi"/>
                <w:color w:val="1F4E79" w:themeColor="accent5" w:themeShade="80"/>
              </w:rPr>
            </w:pPr>
          </w:p>
        </w:tc>
      </w:tr>
    </w:tbl>
    <w:p w14:paraId="1065FB8C" w14:textId="77777777" w:rsidR="003F5739" w:rsidRPr="003F5739" w:rsidRDefault="003F5739" w:rsidP="003F5739">
      <w:pPr>
        <w:spacing w:before="0" w:after="0"/>
        <w:rPr>
          <w:rFonts w:asciiTheme="minorBidi" w:eastAsiaTheme="minorHAnsi" w:hAnsiTheme="minorBidi" w:cstheme="minorBidi"/>
          <w:color w:val="1F4E79" w:themeColor="accent5" w:themeShade="80"/>
          <w:szCs w:val="24"/>
          <w:lang w:eastAsia="en-US"/>
        </w:rPr>
      </w:pPr>
      <w:r w:rsidRPr="003F5739">
        <w:rPr>
          <w:rFonts w:asciiTheme="minorBidi" w:eastAsiaTheme="minorHAnsi" w:hAnsiTheme="minorBidi" w:cstheme="minorBidi"/>
          <w:color w:val="1F4E79" w:themeColor="accent5" w:themeShade="80"/>
          <w:szCs w:val="24"/>
          <w:lang w:eastAsia="en-US"/>
        </w:rPr>
        <w:br w:type="page"/>
      </w:r>
    </w:p>
    <w:p w14:paraId="336FD159" w14:textId="77777777" w:rsidR="003F5739" w:rsidRPr="003F5739" w:rsidRDefault="003F5739" w:rsidP="003F5739">
      <w:pPr>
        <w:rPr>
          <w:rFonts w:ascii="Arial" w:eastAsiaTheme="minorHAnsi" w:hAnsi="Arial" w:cs="Arial"/>
          <w:color w:val="1F4E79" w:themeColor="accent5" w:themeShade="80"/>
          <w:sz w:val="56"/>
          <w:szCs w:val="56"/>
          <w:lang w:eastAsia="en-US"/>
        </w:rPr>
      </w:pPr>
      <w:r w:rsidRPr="003F5739">
        <w:rPr>
          <w:rFonts w:ascii="Arial" w:eastAsiaTheme="minorHAnsi" w:hAnsi="Arial" w:cs="Arial"/>
          <w:color w:val="1F4E79" w:themeColor="accent5" w:themeShade="80"/>
          <w:sz w:val="56"/>
          <w:szCs w:val="56"/>
          <w:lang w:eastAsia="en-US"/>
        </w:rPr>
        <w:lastRenderedPageBreak/>
        <w:t>Responsiveness</w:t>
      </w:r>
    </w:p>
    <w:tbl>
      <w:tblPr>
        <w:tblStyle w:val="TableGrid2"/>
        <w:tblW w:w="10490" w:type="dxa"/>
        <w:tblInd w:w="-5" w:type="dxa"/>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Look w:val="04A0" w:firstRow="1" w:lastRow="0" w:firstColumn="1" w:lastColumn="0" w:noHBand="0" w:noVBand="1"/>
      </w:tblPr>
      <w:tblGrid>
        <w:gridCol w:w="6379"/>
        <w:gridCol w:w="4111"/>
      </w:tblGrid>
      <w:tr w:rsidR="003F5739" w:rsidRPr="003F5739" w14:paraId="22779DD7" w14:textId="77777777" w:rsidTr="003D36E0">
        <w:tc>
          <w:tcPr>
            <w:tcW w:w="6379" w:type="dxa"/>
            <w:shd w:val="clear" w:color="auto" w:fill="1F4E79" w:themeFill="accent5" w:themeFillShade="80"/>
            <w:vAlign w:val="center"/>
          </w:tcPr>
          <w:p w14:paraId="63BF129B" w14:textId="77777777" w:rsidR="003F5739" w:rsidRPr="003F5739" w:rsidRDefault="003F5739" w:rsidP="003F5739">
            <w:pPr>
              <w:jc w:val="center"/>
              <w:rPr>
                <w:rFonts w:ascii="Arial" w:eastAsiaTheme="minorHAnsi" w:hAnsi="Arial" w:cs="Arial"/>
                <w:b/>
                <w:bCs/>
                <w:color w:val="FFFFFF" w:themeColor="background1"/>
              </w:rPr>
            </w:pPr>
            <w:r w:rsidRPr="003F5739">
              <w:rPr>
                <w:rFonts w:ascii="Arial" w:eastAsiaTheme="minorHAnsi" w:hAnsi="Arial" w:cs="Arial"/>
                <w:b/>
                <w:bCs/>
                <w:color w:val="FFFFFF" w:themeColor="background1"/>
              </w:rPr>
              <w:t>Performance</w:t>
            </w:r>
          </w:p>
        </w:tc>
        <w:tc>
          <w:tcPr>
            <w:tcW w:w="4111" w:type="dxa"/>
            <w:shd w:val="clear" w:color="auto" w:fill="1F4E79" w:themeFill="accent5" w:themeFillShade="80"/>
            <w:vAlign w:val="center"/>
          </w:tcPr>
          <w:p w14:paraId="3439A4E4" w14:textId="77777777" w:rsidR="003F5739" w:rsidRPr="003F5739" w:rsidRDefault="003F5739" w:rsidP="003F5739">
            <w:pPr>
              <w:jc w:val="center"/>
              <w:rPr>
                <w:rFonts w:ascii="Arial" w:eastAsiaTheme="minorHAnsi" w:hAnsi="Arial" w:cs="Arial"/>
                <w:b/>
                <w:bCs/>
                <w:color w:val="FFFFFF" w:themeColor="background1"/>
              </w:rPr>
            </w:pPr>
            <w:r w:rsidRPr="003F5739">
              <w:rPr>
                <w:rFonts w:ascii="Arial" w:eastAsiaTheme="minorHAnsi" w:hAnsi="Arial" w:cs="Arial"/>
                <w:b/>
                <w:bCs/>
                <w:color w:val="FFFFFF" w:themeColor="background1"/>
              </w:rPr>
              <w:t>Progress</w:t>
            </w:r>
          </w:p>
        </w:tc>
      </w:tr>
      <w:tr w:rsidR="003F5739" w:rsidRPr="003F5739" w14:paraId="76FAAB99" w14:textId="77777777" w:rsidTr="003D36E0">
        <w:tc>
          <w:tcPr>
            <w:tcW w:w="6379" w:type="dxa"/>
            <w:shd w:val="clear" w:color="auto" w:fill="auto"/>
          </w:tcPr>
          <w:p w14:paraId="61EF00DE" w14:textId="77777777" w:rsidR="003F5739" w:rsidRPr="003F5739" w:rsidRDefault="003F5739" w:rsidP="003F5739">
            <w:pPr>
              <w:rPr>
                <w:rFonts w:asciiTheme="minorBidi" w:eastAsiaTheme="minorHAnsi" w:hAnsiTheme="minorBidi"/>
                <w:color w:val="1F4E79" w:themeColor="accent5" w:themeShade="80"/>
              </w:rPr>
            </w:pPr>
            <w:r w:rsidRPr="003F5739">
              <w:rPr>
                <w:rFonts w:asciiTheme="minorBidi" w:eastAsiaTheme="minorHAnsi" w:hAnsiTheme="minorBidi"/>
                <w:noProof/>
                <w:color w:val="1F4E79" w:themeColor="accent5" w:themeShade="80"/>
              </w:rPr>
              <w:drawing>
                <wp:inline distT="0" distB="0" distL="0" distR="0" wp14:anchorId="36DCE392" wp14:editId="53132241">
                  <wp:extent cx="3662363" cy="2271713"/>
                  <wp:effectExtent l="0" t="0" r="14605" b="14605"/>
                  <wp:docPr id="50" name="Chart 50">
                    <a:extLst xmlns:a="http://schemas.openxmlformats.org/drawingml/2006/main">
                      <a:ext uri="{FF2B5EF4-FFF2-40B4-BE49-F238E27FC236}">
                        <a16:creationId xmlns:a16="http://schemas.microsoft.com/office/drawing/2014/main" id="{C8A7CC4E-91C1-42C0-9280-A4E21F825D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c>
          <w:tcPr>
            <w:tcW w:w="4111" w:type="dxa"/>
            <w:vMerge w:val="restart"/>
            <w:shd w:val="clear" w:color="auto" w:fill="auto"/>
          </w:tcPr>
          <w:p w14:paraId="29013498" w14:textId="77777777" w:rsidR="003F5739" w:rsidRPr="003F5739" w:rsidRDefault="003F5739" w:rsidP="003F5739">
            <w:pPr>
              <w:rPr>
                <w:rFonts w:ascii="Arial" w:eastAsiaTheme="minorHAnsi" w:hAnsi="Arial" w:cs="Arial"/>
                <w:color w:val="1F4E79" w:themeColor="accent5" w:themeShade="80"/>
                <w:sz w:val="21"/>
                <w:szCs w:val="21"/>
              </w:rPr>
            </w:pPr>
            <w:r w:rsidRPr="003F5739">
              <w:rPr>
                <w:rFonts w:ascii="Arial" w:eastAsiaTheme="minorHAnsi" w:hAnsi="Arial" w:cs="Arial"/>
                <w:color w:val="1F4E79" w:themeColor="accent5" w:themeShade="80"/>
                <w:sz w:val="21"/>
                <w:szCs w:val="21"/>
              </w:rPr>
              <w:t xml:space="preserve">A total of 26,899 road defects were identified in 2018/19. This is a slight increase on the 24,734 defects identified in 2017/18.  Of the defects identified in 2018/19, 551 related to category A defects and 26,348 related to category B.  </w:t>
            </w:r>
          </w:p>
          <w:p w14:paraId="2E4B6CEF" w14:textId="77777777" w:rsidR="003F5739" w:rsidRPr="003F5739" w:rsidRDefault="003F5739" w:rsidP="003F5739">
            <w:pPr>
              <w:rPr>
                <w:rFonts w:ascii="Arial" w:eastAsiaTheme="minorHAnsi" w:hAnsi="Arial" w:cs="Arial"/>
                <w:color w:val="1F4E79" w:themeColor="accent5" w:themeShade="80"/>
                <w:sz w:val="21"/>
                <w:szCs w:val="21"/>
              </w:rPr>
            </w:pPr>
            <w:r w:rsidRPr="003F5739">
              <w:rPr>
                <w:rFonts w:ascii="Arial" w:eastAsiaTheme="minorHAnsi" w:hAnsi="Arial" w:cs="Arial"/>
                <w:color w:val="1F4E79" w:themeColor="accent5" w:themeShade="80"/>
                <w:sz w:val="21"/>
                <w:szCs w:val="21"/>
              </w:rPr>
              <w:t xml:space="preserve">The repair targets relate to the relevant time to repair the identified defect. All defects were still repaired even although outside the set targets. The performance fell in 2018/19 mainly due to the remaining impact of the ‘Beast from the East’ weather event. There was a significant backlog of already out of date repairs at the beginning of the financial year that took some months to regularise. </w:t>
            </w:r>
          </w:p>
          <w:p w14:paraId="1E9ECBC4" w14:textId="77777777" w:rsidR="003F5739" w:rsidRPr="003F5739" w:rsidRDefault="003F5739" w:rsidP="003F5739">
            <w:pPr>
              <w:rPr>
                <w:rFonts w:ascii="Arial" w:eastAsiaTheme="minorHAnsi" w:hAnsi="Arial" w:cs="Arial"/>
                <w:color w:val="1F4E79" w:themeColor="accent5" w:themeShade="80"/>
                <w:sz w:val="21"/>
                <w:szCs w:val="21"/>
              </w:rPr>
            </w:pPr>
            <w:r w:rsidRPr="003F5739">
              <w:rPr>
                <w:rFonts w:ascii="Arial" w:eastAsiaTheme="minorHAnsi" w:hAnsi="Arial" w:cs="Arial"/>
                <w:color w:val="1F4E79" w:themeColor="accent5" w:themeShade="80"/>
                <w:sz w:val="21"/>
                <w:szCs w:val="21"/>
              </w:rPr>
              <w:t>Further as budgets and resources have reduced there is now less flexibility and as such, large peaks in demand cannot be accommodated within the challenging targets. This is being reviewed as part of the new Risk Based policy approach.</w:t>
            </w:r>
          </w:p>
          <w:p w14:paraId="4CFBE7DB" w14:textId="77777777" w:rsidR="003F5739" w:rsidRPr="003F5739" w:rsidRDefault="003F5739" w:rsidP="003F5739">
            <w:pPr>
              <w:rPr>
                <w:rFonts w:ascii="Arial" w:eastAsiaTheme="minorHAnsi" w:hAnsi="Arial" w:cs="Arial"/>
                <w:color w:val="1F4E79" w:themeColor="accent5" w:themeShade="80"/>
                <w:sz w:val="21"/>
                <w:szCs w:val="21"/>
              </w:rPr>
            </w:pPr>
          </w:p>
        </w:tc>
      </w:tr>
      <w:tr w:rsidR="003F5739" w:rsidRPr="003F5739" w14:paraId="520364D8" w14:textId="77777777" w:rsidTr="003D36E0">
        <w:tc>
          <w:tcPr>
            <w:tcW w:w="6379" w:type="dxa"/>
            <w:shd w:val="clear" w:color="auto" w:fill="auto"/>
          </w:tcPr>
          <w:p w14:paraId="09961422" w14:textId="77777777" w:rsidR="003F5739" w:rsidRPr="003F5739" w:rsidRDefault="003F5739" w:rsidP="003F5739">
            <w:pPr>
              <w:rPr>
                <w:rFonts w:asciiTheme="minorBidi" w:eastAsiaTheme="minorHAnsi" w:hAnsiTheme="minorBidi"/>
                <w:color w:val="1F4E79" w:themeColor="accent5" w:themeShade="80"/>
              </w:rPr>
            </w:pPr>
            <w:r w:rsidRPr="003F5739">
              <w:rPr>
                <w:rFonts w:asciiTheme="minorBidi" w:eastAsiaTheme="minorHAnsi" w:hAnsiTheme="minorBidi"/>
                <w:noProof/>
                <w:color w:val="1F4E79" w:themeColor="accent5" w:themeShade="80"/>
              </w:rPr>
              <w:drawing>
                <wp:inline distT="0" distB="0" distL="0" distR="0" wp14:anchorId="2016016A" wp14:editId="07410545">
                  <wp:extent cx="3652838" cy="2271713"/>
                  <wp:effectExtent l="0" t="0" r="5080" b="14605"/>
                  <wp:docPr id="51" name="Chart 51">
                    <a:extLst xmlns:a="http://schemas.openxmlformats.org/drawingml/2006/main">
                      <a:ext uri="{FF2B5EF4-FFF2-40B4-BE49-F238E27FC236}">
                        <a16:creationId xmlns:a16="http://schemas.microsoft.com/office/drawing/2014/main" id="{1AC2ADE6-B0B6-437B-BFBF-F7804E8CFB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c>
          <w:tcPr>
            <w:tcW w:w="4111" w:type="dxa"/>
            <w:vMerge/>
            <w:shd w:val="clear" w:color="auto" w:fill="auto"/>
          </w:tcPr>
          <w:p w14:paraId="5D8F0017" w14:textId="77777777" w:rsidR="003F5739" w:rsidRPr="003F5739" w:rsidRDefault="003F5739" w:rsidP="003F5739">
            <w:pPr>
              <w:rPr>
                <w:rFonts w:ascii="Arial" w:eastAsiaTheme="minorHAnsi" w:hAnsi="Arial" w:cs="Arial"/>
                <w:color w:val="1F4E79" w:themeColor="accent5" w:themeShade="80"/>
                <w:sz w:val="21"/>
                <w:szCs w:val="21"/>
              </w:rPr>
            </w:pPr>
          </w:p>
        </w:tc>
      </w:tr>
      <w:tr w:rsidR="003F5739" w:rsidRPr="003F5739" w14:paraId="3DC63383" w14:textId="77777777" w:rsidTr="003D36E0">
        <w:tc>
          <w:tcPr>
            <w:tcW w:w="6379" w:type="dxa"/>
          </w:tcPr>
          <w:p w14:paraId="6740A149" w14:textId="77777777" w:rsidR="003F5739" w:rsidRPr="003F5739" w:rsidRDefault="003F5739" w:rsidP="003F5739">
            <w:pPr>
              <w:rPr>
                <w:rFonts w:asciiTheme="minorBidi" w:eastAsiaTheme="minorHAnsi" w:hAnsiTheme="minorBidi"/>
                <w:color w:val="1F4E79" w:themeColor="accent5" w:themeShade="80"/>
              </w:rPr>
            </w:pPr>
            <w:r w:rsidRPr="003F5739">
              <w:rPr>
                <w:rFonts w:asciiTheme="minorBidi" w:eastAsiaTheme="minorHAnsi" w:hAnsiTheme="minorBidi"/>
                <w:noProof/>
                <w:color w:val="1F4E79" w:themeColor="accent5" w:themeShade="80"/>
              </w:rPr>
              <w:drawing>
                <wp:inline distT="0" distB="0" distL="0" distR="0" wp14:anchorId="6473DFA9" wp14:editId="4C584E0E">
                  <wp:extent cx="3690938" cy="2281238"/>
                  <wp:effectExtent l="0" t="0" r="5080" b="5080"/>
                  <wp:docPr id="19" name="Chart 19">
                    <a:extLst xmlns:a="http://schemas.openxmlformats.org/drawingml/2006/main">
                      <a:ext uri="{FF2B5EF4-FFF2-40B4-BE49-F238E27FC236}">
                        <a16:creationId xmlns:a16="http://schemas.microsoft.com/office/drawing/2014/main" id="{16E8F2C1-F03D-4F70-A74D-2838F32861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c>
        <w:tc>
          <w:tcPr>
            <w:tcW w:w="4111" w:type="dxa"/>
            <w:shd w:val="clear" w:color="auto" w:fill="auto"/>
          </w:tcPr>
          <w:p w14:paraId="35786029" w14:textId="77777777" w:rsidR="003F5739" w:rsidRPr="003F5739" w:rsidRDefault="003F5739" w:rsidP="00E37DE4">
            <w:pPr>
              <w:rPr>
                <w:rFonts w:ascii="Arial" w:eastAsiaTheme="minorHAnsi" w:hAnsi="Arial" w:cs="Arial"/>
                <w:color w:val="1F4E79" w:themeColor="accent5" w:themeShade="80"/>
                <w:sz w:val="21"/>
                <w:szCs w:val="21"/>
              </w:rPr>
            </w:pPr>
            <w:r w:rsidRPr="003F5739">
              <w:rPr>
                <w:rFonts w:ascii="Arial" w:eastAsiaTheme="minorHAnsi" w:hAnsi="Arial" w:cs="Arial"/>
                <w:color w:val="1F4E79" w:themeColor="accent5" w:themeShade="80"/>
                <w:sz w:val="21"/>
                <w:szCs w:val="21"/>
              </w:rPr>
              <w:t>The Street Lighting Efficiency Programme replaces old lanterns with new LED apparatus.  These have a longer life and have reduced the number of faults.</w:t>
            </w:r>
          </w:p>
          <w:p w14:paraId="660DDB49" w14:textId="77777777" w:rsidR="003F5739" w:rsidRPr="003F5739" w:rsidRDefault="003F5739" w:rsidP="00E37DE4">
            <w:pPr>
              <w:rPr>
                <w:rFonts w:ascii="Arial" w:eastAsiaTheme="minorHAnsi" w:hAnsi="Arial" w:cs="Arial"/>
                <w:color w:val="1F4E79" w:themeColor="accent5" w:themeShade="80"/>
                <w:sz w:val="21"/>
                <w:szCs w:val="21"/>
              </w:rPr>
            </w:pPr>
            <w:r w:rsidRPr="003F5739">
              <w:rPr>
                <w:rFonts w:ascii="Arial" w:eastAsiaTheme="minorHAnsi" w:hAnsi="Arial" w:cs="Arial"/>
                <w:color w:val="1F4E79" w:themeColor="accent5" w:themeShade="80"/>
                <w:sz w:val="21"/>
                <w:szCs w:val="21"/>
              </w:rPr>
              <w:t xml:space="preserve">Whilst the time to repair the more common faults on the apparatus has remained constant, the volume of these has reduced, which will reduce the repair percentage against the more complex repairs.  This impacts on practicalities of doing more “one off” repairs in remote areas. </w:t>
            </w:r>
          </w:p>
          <w:p w14:paraId="3CA269EB" w14:textId="77777777" w:rsidR="003F5739" w:rsidRPr="003F5739" w:rsidRDefault="003F5739" w:rsidP="00E37DE4">
            <w:pPr>
              <w:rPr>
                <w:rFonts w:ascii="Arial" w:eastAsiaTheme="minorHAnsi" w:hAnsi="Arial" w:cs="Arial"/>
                <w:color w:val="1F4E79" w:themeColor="accent5" w:themeShade="80"/>
                <w:sz w:val="21"/>
                <w:szCs w:val="21"/>
              </w:rPr>
            </w:pPr>
            <w:r w:rsidRPr="003F5739">
              <w:rPr>
                <w:rFonts w:ascii="Arial" w:eastAsiaTheme="minorHAnsi" w:hAnsi="Arial" w:cs="Arial"/>
                <w:color w:val="1F4E79" w:themeColor="accent5" w:themeShade="80"/>
                <w:sz w:val="21"/>
                <w:szCs w:val="21"/>
              </w:rPr>
              <w:t>The impact from the “beast from the east” also extended to street lighting repair performance.</w:t>
            </w:r>
          </w:p>
        </w:tc>
      </w:tr>
    </w:tbl>
    <w:p w14:paraId="77B30BF1" w14:textId="77777777" w:rsidR="003F5739" w:rsidRPr="003F5739" w:rsidRDefault="003F5739" w:rsidP="003F5739">
      <w:pPr>
        <w:spacing w:before="0" w:after="0"/>
        <w:rPr>
          <w:rFonts w:ascii="Arial" w:eastAsiaTheme="minorHAnsi" w:hAnsi="Arial" w:cs="Arial"/>
          <w:color w:val="1F4E79" w:themeColor="accent5" w:themeShade="80"/>
          <w:szCs w:val="24"/>
          <w:lang w:eastAsia="en-US"/>
        </w:rPr>
      </w:pPr>
      <w:r w:rsidRPr="003F5739">
        <w:rPr>
          <w:rFonts w:asciiTheme="minorBidi" w:eastAsiaTheme="minorHAnsi" w:hAnsiTheme="minorBidi" w:cstheme="minorBidi"/>
          <w:color w:val="1F4E79" w:themeColor="accent5" w:themeShade="80"/>
          <w:szCs w:val="24"/>
          <w:lang w:eastAsia="en-US"/>
        </w:rPr>
        <w:br w:type="page"/>
      </w:r>
      <w:r w:rsidRPr="003F5739">
        <w:rPr>
          <w:rFonts w:ascii="Arial" w:eastAsiaTheme="minorHAnsi" w:hAnsi="Arial" w:cs="Arial"/>
          <w:color w:val="1F4E79" w:themeColor="accent5" w:themeShade="80"/>
          <w:sz w:val="56"/>
          <w:szCs w:val="56"/>
          <w:lang w:eastAsia="en-US"/>
        </w:rPr>
        <w:lastRenderedPageBreak/>
        <w:t>Responsiveness – cont.</w:t>
      </w:r>
    </w:p>
    <w:tbl>
      <w:tblPr>
        <w:tblStyle w:val="TableGrid2"/>
        <w:tblW w:w="10485" w:type="dxa"/>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Look w:val="04A0" w:firstRow="1" w:lastRow="0" w:firstColumn="1" w:lastColumn="0" w:noHBand="0" w:noVBand="1"/>
      </w:tblPr>
      <w:tblGrid>
        <w:gridCol w:w="6232"/>
        <w:gridCol w:w="4253"/>
      </w:tblGrid>
      <w:tr w:rsidR="003F5739" w:rsidRPr="003F5739" w14:paraId="521AE15F" w14:textId="77777777" w:rsidTr="003D36E0">
        <w:tc>
          <w:tcPr>
            <w:tcW w:w="6232" w:type="dxa"/>
            <w:shd w:val="clear" w:color="auto" w:fill="1F4E79" w:themeFill="accent5" w:themeFillShade="80"/>
            <w:vAlign w:val="center"/>
          </w:tcPr>
          <w:p w14:paraId="2ADE1736" w14:textId="77777777" w:rsidR="003F5739" w:rsidRPr="003F5739" w:rsidRDefault="003F5739" w:rsidP="003F5739">
            <w:pPr>
              <w:jc w:val="center"/>
              <w:rPr>
                <w:rFonts w:ascii="Arial" w:eastAsiaTheme="minorHAnsi" w:hAnsi="Arial" w:cs="Arial"/>
                <w:b/>
                <w:bCs/>
                <w:color w:val="FFFFFF" w:themeColor="background1"/>
              </w:rPr>
            </w:pPr>
            <w:r w:rsidRPr="003F5739">
              <w:rPr>
                <w:rFonts w:ascii="Arial" w:eastAsiaTheme="minorHAnsi" w:hAnsi="Arial" w:cs="Arial"/>
                <w:b/>
                <w:bCs/>
                <w:color w:val="FFFFFF" w:themeColor="background1"/>
              </w:rPr>
              <w:t>Performance</w:t>
            </w:r>
          </w:p>
        </w:tc>
        <w:tc>
          <w:tcPr>
            <w:tcW w:w="4253" w:type="dxa"/>
            <w:shd w:val="clear" w:color="auto" w:fill="1F4E79" w:themeFill="accent5" w:themeFillShade="80"/>
            <w:vAlign w:val="center"/>
          </w:tcPr>
          <w:p w14:paraId="252D336F" w14:textId="77777777" w:rsidR="003F5739" w:rsidRPr="003F5739" w:rsidRDefault="003F5739" w:rsidP="003F5739">
            <w:pPr>
              <w:jc w:val="center"/>
              <w:rPr>
                <w:rFonts w:ascii="Arial" w:eastAsiaTheme="minorHAnsi" w:hAnsi="Arial" w:cs="Arial"/>
                <w:b/>
                <w:bCs/>
                <w:color w:val="FFFFFF" w:themeColor="background1"/>
              </w:rPr>
            </w:pPr>
            <w:r w:rsidRPr="003F5739">
              <w:rPr>
                <w:rFonts w:ascii="Arial" w:eastAsiaTheme="minorHAnsi" w:hAnsi="Arial" w:cs="Arial"/>
                <w:b/>
                <w:bCs/>
                <w:color w:val="FFFFFF" w:themeColor="background1"/>
              </w:rPr>
              <w:t>Progress</w:t>
            </w:r>
          </w:p>
        </w:tc>
      </w:tr>
      <w:tr w:rsidR="003F5739" w:rsidRPr="003F5739" w14:paraId="4F59D01F" w14:textId="77777777" w:rsidTr="003D36E0">
        <w:trPr>
          <w:trHeight w:val="207"/>
        </w:trPr>
        <w:tc>
          <w:tcPr>
            <w:tcW w:w="6232" w:type="dxa"/>
          </w:tcPr>
          <w:p w14:paraId="6C44CE41" w14:textId="77777777" w:rsidR="003F5739" w:rsidRPr="003F5739" w:rsidRDefault="003F5739" w:rsidP="003F5739">
            <w:pPr>
              <w:rPr>
                <w:rFonts w:asciiTheme="minorBidi" w:eastAsiaTheme="minorHAnsi" w:hAnsiTheme="minorBidi"/>
                <w:color w:val="1F4E79" w:themeColor="accent5" w:themeShade="80"/>
              </w:rPr>
            </w:pPr>
            <w:r w:rsidRPr="003F5739">
              <w:rPr>
                <w:rFonts w:asciiTheme="minorBidi" w:eastAsiaTheme="minorHAnsi" w:hAnsiTheme="minorBidi"/>
                <w:noProof/>
                <w:color w:val="1F4E79" w:themeColor="accent5" w:themeShade="80"/>
              </w:rPr>
              <w:drawing>
                <wp:inline distT="0" distB="0" distL="0" distR="0" wp14:anchorId="72B74BFF" wp14:editId="7CEB5877">
                  <wp:extent cx="3643313" cy="2271713"/>
                  <wp:effectExtent l="0" t="0" r="14605" b="14605"/>
                  <wp:docPr id="52" name="Chart 52">
                    <a:extLst xmlns:a="http://schemas.openxmlformats.org/drawingml/2006/main">
                      <a:ext uri="{FF2B5EF4-FFF2-40B4-BE49-F238E27FC236}">
                        <a16:creationId xmlns:a16="http://schemas.microsoft.com/office/drawing/2014/main" id="{A85AF517-E1A1-478D-BFE1-740AD16ABC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tc>
        <w:tc>
          <w:tcPr>
            <w:tcW w:w="4253" w:type="dxa"/>
            <w:shd w:val="clear" w:color="auto" w:fill="auto"/>
          </w:tcPr>
          <w:p w14:paraId="26A97E2A" w14:textId="77777777" w:rsidR="003F5739" w:rsidRPr="003F5739" w:rsidRDefault="003F5739" w:rsidP="003F5739">
            <w:pPr>
              <w:rPr>
                <w:rFonts w:ascii="Arial" w:eastAsiaTheme="minorHAnsi" w:hAnsi="Arial" w:cs="Arial"/>
                <w:color w:val="1F4E79" w:themeColor="accent5" w:themeShade="80"/>
                <w:sz w:val="21"/>
                <w:szCs w:val="21"/>
              </w:rPr>
            </w:pPr>
            <w:r w:rsidRPr="003F5739">
              <w:rPr>
                <w:rFonts w:ascii="Arial" w:eastAsiaTheme="minorHAnsi" w:hAnsi="Arial" w:cs="Arial"/>
                <w:color w:val="1F4E79" w:themeColor="accent5" w:themeShade="80"/>
                <w:sz w:val="21"/>
                <w:szCs w:val="21"/>
              </w:rPr>
              <w:t>Of the 481 faults in 2018/19, 12 faults failed to hit target.  This resulted in a 2018/19 result of 97.5% which is marginally below the target of 98%.  Procurement of replacement parts were the main reason for the failures in 2018/19.  The Service conducts quarterly meetings with the maintenance contractor to discuss improving performance.  Investment in replacing older installations should also help to reduce repairs and improve performance.</w:t>
            </w:r>
          </w:p>
        </w:tc>
      </w:tr>
      <w:tr w:rsidR="003F5739" w:rsidRPr="003F5739" w14:paraId="0BC57046" w14:textId="77777777" w:rsidTr="003D36E0">
        <w:trPr>
          <w:trHeight w:val="207"/>
        </w:trPr>
        <w:tc>
          <w:tcPr>
            <w:tcW w:w="6232" w:type="dxa"/>
          </w:tcPr>
          <w:p w14:paraId="43921E50" w14:textId="77777777" w:rsidR="003F5739" w:rsidRPr="003F5739" w:rsidRDefault="003F5739" w:rsidP="003F5739">
            <w:pPr>
              <w:rPr>
                <w:rFonts w:asciiTheme="minorBidi" w:eastAsiaTheme="minorHAnsi" w:hAnsiTheme="minorBidi"/>
                <w:color w:val="1F4E79" w:themeColor="accent5" w:themeShade="80"/>
              </w:rPr>
            </w:pPr>
            <w:r w:rsidRPr="003F5739">
              <w:rPr>
                <w:rFonts w:asciiTheme="minorBidi" w:eastAsiaTheme="minorHAnsi" w:hAnsiTheme="minorBidi"/>
                <w:noProof/>
                <w:color w:val="1F4E79" w:themeColor="accent5" w:themeShade="80"/>
              </w:rPr>
              <w:drawing>
                <wp:inline distT="0" distB="0" distL="0" distR="0" wp14:anchorId="6BADBD8C" wp14:editId="034D887E">
                  <wp:extent cx="3643313" cy="2271713"/>
                  <wp:effectExtent l="0" t="0" r="14605" b="14605"/>
                  <wp:docPr id="21" name="Chart 21">
                    <a:extLst xmlns:a="http://schemas.openxmlformats.org/drawingml/2006/main">
                      <a:ext uri="{FF2B5EF4-FFF2-40B4-BE49-F238E27FC236}">
                        <a16:creationId xmlns:a16="http://schemas.microsoft.com/office/drawing/2014/main" id="{7B89591E-5195-440D-A22B-9ABB773E98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tc>
        <w:tc>
          <w:tcPr>
            <w:tcW w:w="4253" w:type="dxa"/>
            <w:shd w:val="clear" w:color="auto" w:fill="auto"/>
          </w:tcPr>
          <w:p w14:paraId="57A1AFDD" w14:textId="77777777" w:rsidR="003F5739" w:rsidRPr="003F5739" w:rsidRDefault="003F5739" w:rsidP="003F5739">
            <w:pPr>
              <w:rPr>
                <w:rFonts w:ascii="Arial" w:eastAsiaTheme="minorHAnsi" w:hAnsi="Arial" w:cs="Arial"/>
                <w:color w:val="1F4E79" w:themeColor="accent5" w:themeShade="80"/>
                <w:sz w:val="21"/>
                <w:szCs w:val="21"/>
              </w:rPr>
            </w:pPr>
            <w:r w:rsidRPr="003F5739">
              <w:rPr>
                <w:rFonts w:ascii="Arial" w:eastAsiaTheme="minorHAnsi" w:hAnsi="Arial" w:cs="Arial"/>
                <w:color w:val="1F4E79" w:themeColor="accent5" w:themeShade="80"/>
                <w:sz w:val="21"/>
                <w:szCs w:val="21"/>
              </w:rPr>
              <w:t>Fife wide, 20 from 23 qualifying Traffic Regulation Orders (TRO) met target, equating to 87%.  Six from seven met the target in North Fife and 14 from 16 met the target in South Fife.</w:t>
            </w:r>
          </w:p>
          <w:p w14:paraId="70E49217" w14:textId="77777777" w:rsidR="003F5739" w:rsidRPr="003F5739" w:rsidRDefault="003F5739" w:rsidP="003F5739">
            <w:pPr>
              <w:rPr>
                <w:rFonts w:ascii="Arial" w:eastAsiaTheme="minorHAnsi" w:hAnsi="Arial" w:cs="Arial"/>
                <w:color w:val="1F4E79" w:themeColor="accent5" w:themeShade="80"/>
                <w:sz w:val="21"/>
                <w:szCs w:val="21"/>
              </w:rPr>
            </w:pPr>
          </w:p>
        </w:tc>
      </w:tr>
      <w:tr w:rsidR="003F5739" w:rsidRPr="003F5739" w14:paraId="67FC23F9" w14:textId="77777777" w:rsidTr="003D36E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232" w:type="dxa"/>
            <w:shd w:val="clear" w:color="auto" w:fill="auto"/>
          </w:tcPr>
          <w:p w14:paraId="3070E0E8" w14:textId="77777777" w:rsidR="003F5739" w:rsidRPr="003F5739" w:rsidRDefault="003F5739" w:rsidP="003F5739">
            <w:pPr>
              <w:rPr>
                <w:rFonts w:asciiTheme="minorBidi" w:eastAsiaTheme="minorHAnsi" w:hAnsiTheme="minorBidi"/>
                <w:color w:val="1F4E79" w:themeColor="accent5" w:themeShade="80"/>
              </w:rPr>
            </w:pPr>
            <w:r w:rsidRPr="003F5739">
              <w:rPr>
                <w:rFonts w:asciiTheme="minorBidi" w:eastAsiaTheme="minorHAnsi" w:hAnsiTheme="minorBidi"/>
                <w:noProof/>
                <w:color w:val="1F4E79" w:themeColor="accent5" w:themeShade="80"/>
              </w:rPr>
              <w:drawing>
                <wp:inline distT="0" distB="0" distL="0" distR="0" wp14:anchorId="5079FB27" wp14:editId="72A4D58B">
                  <wp:extent cx="3652838" cy="2295525"/>
                  <wp:effectExtent l="0" t="0" r="5080" b="9525"/>
                  <wp:docPr id="53" name="Chart 53">
                    <a:extLst xmlns:a="http://schemas.openxmlformats.org/drawingml/2006/main">
                      <a:ext uri="{FF2B5EF4-FFF2-40B4-BE49-F238E27FC236}">
                        <a16:creationId xmlns:a16="http://schemas.microsoft.com/office/drawing/2014/main" id="{4F27EA14-B0B0-46F9-88C7-ACF067B7E3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c>
        <w:tc>
          <w:tcPr>
            <w:tcW w:w="4253" w:type="dxa"/>
            <w:shd w:val="clear" w:color="auto" w:fill="auto"/>
          </w:tcPr>
          <w:p w14:paraId="7570F5F3" w14:textId="77777777" w:rsidR="003F5739" w:rsidRPr="003F5739" w:rsidRDefault="003F5739" w:rsidP="003F5739">
            <w:pPr>
              <w:rPr>
                <w:rFonts w:ascii="Arial" w:eastAsiaTheme="minorHAnsi" w:hAnsi="Arial" w:cs="Arial"/>
                <w:color w:val="1F4E79" w:themeColor="accent5" w:themeShade="80"/>
                <w:sz w:val="21"/>
                <w:szCs w:val="21"/>
              </w:rPr>
            </w:pPr>
            <w:r w:rsidRPr="003F5739">
              <w:rPr>
                <w:rFonts w:ascii="Arial" w:eastAsiaTheme="minorHAnsi" w:hAnsi="Arial" w:cs="Arial"/>
                <w:color w:val="1F4E79" w:themeColor="accent5" w:themeShade="80"/>
                <w:sz w:val="21"/>
                <w:szCs w:val="21"/>
              </w:rPr>
              <w:t>The failure rate for 2017/18 was 19% and whilst 9% is a marked improvement it is not yet within the SRWR target of 4%.</w:t>
            </w:r>
          </w:p>
          <w:p w14:paraId="09986B09" w14:textId="77777777" w:rsidR="003F5739" w:rsidRPr="003F5739" w:rsidRDefault="003F5739" w:rsidP="003F5739">
            <w:pPr>
              <w:rPr>
                <w:rFonts w:ascii="Arial" w:eastAsiaTheme="minorHAnsi" w:hAnsi="Arial" w:cs="Arial"/>
                <w:color w:val="1F4E79" w:themeColor="accent5" w:themeShade="80"/>
                <w:sz w:val="21"/>
                <w:szCs w:val="21"/>
              </w:rPr>
            </w:pPr>
          </w:p>
          <w:p w14:paraId="374EE035" w14:textId="77777777" w:rsidR="003F5739" w:rsidRPr="003F5739" w:rsidRDefault="003F5739" w:rsidP="003F5739">
            <w:pPr>
              <w:rPr>
                <w:rFonts w:ascii="Arial" w:eastAsiaTheme="minorHAnsi" w:hAnsi="Arial" w:cs="Arial"/>
                <w:color w:val="1F4E79" w:themeColor="accent5" w:themeShade="80"/>
                <w:sz w:val="21"/>
                <w:szCs w:val="21"/>
              </w:rPr>
            </w:pPr>
            <w:r w:rsidRPr="003F5739">
              <w:rPr>
                <w:rFonts w:ascii="Arial" w:eastAsiaTheme="minorHAnsi" w:hAnsi="Arial" w:cs="Arial"/>
                <w:color w:val="1F4E79" w:themeColor="accent5" w:themeShade="80"/>
                <w:sz w:val="21"/>
                <w:szCs w:val="21"/>
              </w:rPr>
              <w:t>A 2018/2020 Q1 performance of 1% is an encouraging sign that improvement the actions taken to date are likely to lead to the annual target being achieved in the current year.</w:t>
            </w:r>
          </w:p>
        </w:tc>
      </w:tr>
    </w:tbl>
    <w:p w14:paraId="4EFCF5AD" w14:textId="77777777" w:rsidR="003F5739" w:rsidRPr="003F5739" w:rsidRDefault="003F5739" w:rsidP="003F5739">
      <w:pPr>
        <w:spacing w:before="0" w:after="0"/>
        <w:rPr>
          <w:rFonts w:asciiTheme="minorBidi" w:eastAsiaTheme="minorHAnsi" w:hAnsiTheme="minorBidi" w:cstheme="minorBidi"/>
          <w:color w:val="1F4E79" w:themeColor="accent5" w:themeShade="80"/>
          <w:szCs w:val="24"/>
          <w:lang w:eastAsia="en-US"/>
        </w:rPr>
      </w:pPr>
      <w:r w:rsidRPr="003F5739">
        <w:rPr>
          <w:rFonts w:asciiTheme="minorBidi" w:eastAsiaTheme="minorHAnsi" w:hAnsiTheme="minorBidi" w:cstheme="minorBidi"/>
          <w:color w:val="1F4E79" w:themeColor="accent5" w:themeShade="80"/>
          <w:szCs w:val="24"/>
          <w:lang w:eastAsia="en-US"/>
        </w:rPr>
        <w:br w:type="page"/>
      </w:r>
    </w:p>
    <w:p w14:paraId="5969CF1A" w14:textId="77777777" w:rsidR="003F5739" w:rsidRPr="003F5739" w:rsidRDefault="003F5739" w:rsidP="003F5739">
      <w:pPr>
        <w:rPr>
          <w:rFonts w:ascii="Arial" w:eastAsiaTheme="minorHAnsi" w:hAnsi="Arial" w:cs="Arial"/>
          <w:color w:val="1F4E79" w:themeColor="accent5" w:themeShade="80"/>
          <w:szCs w:val="24"/>
          <w:lang w:eastAsia="en-US"/>
        </w:rPr>
      </w:pPr>
      <w:r w:rsidRPr="003F5739">
        <w:rPr>
          <w:rFonts w:ascii="Arial" w:eastAsiaTheme="minorHAnsi" w:hAnsi="Arial" w:cs="Arial"/>
          <w:color w:val="1F4E79" w:themeColor="accent5" w:themeShade="80"/>
          <w:sz w:val="56"/>
          <w:szCs w:val="56"/>
          <w:lang w:eastAsia="en-US"/>
        </w:rPr>
        <w:lastRenderedPageBreak/>
        <w:t>Responsiveness – cont.</w:t>
      </w:r>
    </w:p>
    <w:tbl>
      <w:tblPr>
        <w:tblStyle w:val="TableGrid2"/>
        <w:tblW w:w="10485" w:type="dxa"/>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Look w:val="04A0" w:firstRow="1" w:lastRow="0" w:firstColumn="1" w:lastColumn="0" w:noHBand="0" w:noVBand="1"/>
      </w:tblPr>
      <w:tblGrid>
        <w:gridCol w:w="6232"/>
        <w:gridCol w:w="4253"/>
      </w:tblGrid>
      <w:tr w:rsidR="003F5739" w:rsidRPr="003F5739" w14:paraId="55D2A61C" w14:textId="77777777" w:rsidTr="003D36E0">
        <w:tc>
          <w:tcPr>
            <w:tcW w:w="6232" w:type="dxa"/>
            <w:shd w:val="clear" w:color="auto" w:fill="1F4E79" w:themeFill="accent5" w:themeFillShade="80"/>
            <w:vAlign w:val="center"/>
          </w:tcPr>
          <w:p w14:paraId="4B3B0FCE" w14:textId="77777777" w:rsidR="003F5739" w:rsidRPr="003F5739" w:rsidRDefault="003F5739" w:rsidP="003F5739">
            <w:pPr>
              <w:jc w:val="center"/>
              <w:rPr>
                <w:rFonts w:ascii="Arial" w:eastAsiaTheme="minorHAnsi" w:hAnsi="Arial" w:cs="Arial"/>
                <w:b/>
                <w:bCs/>
                <w:color w:val="FFFFFF" w:themeColor="background1"/>
              </w:rPr>
            </w:pPr>
            <w:r w:rsidRPr="003F5739">
              <w:rPr>
                <w:rFonts w:ascii="Arial" w:eastAsiaTheme="minorHAnsi" w:hAnsi="Arial" w:cs="Arial"/>
                <w:b/>
                <w:bCs/>
                <w:color w:val="FFFFFF" w:themeColor="background1"/>
              </w:rPr>
              <w:t>Performance</w:t>
            </w:r>
          </w:p>
        </w:tc>
        <w:tc>
          <w:tcPr>
            <w:tcW w:w="4253" w:type="dxa"/>
            <w:shd w:val="clear" w:color="auto" w:fill="1F4E79" w:themeFill="accent5" w:themeFillShade="80"/>
            <w:vAlign w:val="center"/>
          </w:tcPr>
          <w:p w14:paraId="33DA393D" w14:textId="77777777" w:rsidR="003F5739" w:rsidRPr="003F5739" w:rsidRDefault="003F5739" w:rsidP="003F5739">
            <w:pPr>
              <w:jc w:val="center"/>
              <w:rPr>
                <w:rFonts w:ascii="Arial" w:eastAsiaTheme="minorHAnsi" w:hAnsi="Arial" w:cs="Arial"/>
                <w:b/>
                <w:bCs/>
                <w:color w:val="FFFFFF" w:themeColor="background1"/>
              </w:rPr>
            </w:pPr>
            <w:r w:rsidRPr="003F5739">
              <w:rPr>
                <w:rFonts w:ascii="Arial" w:eastAsiaTheme="minorHAnsi" w:hAnsi="Arial" w:cs="Arial"/>
                <w:b/>
                <w:bCs/>
                <w:color w:val="FFFFFF" w:themeColor="background1"/>
              </w:rPr>
              <w:t>Progress</w:t>
            </w:r>
          </w:p>
        </w:tc>
      </w:tr>
      <w:tr w:rsidR="003F5739" w:rsidRPr="003F5739" w14:paraId="122AB82D" w14:textId="77777777" w:rsidTr="003D36E0">
        <w:tc>
          <w:tcPr>
            <w:tcW w:w="6232" w:type="dxa"/>
            <w:shd w:val="clear" w:color="auto" w:fill="auto"/>
          </w:tcPr>
          <w:p w14:paraId="0D3B6EEB" w14:textId="77777777" w:rsidR="003F5739" w:rsidRPr="003F5739" w:rsidRDefault="003F5739" w:rsidP="003F5739">
            <w:pPr>
              <w:rPr>
                <w:rFonts w:asciiTheme="minorBidi" w:eastAsiaTheme="minorHAnsi" w:hAnsiTheme="minorBidi"/>
                <w:color w:val="1F4E79" w:themeColor="accent5" w:themeShade="80"/>
              </w:rPr>
            </w:pPr>
            <w:r w:rsidRPr="003F5739">
              <w:rPr>
                <w:rFonts w:asciiTheme="minorBidi" w:eastAsiaTheme="minorHAnsi" w:hAnsiTheme="minorBidi"/>
                <w:noProof/>
                <w:color w:val="1F4E79" w:themeColor="accent5" w:themeShade="80"/>
              </w:rPr>
              <w:drawing>
                <wp:inline distT="0" distB="0" distL="0" distR="0" wp14:anchorId="38A12630" wp14:editId="1942E079">
                  <wp:extent cx="3652838" cy="2281238"/>
                  <wp:effectExtent l="0" t="0" r="5080" b="5080"/>
                  <wp:docPr id="39" name="Chart 39">
                    <a:extLst xmlns:a="http://schemas.openxmlformats.org/drawingml/2006/main">
                      <a:ext uri="{FF2B5EF4-FFF2-40B4-BE49-F238E27FC236}">
                        <a16:creationId xmlns:a16="http://schemas.microsoft.com/office/drawing/2014/main" id="{8DA626C3-9CB1-408C-807F-772302DE40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c>
        <w:tc>
          <w:tcPr>
            <w:tcW w:w="4253" w:type="dxa"/>
            <w:shd w:val="clear" w:color="auto" w:fill="auto"/>
          </w:tcPr>
          <w:p w14:paraId="3C1AF2AE" w14:textId="77777777" w:rsidR="003F5739" w:rsidRPr="003F5739" w:rsidRDefault="003F5739" w:rsidP="003F5739">
            <w:pPr>
              <w:rPr>
                <w:rFonts w:ascii="Arial" w:eastAsiaTheme="minorHAnsi" w:hAnsi="Arial" w:cs="Arial"/>
                <w:color w:val="1F4E79" w:themeColor="accent5" w:themeShade="80"/>
                <w:sz w:val="21"/>
                <w:szCs w:val="21"/>
              </w:rPr>
            </w:pPr>
            <w:r w:rsidRPr="003F5739">
              <w:rPr>
                <w:rFonts w:ascii="Arial" w:eastAsiaTheme="minorHAnsi" w:hAnsi="Arial" w:cs="Arial"/>
                <w:color w:val="1F4E79" w:themeColor="accent5" w:themeShade="80"/>
                <w:sz w:val="21"/>
                <w:szCs w:val="21"/>
              </w:rPr>
              <w:t>Performance for 2018/19 has improved by 3.24% compared to 2017/18 and has exceeded the 85% target.</w:t>
            </w:r>
          </w:p>
          <w:p w14:paraId="70DCD7B9" w14:textId="77777777" w:rsidR="003F5739" w:rsidRPr="003F5739" w:rsidRDefault="003F5739" w:rsidP="003F5739">
            <w:pPr>
              <w:rPr>
                <w:rFonts w:ascii="Arial" w:eastAsiaTheme="minorHAnsi" w:hAnsi="Arial" w:cs="Arial"/>
                <w:color w:val="1F4E79" w:themeColor="accent5" w:themeShade="80"/>
                <w:sz w:val="21"/>
                <w:szCs w:val="21"/>
              </w:rPr>
            </w:pPr>
            <w:r w:rsidRPr="003F5739">
              <w:rPr>
                <w:rFonts w:ascii="Arial" w:eastAsiaTheme="minorHAnsi" w:hAnsi="Arial" w:cs="Arial"/>
                <w:color w:val="1F4E79" w:themeColor="accent5" w:themeShade="80"/>
                <w:sz w:val="21"/>
                <w:szCs w:val="21"/>
              </w:rPr>
              <w:t>This is based on 71 full actions which equates to 1,704 gritting routes.</w:t>
            </w:r>
          </w:p>
          <w:p w14:paraId="634CBE3B" w14:textId="77777777" w:rsidR="003F5739" w:rsidRPr="003F5739" w:rsidRDefault="003F5739" w:rsidP="003F5739">
            <w:pPr>
              <w:rPr>
                <w:rFonts w:asciiTheme="minorBidi" w:eastAsiaTheme="minorHAnsi" w:hAnsiTheme="minorBidi"/>
                <w:color w:val="1F4E79"/>
              </w:rPr>
            </w:pPr>
            <w:r w:rsidRPr="003F5739">
              <w:rPr>
                <w:rFonts w:ascii="Arial" w:eastAsiaTheme="minorHAnsi" w:hAnsi="Arial" w:cs="Arial"/>
                <w:color w:val="1F4E79" w:themeColor="accent5" w:themeShade="80"/>
                <w:sz w:val="21"/>
                <w:szCs w:val="21"/>
              </w:rPr>
              <w:t>Given this period covered the ‘Beast from the East’ weather event this was a particularly strong performance during exceptionally poor conditions.</w:t>
            </w:r>
          </w:p>
        </w:tc>
      </w:tr>
    </w:tbl>
    <w:p w14:paraId="0BE8488E" w14:textId="77777777" w:rsidR="003F5739" w:rsidRPr="003F5739" w:rsidRDefault="003F5739" w:rsidP="003F5739">
      <w:pPr>
        <w:rPr>
          <w:rFonts w:asciiTheme="minorBidi" w:eastAsiaTheme="minorHAnsi" w:hAnsiTheme="minorBidi" w:cstheme="minorBidi"/>
          <w:color w:val="FF0000"/>
          <w:szCs w:val="24"/>
          <w:lang w:eastAsia="en-US"/>
        </w:rPr>
      </w:pPr>
      <w:r w:rsidRPr="003F5739">
        <w:rPr>
          <w:rFonts w:asciiTheme="minorBidi" w:eastAsiaTheme="minorHAnsi" w:hAnsiTheme="minorBidi" w:cstheme="minorBidi"/>
          <w:color w:val="1F4E79" w:themeColor="accent5" w:themeShade="80"/>
          <w:szCs w:val="24"/>
          <w:lang w:eastAsia="en-US"/>
        </w:rPr>
        <w:br w:type="page"/>
      </w:r>
    </w:p>
    <w:p w14:paraId="69341785" w14:textId="77777777" w:rsidR="003F5739" w:rsidRPr="003F5739" w:rsidRDefault="003F5739" w:rsidP="003F5739">
      <w:pPr>
        <w:rPr>
          <w:rFonts w:ascii="Arial" w:eastAsiaTheme="minorHAnsi" w:hAnsi="Arial" w:cs="Arial"/>
          <w:color w:val="1F4E79" w:themeColor="accent5" w:themeShade="80"/>
          <w:sz w:val="56"/>
          <w:szCs w:val="56"/>
          <w:lang w:eastAsia="en-US"/>
        </w:rPr>
      </w:pPr>
      <w:bookmarkStart w:id="22" w:name="_Hlk20296636"/>
      <w:r w:rsidRPr="003F5739">
        <w:rPr>
          <w:rFonts w:ascii="Arial" w:eastAsiaTheme="minorHAnsi" w:hAnsi="Arial" w:cs="Arial"/>
          <w:color w:val="1F4E79" w:themeColor="accent5" w:themeShade="80"/>
          <w:sz w:val="56"/>
          <w:szCs w:val="56"/>
          <w:lang w:eastAsia="en-US"/>
        </w:rPr>
        <w:lastRenderedPageBreak/>
        <w:t xml:space="preserve">Cost </w:t>
      </w:r>
    </w:p>
    <w:tbl>
      <w:tblPr>
        <w:tblStyle w:val="TableGrid2"/>
        <w:tblW w:w="10490" w:type="dxa"/>
        <w:tblInd w:w="-5" w:type="dxa"/>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Look w:val="04A0" w:firstRow="1" w:lastRow="0" w:firstColumn="1" w:lastColumn="0" w:noHBand="0" w:noVBand="1"/>
      </w:tblPr>
      <w:tblGrid>
        <w:gridCol w:w="6237"/>
        <w:gridCol w:w="4253"/>
      </w:tblGrid>
      <w:tr w:rsidR="003F5739" w:rsidRPr="003F5739" w14:paraId="49DE2BB0" w14:textId="77777777" w:rsidTr="003D36E0">
        <w:tc>
          <w:tcPr>
            <w:tcW w:w="6237" w:type="dxa"/>
            <w:shd w:val="clear" w:color="auto" w:fill="1F4E79" w:themeFill="accent5" w:themeFillShade="80"/>
            <w:vAlign w:val="center"/>
          </w:tcPr>
          <w:p w14:paraId="0E774267" w14:textId="77777777" w:rsidR="003F5739" w:rsidRPr="003F5739" w:rsidRDefault="003F5739" w:rsidP="003F5739">
            <w:pPr>
              <w:jc w:val="center"/>
              <w:rPr>
                <w:rFonts w:ascii="Arial" w:eastAsiaTheme="minorHAnsi" w:hAnsi="Arial" w:cs="Arial"/>
                <w:b/>
                <w:bCs/>
                <w:color w:val="FFFFFF" w:themeColor="background1"/>
              </w:rPr>
            </w:pPr>
            <w:r w:rsidRPr="003F5739">
              <w:rPr>
                <w:rFonts w:ascii="Arial" w:eastAsiaTheme="minorHAnsi" w:hAnsi="Arial" w:cs="Arial"/>
                <w:b/>
                <w:bCs/>
                <w:color w:val="FFFFFF" w:themeColor="background1"/>
              </w:rPr>
              <w:t>Performance</w:t>
            </w:r>
          </w:p>
        </w:tc>
        <w:tc>
          <w:tcPr>
            <w:tcW w:w="4253" w:type="dxa"/>
            <w:shd w:val="clear" w:color="auto" w:fill="1F4E79" w:themeFill="accent5" w:themeFillShade="80"/>
            <w:vAlign w:val="center"/>
          </w:tcPr>
          <w:p w14:paraId="103B3147" w14:textId="77777777" w:rsidR="003F5739" w:rsidRPr="003F5739" w:rsidRDefault="003F5739" w:rsidP="003F5739">
            <w:pPr>
              <w:jc w:val="center"/>
              <w:rPr>
                <w:rFonts w:ascii="Arial" w:eastAsiaTheme="minorHAnsi" w:hAnsi="Arial" w:cs="Arial"/>
                <w:b/>
                <w:bCs/>
                <w:color w:val="FFFFFF" w:themeColor="background1"/>
              </w:rPr>
            </w:pPr>
            <w:r w:rsidRPr="003F5739">
              <w:rPr>
                <w:rFonts w:ascii="Arial" w:eastAsiaTheme="minorHAnsi" w:hAnsi="Arial" w:cs="Arial"/>
                <w:b/>
                <w:bCs/>
                <w:color w:val="FFFFFF" w:themeColor="background1"/>
              </w:rPr>
              <w:t>Progress</w:t>
            </w:r>
          </w:p>
        </w:tc>
      </w:tr>
      <w:bookmarkEnd w:id="22"/>
      <w:tr w:rsidR="003F5739" w:rsidRPr="003F5739" w14:paraId="3B3BDD06" w14:textId="77777777" w:rsidTr="003D36E0">
        <w:tc>
          <w:tcPr>
            <w:tcW w:w="6237" w:type="dxa"/>
          </w:tcPr>
          <w:p w14:paraId="6B3ECFEF" w14:textId="77777777" w:rsidR="003F5739" w:rsidRPr="003F5739" w:rsidRDefault="003F5739" w:rsidP="003F5739">
            <w:pPr>
              <w:rPr>
                <w:rFonts w:asciiTheme="minorBidi" w:eastAsiaTheme="minorHAnsi" w:hAnsiTheme="minorBidi"/>
                <w:color w:val="1F4E79" w:themeColor="accent5" w:themeShade="80"/>
              </w:rPr>
            </w:pPr>
            <w:r w:rsidRPr="003F5739">
              <w:rPr>
                <w:rFonts w:asciiTheme="minorBidi" w:eastAsiaTheme="minorHAnsi" w:hAnsiTheme="minorBidi"/>
                <w:noProof/>
                <w:color w:val="1F4E79" w:themeColor="accent5" w:themeShade="80"/>
              </w:rPr>
              <w:drawing>
                <wp:inline distT="0" distB="0" distL="0" distR="0" wp14:anchorId="35AA3E0D" wp14:editId="5F1B461F">
                  <wp:extent cx="3657600" cy="2281238"/>
                  <wp:effectExtent l="0" t="0" r="0" b="5080"/>
                  <wp:docPr id="54" name="Chart 54">
                    <a:extLst xmlns:a="http://schemas.openxmlformats.org/drawingml/2006/main">
                      <a:ext uri="{FF2B5EF4-FFF2-40B4-BE49-F238E27FC236}">
                        <a16:creationId xmlns:a16="http://schemas.microsoft.com/office/drawing/2014/main" id="{BF07B194-9B39-49C3-9381-387F851D3B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c>
        <w:tc>
          <w:tcPr>
            <w:tcW w:w="4253" w:type="dxa"/>
            <w:shd w:val="clear" w:color="auto" w:fill="auto"/>
          </w:tcPr>
          <w:p w14:paraId="63BBEB39" w14:textId="77777777" w:rsidR="003F5739" w:rsidRPr="003F5739" w:rsidRDefault="003F5739" w:rsidP="003F5739">
            <w:pPr>
              <w:rPr>
                <w:rFonts w:ascii="Arial" w:eastAsiaTheme="minorHAnsi" w:hAnsi="Arial" w:cs="Arial"/>
                <w:color w:val="1F4E79" w:themeColor="accent5" w:themeShade="80"/>
                <w:sz w:val="21"/>
                <w:szCs w:val="21"/>
              </w:rPr>
            </w:pPr>
            <w:r w:rsidRPr="003F5739">
              <w:rPr>
                <w:rFonts w:ascii="Arial" w:eastAsiaTheme="minorHAnsi" w:hAnsi="Arial" w:cs="Arial"/>
                <w:color w:val="1F4E79" w:themeColor="accent5" w:themeShade="80"/>
                <w:sz w:val="21"/>
                <w:szCs w:val="21"/>
              </w:rPr>
              <w:t xml:space="preserve">The Proportion of street lighting columns that are over 30 years old has steadily decreased over the last 12 years due to sustained investment in the street lighting replacement programme. However, the recent capital plan review has led to a significant reduction in the street lighting replacement capital budget and this level of asset improvement will no longer be possible.  The service continues to make a case for investment in street lighting replacement.  </w:t>
            </w:r>
          </w:p>
        </w:tc>
      </w:tr>
      <w:tr w:rsidR="003F5739" w:rsidRPr="003F5739" w14:paraId="37B6221A" w14:textId="77777777" w:rsidTr="003D36E0">
        <w:tc>
          <w:tcPr>
            <w:tcW w:w="6237" w:type="dxa"/>
            <w:shd w:val="clear" w:color="auto" w:fill="auto"/>
          </w:tcPr>
          <w:p w14:paraId="029AF791" w14:textId="77777777" w:rsidR="003F5739" w:rsidRPr="003F5739" w:rsidRDefault="003F5739" w:rsidP="003F5739">
            <w:pPr>
              <w:rPr>
                <w:rFonts w:asciiTheme="minorBidi" w:eastAsiaTheme="minorHAnsi" w:hAnsiTheme="minorBidi"/>
                <w:color w:val="1F4E79" w:themeColor="accent5" w:themeShade="80"/>
              </w:rPr>
            </w:pPr>
            <w:r w:rsidRPr="003F5739">
              <w:rPr>
                <w:rFonts w:asciiTheme="minorBidi" w:eastAsiaTheme="minorHAnsi" w:hAnsiTheme="minorBidi"/>
                <w:noProof/>
                <w:color w:val="1F4E79" w:themeColor="accent5" w:themeShade="80"/>
              </w:rPr>
              <w:drawing>
                <wp:inline distT="0" distB="0" distL="0" distR="0" wp14:anchorId="345E0574" wp14:editId="16040617">
                  <wp:extent cx="3652838" cy="2286000"/>
                  <wp:effectExtent l="0" t="0" r="5080" b="0"/>
                  <wp:docPr id="55" name="Chart 55">
                    <a:extLst xmlns:a="http://schemas.openxmlformats.org/drawingml/2006/main">
                      <a:ext uri="{FF2B5EF4-FFF2-40B4-BE49-F238E27FC236}">
                        <a16:creationId xmlns:a16="http://schemas.microsoft.com/office/drawing/2014/main" id="{5A4AC90B-5CA4-4804-9D89-31EFBFC537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c>
        <w:tc>
          <w:tcPr>
            <w:tcW w:w="4253" w:type="dxa"/>
            <w:shd w:val="clear" w:color="auto" w:fill="auto"/>
          </w:tcPr>
          <w:p w14:paraId="0E1814A0" w14:textId="77777777" w:rsidR="003F5739" w:rsidRPr="003F5739" w:rsidRDefault="003F5739" w:rsidP="003F5739">
            <w:pPr>
              <w:rPr>
                <w:rFonts w:ascii="Arial" w:eastAsiaTheme="minorHAnsi" w:hAnsi="Arial" w:cs="Arial"/>
                <w:color w:val="1F4E79" w:themeColor="accent5" w:themeShade="80"/>
                <w:sz w:val="21"/>
                <w:szCs w:val="21"/>
              </w:rPr>
            </w:pPr>
            <w:r w:rsidRPr="003F5739">
              <w:rPr>
                <w:rFonts w:ascii="Arial" w:eastAsiaTheme="minorHAnsi" w:hAnsi="Arial" w:cs="Arial"/>
                <w:color w:val="1F4E79" w:themeColor="accent5" w:themeShade="80"/>
                <w:sz w:val="21"/>
                <w:szCs w:val="21"/>
              </w:rPr>
              <w:t>No data available for 18/19.  Costing information comes from the Local Finance Return which is not available until 23rd October.</w:t>
            </w:r>
          </w:p>
          <w:p w14:paraId="4CDBF247" w14:textId="77777777" w:rsidR="003F5739" w:rsidRPr="003F5739" w:rsidRDefault="003F5739" w:rsidP="003F5739">
            <w:pPr>
              <w:rPr>
                <w:rFonts w:ascii="Arial" w:eastAsiaTheme="minorHAnsi" w:hAnsi="Arial" w:cs="Arial"/>
                <w:color w:val="1F4E79" w:themeColor="accent5" w:themeShade="80"/>
                <w:sz w:val="21"/>
                <w:szCs w:val="21"/>
              </w:rPr>
            </w:pPr>
          </w:p>
          <w:p w14:paraId="2CEA6875" w14:textId="77777777" w:rsidR="003F5739" w:rsidRPr="003F5739" w:rsidRDefault="003F5739" w:rsidP="003F5739">
            <w:pPr>
              <w:rPr>
                <w:rFonts w:ascii="Arial" w:eastAsiaTheme="minorHAnsi" w:hAnsi="Arial" w:cs="Arial"/>
                <w:color w:val="1F4E79" w:themeColor="accent5" w:themeShade="80"/>
                <w:sz w:val="21"/>
                <w:szCs w:val="21"/>
              </w:rPr>
            </w:pPr>
          </w:p>
        </w:tc>
      </w:tr>
      <w:tr w:rsidR="003F5739" w:rsidRPr="003F5739" w14:paraId="3BFEC882" w14:textId="77777777" w:rsidTr="003D36E0">
        <w:tc>
          <w:tcPr>
            <w:tcW w:w="6237" w:type="dxa"/>
          </w:tcPr>
          <w:p w14:paraId="614711DD" w14:textId="77777777" w:rsidR="003F5739" w:rsidRPr="003F5739" w:rsidRDefault="003F5739" w:rsidP="003F5739">
            <w:pPr>
              <w:rPr>
                <w:rFonts w:asciiTheme="minorBidi" w:eastAsiaTheme="minorHAnsi" w:hAnsiTheme="minorBidi"/>
                <w:color w:val="1F4E79" w:themeColor="accent5" w:themeShade="80"/>
              </w:rPr>
            </w:pPr>
            <w:r w:rsidRPr="003F5739">
              <w:rPr>
                <w:rFonts w:asciiTheme="minorBidi" w:eastAsiaTheme="minorHAnsi" w:hAnsiTheme="minorBidi"/>
                <w:noProof/>
                <w:color w:val="1F4E79" w:themeColor="accent5" w:themeShade="80"/>
              </w:rPr>
              <w:drawing>
                <wp:inline distT="0" distB="0" distL="0" distR="0" wp14:anchorId="336A56C1" wp14:editId="118EFF03">
                  <wp:extent cx="3643313" cy="2281238"/>
                  <wp:effectExtent l="0" t="0" r="14605" b="5080"/>
                  <wp:docPr id="25" name="Chart 25">
                    <a:extLst xmlns:a="http://schemas.openxmlformats.org/drawingml/2006/main">
                      <a:ext uri="{FF2B5EF4-FFF2-40B4-BE49-F238E27FC236}">
                        <a16:creationId xmlns:a16="http://schemas.microsoft.com/office/drawing/2014/main" id="{6434E568-65C0-4A94-AB57-FA699E1A4D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tc>
        <w:tc>
          <w:tcPr>
            <w:tcW w:w="4253" w:type="dxa"/>
            <w:shd w:val="clear" w:color="auto" w:fill="auto"/>
          </w:tcPr>
          <w:p w14:paraId="7E8543FE" w14:textId="77777777" w:rsidR="003F5739" w:rsidRPr="003F5739" w:rsidRDefault="003F5739" w:rsidP="003F5739">
            <w:pPr>
              <w:rPr>
                <w:rFonts w:ascii="Arial" w:eastAsiaTheme="minorHAnsi" w:hAnsi="Arial" w:cs="Arial"/>
                <w:color w:val="1F4E79" w:themeColor="accent5" w:themeShade="80"/>
                <w:sz w:val="21"/>
                <w:szCs w:val="21"/>
              </w:rPr>
            </w:pPr>
            <w:r w:rsidRPr="003F5739">
              <w:rPr>
                <w:rFonts w:ascii="Arial" w:eastAsiaTheme="minorHAnsi" w:hAnsi="Arial" w:cs="Arial"/>
                <w:color w:val="1F4E79" w:themeColor="accent5" w:themeShade="80"/>
                <w:sz w:val="21"/>
                <w:szCs w:val="21"/>
              </w:rPr>
              <w:t>There has been a nominal deterioration in the road network overall since 2017/18.  It is anticipated that the planned capital budget reductions will result in a further deterioration from 2020 onwards.</w:t>
            </w:r>
          </w:p>
          <w:p w14:paraId="598E5903" w14:textId="77777777" w:rsidR="003F5739" w:rsidRPr="003F5739" w:rsidRDefault="003F5739" w:rsidP="003F5739">
            <w:pPr>
              <w:rPr>
                <w:rFonts w:ascii="Arial" w:eastAsiaTheme="minorHAnsi" w:hAnsi="Arial" w:cs="Arial"/>
                <w:color w:val="1F4E79" w:themeColor="accent5" w:themeShade="80"/>
                <w:sz w:val="21"/>
                <w:szCs w:val="21"/>
              </w:rPr>
            </w:pPr>
          </w:p>
          <w:p w14:paraId="44F9BE1A" w14:textId="77777777" w:rsidR="003F5739" w:rsidRPr="003F5739" w:rsidRDefault="003F5739" w:rsidP="003F5739">
            <w:pPr>
              <w:rPr>
                <w:rFonts w:ascii="Arial" w:eastAsiaTheme="minorHAnsi" w:hAnsi="Arial" w:cs="Arial"/>
                <w:color w:val="1F4E79" w:themeColor="accent5" w:themeShade="80"/>
                <w:sz w:val="21"/>
                <w:szCs w:val="21"/>
              </w:rPr>
            </w:pPr>
            <w:r w:rsidRPr="003F5739">
              <w:rPr>
                <w:rFonts w:ascii="Arial" w:eastAsiaTheme="minorHAnsi" w:hAnsi="Arial" w:cs="Arial"/>
                <w:color w:val="1F4E79" w:themeColor="accent5" w:themeShade="80"/>
                <w:sz w:val="21"/>
                <w:szCs w:val="21"/>
              </w:rPr>
              <w:t>See Road Condition Indicator 2019 report for greater information.</w:t>
            </w:r>
          </w:p>
        </w:tc>
      </w:tr>
    </w:tbl>
    <w:p w14:paraId="385EEDA2" w14:textId="77777777" w:rsidR="003F5739" w:rsidRPr="003F5739" w:rsidRDefault="003F5739" w:rsidP="003F5739">
      <w:pPr>
        <w:rPr>
          <w:rFonts w:asciiTheme="minorBidi" w:eastAsiaTheme="minorHAnsi" w:hAnsiTheme="minorBidi" w:cstheme="minorBidi"/>
          <w:color w:val="1F4E79" w:themeColor="accent5" w:themeShade="80"/>
          <w:szCs w:val="24"/>
          <w:lang w:eastAsia="en-US"/>
        </w:rPr>
      </w:pPr>
    </w:p>
    <w:p w14:paraId="2CCF217E" w14:textId="77777777" w:rsidR="003F5739" w:rsidRPr="003F5739" w:rsidRDefault="003F5739" w:rsidP="003F5739">
      <w:pPr>
        <w:rPr>
          <w:rFonts w:asciiTheme="minorBidi" w:eastAsiaTheme="minorHAnsi" w:hAnsiTheme="minorBidi" w:cstheme="minorBidi"/>
          <w:color w:val="1F4E79" w:themeColor="accent5" w:themeShade="80"/>
          <w:szCs w:val="24"/>
          <w:lang w:eastAsia="en-US"/>
        </w:rPr>
      </w:pPr>
    </w:p>
    <w:p w14:paraId="214496BF" w14:textId="77777777" w:rsidR="003F5739" w:rsidRPr="003F5739" w:rsidRDefault="003F5739" w:rsidP="003F5739">
      <w:pPr>
        <w:rPr>
          <w:rFonts w:asciiTheme="minorBidi" w:eastAsiaTheme="minorHAnsi" w:hAnsiTheme="minorBidi" w:cstheme="minorBidi"/>
          <w:color w:val="1F4E79" w:themeColor="accent5" w:themeShade="80"/>
          <w:szCs w:val="24"/>
          <w:lang w:eastAsia="en-US"/>
        </w:rPr>
      </w:pPr>
    </w:p>
    <w:p w14:paraId="5F57EB29" w14:textId="77777777" w:rsidR="003F5739" w:rsidRPr="003F5739" w:rsidRDefault="003F5739" w:rsidP="003F5739">
      <w:pPr>
        <w:rPr>
          <w:rFonts w:ascii="Arial" w:eastAsiaTheme="minorHAnsi" w:hAnsi="Arial" w:cs="Arial"/>
          <w:color w:val="1F4E79" w:themeColor="accent5" w:themeShade="80"/>
          <w:sz w:val="56"/>
          <w:szCs w:val="56"/>
          <w:lang w:eastAsia="en-US"/>
        </w:rPr>
      </w:pPr>
      <w:bookmarkStart w:id="23" w:name="_Hlk20296703"/>
      <w:r w:rsidRPr="003F5739">
        <w:rPr>
          <w:rFonts w:ascii="Arial" w:eastAsiaTheme="minorHAnsi" w:hAnsi="Arial" w:cs="Arial"/>
          <w:color w:val="1F4E79" w:themeColor="accent5" w:themeShade="80"/>
          <w:sz w:val="56"/>
          <w:szCs w:val="56"/>
          <w:lang w:eastAsia="en-US"/>
        </w:rPr>
        <w:lastRenderedPageBreak/>
        <w:t>Cost – cont.</w:t>
      </w:r>
    </w:p>
    <w:tbl>
      <w:tblPr>
        <w:tblStyle w:val="TableGrid2"/>
        <w:tblW w:w="10490" w:type="dxa"/>
        <w:tblInd w:w="-5" w:type="dxa"/>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Look w:val="04A0" w:firstRow="1" w:lastRow="0" w:firstColumn="1" w:lastColumn="0" w:noHBand="0" w:noVBand="1"/>
      </w:tblPr>
      <w:tblGrid>
        <w:gridCol w:w="6237"/>
        <w:gridCol w:w="4253"/>
      </w:tblGrid>
      <w:tr w:rsidR="003F5739" w:rsidRPr="003F5739" w14:paraId="55D9EF16" w14:textId="77777777" w:rsidTr="003D36E0">
        <w:tc>
          <w:tcPr>
            <w:tcW w:w="6237" w:type="dxa"/>
            <w:shd w:val="clear" w:color="auto" w:fill="1F4E79" w:themeFill="accent5" w:themeFillShade="80"/>
            <w:vAlign w:val="center"/>
          </w:tcPr>
          <w:p w14:paraId="4AE57290" w14:textId="77777777" w:rsidR="003F5739" w:rsidRPr="003F5739" w:rsidRDefault="003F5739" w:rsidP="003F5739">
            <w:pPr>
              <w:jc w:val="center"/>
              <w:rPr>
                <w:rFonts w:ascii="Arial" w:eastAsiaTheme="minorHAnsi" w:hAnsi="Arial" w:cs="Arial"/>
                <w:b/>
                <w:bCs/>
                <w:color w:val="FFFFFF" w:themeColor="background1"/>
              </w:rPr>
            </w:pPr>
            <w:r w:rsidRPr="003F5739">
              <w:rPr>
                <w:rFonts w:ascii="Arial" w:eastAsiaTheme="minorHAnsi" w:hAnsi="Arial" w:cs="Arial"/>
                <w:b/>
                <w:bCs/>
                <w:color w:val="FFFFFF" w:themeColor="background1"/>
              </w:rPr>
              <w:t>Performance</w:t>
            </w:r>
          </w:p>
        </w:tc>
        <w:tc>
          <w:tcPr>
            <w:tcW w:w="4253" w:type="dxa"/>
            <w:shd w:val="clear" w:color="auto" w:fill="1F4E79" w:themeFill="accent5" w:themeFillShade="80"/>
            <w:vAlign w:val="center"/>
          </w:tcPr>
          <w:p w14:paraId="5F68E304" w14:textId="77777777" w:rsidR="003F5739" w:rsidRPr="003F5739" w:rsidRDefault="003F5739" w:rsidP="003F5739">
            <w:pPr>
              <w:jc w:val="center"/>
              <w:rPr>
                <w:rFonts w:ascii="Arial" w:eastAsiaTheme="minorHAnsi" w:hAnsi="Arial" w:cs="Arial"/>
                <w:b/>
                <w:bCs/>
                <w:color w:val="FFFFFF" w:themeColor="background1"/>
              </w:rPr>
            </w:pPr>
            <w:r w:rsidRPr="003F5739">
              <w:rPr>
                <w:rFonts w:ascii="Arial" w:eastAsiaTheme="minorHAnsi" w:hAnsi="Arial" w:cs="Arial"/>
                <w:b/>
                <w:bCs/>
                <w:color w:val="FFFFFF" w:themeColor="background1"/>
              </w:rPr>
              <w:t>Progress</w:t>
            </w:r>
          </w:p>
        </w:tc>
      </w:tr>
      <w:bookmarkEnd w:id="23"/>
      <w:tr w:rsidR="003F5739" w:rsidRPr="003F5739" w14:paraId="355E740B" w14:textId="77777777" w:rsidTr="003D36E0">
        <w:tc>
          <w:tcPr>
            <w:tcW w:w="6237" w:type="dxa"/>
          </w:tcPr>
          <w:p w14:paraId="24B608A5" w14:textId="77777777" w:rsidR="003F5739" w:rsidRPr="003F5739" w:rsidRDefault="003F5739" w:rsidP="003F5739">
            <w:pPr>
              <w:rPr>
                <w:rFonts w:asciiTheme="minorBidi" w:eastAsiaTheme="minorHAnsi" w:hAnsiTheme="minorBidi"/>
                <w:color w:val="1F4E79" w:themeColor="accent5" w:themeShade="80"/>
              </w:rPr>
            </w:pPr>
            <w:r w:rsidRPr="003F5739">
              <w:rPr>
                <w:rFonts w:asciiTheme="minorBidi" w:eastAsiaTheme="minorHAnsi" w:hAnsiTheme="minorBidi"/>
                <w:noProof/>
                <w:color w:val="1F4E79" w:themeColor="accent5" w:themeShade="80"/>
              </w:rPr>
              <w:drawing>
                <wp:inline distT="0" distB="0" distL="0" distR="0" wp14:anchorId="35D9C1D9" wp14:editId="7DEE7EAA">
                  <wp:extent cx="3652838" cy="2286000"/>
                  <wp:effectExtent l="0" t="0" r="5080" b="0"/>
                  <wp:docPr id="56" name="Chart 56">
                    <a:extLst xmlns:a="http://schemas.openxmlformats.org/drawingml/2006/main">
                      <a:ext uri="{FF2B5EF4-FFF2-40B4-BE49-F238E27FC236}">
                        <a16:creationId xmlns:a16="http://schemas.microsoft.com/office/drawing/2014/main" id="{3949B4DB-820A-48C8-ACFB-38689296EB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tc>
        <w:tc>
          <w:tcPr>
            <w:tcW w:w="4253" w:type="dxa"/>
            <w:shd w:val="clear" w:color="auto" w:fill="auto"/>
          </w:tcPr>
          <w:p w14:paraId="767659C3" w14:textId="77777777" w:rsidR="003F5739" w:rsidRPr="003F5739" w:rsidRDefault="003F5739" w:rsidP="003F5739">
            <w:pPr>
              <w:rPr>
                <w:rFonts w:ascii="Arial" w:eastAsiaTheme="minorHAnsi" w:hAnsi="Arial" w:cs="Arial"/>
                <w:color w:val="1F4E79" w:themeColor="accent5" w:themeShade="80"/>
                <w:sz w:val="21"/>
                <w:szCs w:val="21"/>
              </w:rPr>
            </w:pPr>
            <w:r w:rsidRPr="003F5739">
              <w:rPr>
                <w:rFonts w:ascii="Arial" w:eastAsiaTheme="minorHAnsi" w:hAnsi="Arial" w:cs="Arial"/>
                <w:color w:val="1F4E79" w:themeColor="accent5" w:themeShade="80"/>
                <w:sz w:val="21"/>
                <w:szCs w:val="21"/>
              </w:rPr>
              <w:t>The trend over the last 4 years indicates a deterioration in Class A roads.  It is anticipated that budget constraints could result in a further deterioration in 2019/20 onward.</w:t>
            </w:r>
          </w:p>
        </w:tc>
      </w:tr>
      <w:tr w:rsidR="003F5739" w:rsidRPr="003F5739" w14:paraId="5E9EE374" w14:textId="77777777" w:rsidTr="003D36E0">
        <w:tc>
          <w:tcPr>
            <w:tcW w:w="6237" w:type="dxa"/>
          </w:tcPr>
          <w:p w14:paraId="03969A8C" w14:textId="77777777" w:rsidR="003F5739" w:rsidRPr="003F5739" w:rsidRDefault="003F5739" w:rsidP="003F5739">
            <w:pPr>
              <w:rPr>
                <w:rFonts w:asciiTheme="minorBidi" w:eastAsiaTheme="minorHAnsi" w:hAnsiTheme="minorBidi"/>
                <w:color w:val="1F4E79" w:themeColor="accent5" w:themeShade="80"/>
              </w:rPr>
            </w:pPr>
            <w:r w:rsidRPr="003F5739">
              <w:rPr>
                <w:rFonts w:asciiTheme="minorBidi" w:eastAsiaTheme="minorHAnsi" w:hAnsiTheme="minorBidi"/>
                <w:noProof/>
                <w:color w:val="1F4E79" w:themeColor="accent5" w:themeShade="80"/>
              </w:rPr>
              <w:drawing>
                <wp:inline distT="0" distB="0" distL="0" distR="0" wp14:anchorId="417E41FC" wp14:editId="23B62EB3">
                  <wp:extent cx="3652838" cy="2276475"/>
                  <wp:effectExtent l="0" t="0" r="5080" b="9525"/>
                  <wp:docPr id="57" name="Chart 57">
                    <a:extLst xmlns:a="http://schemas.openxmlformats.org/drawingml/2006/main">
                      <a:ext uri="{FF2B5EF4-FFF2-40B4-BE49-F238E27FC236}">
                        <a16:creationId xmlns:a16="http://schemas.microsoft.com/office/drawing/2014/main" id="{B950FDE5-C3A5-4E13-960A-C671179D83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c>
        <w:tc>
          <w:tcPr>
            <w:tcW w:w="4253" w:type="dxa"/>
            <w:shd w:val="clear" w:color="auto" w:fill="auto"/>
          </w:tcPr>
          <w:p w14:paraId="43B3AA73" w14:textId="77777777" w:rsidR="003F5739" w:rsidRPr="003F5739" w:rsidRDefault="003F5739" w:rsidP="003F5739">
            <w:pPr>
              <w:rPr>
                <w:rFonts w:ascii="Arial" w:eastAsiaTheme="minorHAnsi" w:hAnsi="Arial" w:cs="Arial"/>
                <w:color w:val="1F4E79" w:themeColor="accent5" w:themeShade="80"/>
                <w:sz w:val="21"/>
                <w:szCs w:val="21"/>
              </w:rPr>
            </w:pPr>
            <w:r w:rsidRPr="003F5739">
              <w:rPr>
                <w:rFonts w:ascii="Arial" w:eastAsiaTheme="minorHAnsi" w:hAnsi="Arial" w:cs="Arial"/>
                <w:color w:val="1F4E79" w:themeColor="accent5" w:themeShade="80"/>
                <w:sz w:val="21"/>
                <w:szCs w:val="21"/>
              </w:rPr>
              <w:t>The deteriorating trend over the last 3 years has continued on Class B roads.  It is anticipated that budget constraints could result in a further deterioration in 2019/20 onward.</w:t>
            </w:r>
          </w:p>
        </w:tc>
      </w:tr>
      <w:tr w:rsidR="003F5739" w:rsidRPr="003F5739" w14:paraId="700E61B8" w14:textId="77777777" w:rsidTr="003D36E0">
        <w:tc>
          <w:tcPr>
            <w:tcW w:w="6237" w:type="dxa"/>
          </w:tcPr>
          <w:p w14:paraId="1088C5A4" w14:textId="77777777" w:rsidR="003F5739" w:rsidRPr="003F5739" w:rsidRDefault="003F5739" w:rsidP="003F5739">
            <w:pPr>
              <w:rPr>
                <w:rFonts w:asciiTheme="minorBidi" w:eastAsiaTheme="minorHAnsi" w:hAnsiTheme="minorBidi"/>
                <w:color w:val="1F4E79" w:themeColor="accent5" w:themeShade="80"/>
              </w:rPr>
            </w:pPr>
            <w:r w:rsidRPr="003F5739">
              <w:rPr>
                <w:rFonts w:asciiTheme="minorBidi" w:eastAsiaTheme="minorHAnsi" w:hAnsiTheme="minorBidi"/>
                <w:noProof/>
                <w:color w:val="1F4E79" w:themeColor="accent5" w:themeShade="80"/>
              </w:rPr>
              <w:drawing>
                <wp:inline distT="0" distB="0" distL="0" distR="0" wp14:anchorId="1F2A4DD0" wp14:editId="34F7F4A9">
                  <wp:extent cx="3657600" cy="2281238"/>
                  <wp:effectExtent l="0" t="0" r="0" b="5080"/>
                  <wp:docPr id="58" name="Chart 58">
                    <a:extLst xmlns:a="http://schemas.openxmlformats.org/drawingml/2006/main">
                      <a:ext uri="{FF2B5EF4-FFF2-40B4-BE49-F238E27FC236}">
                        <a16:creationId xmlns:a16="http://schemas.microsoft.com/office/drawing/2014/main" id="{CA146236-6D69-44B6-B10E-A40FDF493E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tc>
        <w:tc>
          <w:tcPr>
            <w:tcW w:w="4253" w:type="dxa"/>
            <w:shd w:val="clear" w:color="auto" w:fill="auto"/>
          </w:tcPr>
          <w:p w14:paraId="6A12D8A7" w14:textId="77777777" w:rsidR="003F5739" w:rsidRPr="003F5739" w:rsidRDefault="003F5739" w:rsidP="003F5739">
            <w:pPr>
              <w:rPr>
                <w:rFonts w:ascii="Arial" w:eastAsiaTheme="minorHAnsi" w:hAnsi="Arial" w:cs="Arial"/>
                <w:color w:val="1F4E79" w:themeColor="accent5" w:themeShade="80"/>
                <w:sz w:val="21"/>
                <w:szCs w:val="21"/>
              </w:rPr>
            </w:pPr>
            <w:r w:rsidRPr="003F5739">
              <w:rPr>
                <w:rFonts w:ascii="Arial" w:eastAsiaTheme="minorHAnsi" w:hAnsi="Arial" w:cs="Arial"/>
                <w:color w:val="1F4E79" w:themeColor="accent5" w:themeShade="80"/>
                <w:sz w:val="21"/>
                <w:szCs w:val="21"/>
              </w:rPr>
              <w:t>The trend since 2014/15 indicates some improvement was made in the state of Class C roads which was reversed in 2018/19.  It is anticipated that budget constraints could result in a further deterioration in 2019/20 onward.</w:t>
            </w:r>
          </w:p>
        </w:tc>
      </w:tr>
    </w:tbl>
    <w:p w14:paraId="72C7D4FD" w14:textId="77777777" w:rsidR="003F5739" w:rsidRPr="003F5739" w:rsidRDefault="003F5739" w:rsidP="003F5739">
      <w:pPr>
        <w:rPr>
          <w:rFonts w:asciiTheme="minorBidi" w:eastAsiaTheme="minorHAnsi" w:hAnsiTheme="minorBidi" w:cstheme="minorBidi"/>
          <w:color w:val="1F4E79" w:themeColor="accent5" w:themeShade="80"/>
          <w:szCs w:val="24"/>
          <w:lang w:eastAsia="en-US"/>
        </w:rPr>
      </w:pPr>
    </w:p>
    <w:p w14:paraId="7742E591" w14:textId="77777777" w:rsidR="003F5739" w:rsidRPr="003F5739" w:rsidRDefault="003F5739" w:rsidP="003F5739">
      <w:pPr>
        <w:rPr>
          <w:rFonts w:asciiTheme="minorBidi" w:eastAsiaTheme="minorHAnsi" w:hAnsiTheme="minorBidi" w:cstheme="minorBidi"/>
          <w:color w:val="1F4E79" w:themeColor="accent5" w:themeShade="80"/>
          <w:szCs w:val="24"/>
          <w:lang w:eastAsia="en-US"/>
        </w:rPr>
      </w:pPr>
    </w:p>
    <w:p w14:paraId="5C6DEF06" w14:textId="77777777" w:rsidR="003F5739" w:rsidRPr="003F5739" w:rsidRDefault="003F5739" w:rsidP="003F5739">
      <w:pPr>
        <w:rPr>
          <w:rFonts w:asciiTheme="minorBidi" w:eastAsiaTheme="minorHAnsi" w:hAnsiTheme="minorBidi" w:cstheme="minorBidi"/>
          <w:color w:val="1F4E79" w:themeColor="accent5" w:themeShade="80"/>
          <w:szCs w:val="24"/>
          <w:lang w:eastAsia="en-US"/>
        </w:rPr>
      </w:pPr>
    </w:p>
    <w:p w14:paraId="0077A30F" w14:textId="77777777" w:rsidR="003F5739" w:rsidRPr="003F5739" w:rsidRDefault="003F5739" w:rsidP="003F5739">
      <w:pPr>
        <w:rPr>
          <w:rFonts w:ascii="Arial" w:eastAsiaTheme="minorHAnsi" w:hAnsi="Arial" w:cs="Arial"/>
          <w:color w:val="1F4E79" w:themeColor="accent5" w:themeShade="80"/>
          <w:sz w:val="56"/>
          <w:szCs w:val="56"/>
          <w:lang w:eastAsia="en-US"/>
        </w:rPr>
      </w:pPr>
      <w:r w:rsidRPr="003F5739">
        <w:rPr>
          <w:rFonts w:ascii="Arial" w:eastAsiaTheme="minorHAnsi" w:hAnsi="Arial" w:cs="Arial"/>
          <w:color w:val="1F4E79" w:themeColor="accent5" w:themeShade="80"/>
          <w:sz w:val="56"/>
          <w:szCs w:val="56"/>
          <w:lang w:eastAsia="en-US"/>
        </w:rPr>
        <w:lastRenderedPageBreak/>
        <w:t>Cost – cont.</w:t>
      </w:r>
    </w:p>
    <w:tbl>
      <w:tblPr>
        <w:tblStyle w:val="TableGrid2"/>
        <w:tblW w:w="10490" w:type="dxa"/>
        <w:tblInd w:w="-5" w:type="dxa"/>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Look w:val="04A0" w:firstRow="1" w:lastRow="0" w:firstColumn="1" w:lastColumn="0" w:noHBand="0" w:noVBand="1"/>
      </w:tblPr>
      <w:tblGrid>
        <w:gridCol w:w="6237"/>
        <w:gridCol w:w="4253"/>
      </w:tblGrid>
      <w:tr w:rsidR="003F5739" w:rsidRPr="003F5739" w14:paraId="6E491997" w14:textId="77777777" w:rsidTr="003D36E0">
        <w:tc>
          <w:tcPr>
            <w:tcW w:w="6237" w:type="dxa"/>
            <w:shd w:val="clear" w:color="auto" w:fill="1F4E79" w:themeFill="accent5" w:themeFillShade="80"/>
            <w:vAlign w:val="center"/>
          </w:tcPr>
          <w:p w14:paraId="08B71CD1" w14:textId="77777777" w:rsidR="003F5739" w:rsidRPr="003F5739" w:rsidRDefault="003F5739" w:rsidP="003F5739">
            <w:pPr>
              <w:jc w:val="center"/>
              <w:rPr>
                <w:rFonts w:ascii="Arial" w:eastAsiaTheme="minorHAnsi" w:hAnsi="Arial" w:cs="Arial"/>
                <w:b/>
                <w:bCs/>
                <w:color w:val="FFFFFF" w:themeColor="background1"/>
              </w:rPr>
            </w:pPr>
            <w:r w:rsidRPr="003F5739">
              <w:rPr>
                <w:rFonts w:ascii="Arial" w:eastAsiaTheme="minorHAnsi" w:hAnsi="Arial" w:cs="Arial"/>
                <w:b/>
                <w:bCs/>
                <w:color w:val="FFFFFF" w:themeColor="background1"/>
              </w:rPr>
              <w:t>Performance</w:t>
            </w:r>
          </w:p>
        </w:tc>
        <w:tc>
          <w:tcPr>
            <w:tcW w:w="4253" w:type="dxa"/>
            <w:shd w:val="clear" w:color="auto" w:fill="1F4E79" w:themeFill="accent5" w:themeFillShade="80"/>
            <w:vAlign w:val="center"/>
          </w:tcPr>
          <w:p w14:paraId="73D93166" w14:textId="77777777" w:rsidR="003F5739" w:rsidRPr="003F5739" w:rsidRDefault="003F5739" w:rsidP="003F5739">
            <w:pPr>
              <w:jc w:val="center"/>
              <w:rPr>
                <w:rFonts w:ascii="Arial" w:eastAsiaTheme="minorHAnsi" w:hAnsi="Arial" w:cs="Arial"/>
                <w:b/>
                <w:bCs/>
                <w:color w:val="FFFFFF" w:themeColor="background1"/>
              </w:rPr>
            </w:pPr>
            <w:r w:rsidRPr="003F5739">
              <w:rPr>
                <w:rFonts w:ascii="Arial" w:eastAsiaTheme="minorHAnsi" w:hAnsi="Arial" w:cs="Arial"/>
                <w:b/>
                <w:bCs/>
                <w:color w:val="FFFFFF" w:themeColor="background1"/>
              </w:rPr>
              <w:t>Progress</w:t>
            </w:r>
          </w:p>
        </w:tc>
      </w:tr>
      <w:tr w:rsidR="003F5739" w:rsidRPr="003F5739" w14:paraId="02160A7F" w14:textId="77777777" w:rsidTr="003D36E0">
        <w:tc>
          <w:tcPr>
            <w:tcW w:w="6237" w:type="dxa"/>
          </w:tcPr>
          <w:p w14:paraId="05679DEF" w14:textId="77777777" w:rsidR="003F5739" w:rsidRPr="003F5739" w:rsidRDefault="003F5739" w:rsidP="003F5739">
            <w:pPr>
              <w:rPr>
                <w:rFonts w:asciiTheme="minorBidi" w:eastAsiaTheme="minorHAnsi" w:hAnsiTheme="minorBidi"/>
                <w:color w:val="1F4E79" w:themeColor="accent5" w:themeShade="80"/>
              </w:rPr>
            </w:pPr>
            <w:bookmarkStart w:id="24" w:name="_GoBack" w:colFirst="1" w:colLast="1"/>
            <w:r w:rsidRPr="003F5739">
              <w:rPr>
                <w:rFonts w:asciiTheme="minorBidi" w:eastAsiaTheme="minorHAnsi" w:hAnsiTheme="minorBidi"/>
                <w:noProof/>
                <w:color w:val="1F4E79" w:themeColor="accent5" w:themeShade="80"/>
              </w:rPr>
              <w:drawing>
                <wp:inline distT="0" distB="0" distL="0" distR="0" wp14:anchorId="2771D7E7" wp14:editId="557490F5">
                  <wp:extent cx="3667125" cy="2281238"/>
                  <wp:effectExtent l="0" t="0" r="9525" b="5080"/>
                  <wp:docPr id="59" name="Chart 59">
                    <a:extLst xmlns:a="http://schemas.openxmlformats.org/drawingml/2006/main">
                      <a:ext uri="{FF2B5EF4-FFF2-40B4-BE49-F238E27FC236}">
                        <a16:creationId xmlns:a16="http://schemas.microsoft.com/office/drawing/2014/main" id="{03320BA2-CC85-4D41-8C26-EEDBC9AB7C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tc>
        <w:tc>
          <w:tcPr>
            <w:tcW w:w="4253" w:type="dxa"/>
            <w:shd w:val="clear" w:color="auto" w:fill="auto"/>
          </w:tcPr>
          <w:p w14:paraId="732298D6" w14:textId="77777777" w:rsidR="003F5739" w:rsidRPr="003F5739" w:rsidRDefault="003F5739" w:rsidP="003F5739">
            <w:pPr>
              <w:rPr>
                <w:rFonts w:ascii="Arial" w:eastAsiaTheme="minorHAnsi" w:hAnsi="Arial" w:cs="Arial"/>
                <w:color w:val="1F4E79" w:themeColor="accent5" w:themeShade="80"/>
                <w:sz w:val="21"/>
                <w:szCs w:val="21"/>
              </w:rPr>
            </w:pPr>
            <w:r w:rsidRPr="003F5739">
              <w:rPr>
                <w:rFonts w:ascii="Arial" w:eastAsiaTheme="minorHAnsi" w:hAnsi="Arial" w:cs="Arial"/>
                <w:color w:val="1F4E79" w:themeColor="accent5" w:themeShade="80"/>
                <w:sz w:val="21"/>
                <w:szCs w:val="21"/>
              </w:rPr>
              <w:t>The trend shows improvement over the last 4 years has continued on unclassified roads.  It is anticipated that budget constraints could have a negative impact on this indicator in 2019/20 onward.</w:t>
            </w:r>
          </w:p>
          <w:p w14:paraId="114E40BB" w14:textId="77777777" w:rsidR="003F5739" w:rsidRPr="003F5739" w:rsidRDefault="003F5739" w:rsidP="003F5739">
            <w:pPr>
              <w:rPr>
                <w:rFonts w:ascii="Arial" w:eastAsiaTheme="minorHAnsi" w:hAnsi="Arial" w:cs="Arial"/>
                <w:color w:val="1F4E79" w:themeColor="accent5" w:themeShade="80"/>
                <w:sz w:val="21"/>
                <w:szCs w:val="21"/>
              </w:rPr>
            </w:pPr>
            <w:r w:rsidRPr="003F5739">
              <w:rPr>
                <w:rFonts w:ascii="Arial" w:eastAsiaTheme="minorHAnsi" w:hAnsi="Arial" w:cs="Arial"/>
                <w:color w:val="1F4E79" w:themeColor="accent5" w:themeShade="80"/>
                <w:sz w:val="21"/>
                <w:szCs w:val="21"/>
              </w:rPr>
              <w:t>A degree of caution and engineering judgement is required when analysing the results for urban unclassified roads. Due to the lower speeds on these roads, it is generally pothole defects and cracking rather than sub-standard surface profile and texture defects which are the main issues when considering maintenance of urban unclassified roads.</w:t>
            </w:r>
          </w:p>
        </w:tc>
      </w:tr>
      <w:tr w:rsidR="003F5739" w:rsidRPr="003F5739" w14:paraId="0D2FC4B6" w14:textId="77777777" w:rsidTr="003D36E0">
        <w:tc>
          <w:tcPr>
            <w:tcW w:w="6237" w:type="dxa"/>
          </w:tcPr>
          <w:p w14:paraId="229D6555" w14:textId="77777777" w:rsidR="003F5739" w:rsidRPr="003F5739" w:rsidRDefault="003F5739" w:rsidP="003F5739">
            <w:pPr>
              <w:rPr>
                <w:rFonts w:asciiTheme="minorBidi" w:eastAsiaTheme="minorHAnsi" w:hAnsiTheme="minorBidi"/>
                <w:color w:val="1F4E79" w:themeColor="accent5" w:themeShade="80"/>
              </w:rPr>
            </w:pPr>
            <w:r w:rsidRPr="003F5739">
              <w:rPr>
                <w:rFonts w:asciiTheme="minorBidi" w:eastAsiaTheme="minorHAnsi" w:hAnsiTheme="minorBidi"/>
                <w:noProof/>
                <w:color w:val="1F4E79" w:themeColor="accent5" w:themeShade="80"/>
              </w:rPr>
              <w:drawing>
                <wp:inline distT="0" distB="0" distL="0" distR="0" wp14:anchorId="73E9F140" wp14:editId="70D913D1">
                  <wp:extent cx="3648075" cy="2281238"/>
                  <wp:effectExtent l="0" t="0" r="9525" b="5080"/>
                  <wp:docPr id="38" name="Chart 38">
                    <a:extLst xmlns:a="http://schemas.openxmlformats.org/drawingml/2006/main">
                      <a:ext uri="{FF2B5EF4-FFF2-40B4-BE49-F238E27FC236}">
                        <a16:creationId xmlns:a16="http://schemas.microsoft.com/office/drawing/2014/main" id="{4305E9C7-FF3B-40A4-AAAD-EDF1DE2E59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tc>
        <w:tc>
          <w:tcPr>
            <w:tcW w:w="4253" w:type="dxa"/>
            <w:shd w:val="clear" w:color="auto" w:fill="FFFFFF" w:themeFill="background1"/>
          </w:tcPr>
          <w:p w14:paraId="0B453464" w14:textId="77777777" w:rsidR="003F5739" w:rsidRPr="003F5739" w:rsidRDefault="003F5739" w:rsidP="003F5739">
            <w:pPr>
              <w:rPr>
                <w:rFonts w:ascii="Arial" w:eastAsiaTheme="minorHAnsi" w:hAnsi="Arial" w:cs="Arial"/>
                <w:color w:val="1F4E79" w:themeColor="accent5" w:themeShade="80"/>
                <w:sz w:val="21"/>
                <w:szCs w:val="21"/>
              </w:rPr>
            </w:pPr>
            <w:r w:rsidRPr="003F5739">
              <w:rPr>
                <w:rFonts w:ascii="Arial" w:eastAsiaTheme="minorHAnsi" w:hAnsi="Arial" w:cs="Arial"/>
                <w:color w:val="1F4E79" w:themeColor="accent5" w:themeShade="80"/>
                <w:sz w:val="21"/>
                <w:szCs w:val="21"/>
              </w:rPr>
              <w:t>The poor weather toward the end of 2017/18 (‘Beast from the East’) resulted in a decrease in planned maintenance and a corresponding increase in reactive maintenance in early 2018/19.  This is reflected in the drop in % spent on planned work for 2018/19.</w:t>
            </w:r>
          </w:p>
          <w:p w14:paraId="78F7A7E2" w14:textId="77777777" w:rsidR="003F5739" w:rsidRPr="003F5739" w:rsidRDefault="003F5739" w:rsidP="003F5739">
            <w:pPr>
              <w:rPr>
                <w:rFonts w:ascii="Arial" w:eastAsiaTheme="minorHAnsi" w:hAnsi="Arial" w:cs="Arial"/>
                <w:color w:val="1F4E79" w:themeColor="accent5" w:themeShade="80"/>
                <w:sz w:val="21"/>
                <w:szCs w:val="21"/>
              </w:rPr>
            </w:pPr>
            <w:r w:rsidRPr="003F5739">
              <w:rPr>
                <w:rFonts w:ascii="Arial" w:eastAsiaTheme="minorHAnsi" w:hAnsi="Arial" w:cs="Arial"/>
                <w:color w:val="1F4E79" w:themeColor="accent5" w:themeShade="80"/>
                <w:sz w:val="21"/>
                <w:szCs w:val="21"/>
              </w:rPr>
              <w:t>In terms of the best use of roads maintenance funding, it is the aim to maximise planned maintenance and minimise reactive maintenance.</w:t>
            </w:r>
          </w:p>
          <w:p w14:paraId="4FF074D9" w14:textId="77777777" w:rsidR="003F5739" w:rsidRPr="003F5739" w:rsidRDefault="003F5739" w:rsidP="003F5739">
            <w:pPr>
              <w:rPr>
                <w:rFonts w:ascii="Arial" w:eastAsiaTheme="minorHAnsi" w:hAnsi="Arial" w:cs="Arial"/>
                <w:color w:val="1F4E79" w:themeColor="accent5" w:themeShade="80"/>
                <w:sz w:val="21"/>
                <w:szCs w:val="21"/>
              </w:rPr>
            </w:pPr>
            <w:r w:rsidRPr="003F5739">
              <w:rPr>
                <w:rFonts w:ascii="Arial" w:eastAsiaTheme="minorHAnsi" w:hAnsi="Arial" w:cs="Arial"/>
                <w:color w:val="1F4E79" w:themeColor="accent5" w:themeShade="80"/>
                <w:sz w:val="21"/>
                <w:szCs w:val="21"/>
              </w:rPr>
              <w:t>Planned maintenance is mostly an investment whereas reactive maintenance is unavoidable short-term repairs. As shown in the RCI report, investment in roads maintenance, leads to improved road condition and a reduction in defects and vice versa.</w:t>
            </w:r>
          </w:p>
          <w:p w14:paraId="56BF8A76" w14:textId="77777777" w:rsidR="003F5739" w:rsidRPr="003F5739" w:rsidRDefault="003F5739" w:rsidP="003F5739">
            <w:pPr>
              <w:rPr>
                <w:rFonts w:ascii="Arial" w:eastAsiaTheme="minorHAnsi" w:hAnsi="Arial" w:cs="Arial"/>
                <w:color w:val="1F4E79" w:themeColor="accent5" w:themeShade="80"/>
                <w:sz w:val="21"/>
                <w:szCs w:val="21"/>
              </w:rPr>
            </w:pPr>
          </w:p>
        </w:tc>
      </w:tr>
      <w:bookmarkEnd w:id="24"/>
    </w:tbl>
    <w:p w14:paraId="7F166F8E" w14:textId="1AC28FDA" w:rsidR="003F5739" w:rsidRDefault="003F5739" w:rsidP="008430A3">
      <w:pPr>
        <w:rPr>
          <w:rFonts w:ascii="Arial" w:hAnsi="Arial" w:cs="Arial"/>
        </w:rPr>
      </w:pPr>
    </w:p>
    <w:p w14:paraId="35155C03" w14:textId="77777777" w:rsidR="003F5739" w:rsidRPr="00690847" w:rsidRDefault="003F5739" w:rsidP="008430A3">
      <w:pPr>
        <w:rPr>
          <w:rFonts w:ascii="Arial" w:hAnsi="Arial" w:cs="Arial"/>
        </w:rPr>
      </w:pPr>
    </w:p>
    <w:sectPr w:rsidR="003F5739" w:rsidRPr="00690847" w:rsidSect="00313576">
      <w:headerReference w:type="even" r:id="rId65"/>
      <w:headerReference w:type="default" r:id="rId66"/>
      <w:footerReference w:type="even" r:id="rId67"/>
      <w:footerReference w:type="default" r:id="rId68"/>
      <w:headerReference w:type="first" r:id="rId69"/>
      <w:footerReference w:type="first" r:id="rId70"/>
      <w:type w:val="continuous"/>
      <w:pgSz w:w="11906" w:h="16838" w:code="9"/>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9527D86" w14:textId="77777777" w:rsidR="000D7747" w:rsidRDefault="000D7747">
      <w:r>
        <w:separator/>
      </w:r>
    </w:p>
  </w:endnote>
  <w:endnote w:type="continuationSeparator" w:id="0">
    <w:p w14:paraId="4B3DAD27" w14:textId="77777777" w:rsidR="000D7747" w:rsidRDefault="000D77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MT">
    <w:altName w:val="Arial Unicode MS"/>
    <w:panose1 w:val="00000000000000000000"/>
    <w:charset w:val="88"/>
    <w:family w:val="auto"/>
    <w:notTrueType/>
    <w:pitch w:val="default"/>
    <w:sig w:usb0="00000000" w:usb1="08080000" w:usb2="00000010" w:usb3="00000000" w:csb0="00100000" w:csb1="00000000"/>
  </w:font>
  <w:font w:name="Helvetica">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Stone Sans">
    <w:altName w:val="Stone Sans"/>
    <w:panose1 w:val="00000000000000000000"/>
    <w:charset w:val="00"/>
    <w:family w:val="swiss"/>
    <w:notTrueType/>
    <w:pitch w:val="default"/>
    <w:sig w:usb0="00000003" w:usb1="00000000" w:usb2="00000000" w:usb3="00000000" w:csb0="00000001" w:csb1="00000000"/>
  </w:font>
  <w:font w:name="Centaur">
    <w:panose1 w:val="02030504050205020304"/>
    <w:charset w:val="00"/>
    <w:family w:val="roman"/>
    <w:pitch w:val="variable"/>
    <w:sig w:usb0="00000003" w:usb1="00000000" w:usb2="00000000" w:usb3="00000000" w:csb0="00000001" w:csb1="00000000"/>
  </w:font>
  <w:font w:name=".SF UI Text">
    <w:altName w:val="Times New Roman"/>
    <w:panose1 w:val="00000000000000000000"/>
    <w:charset w:val="00"/>
    <w:family w:val="roman"/>
    <w:notTrueType/>
    <w:pitch w:val="default"/>
  </w:font>
  <w:font w:name=".SFUITex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937A3D" w14:textId="77777777" w:rsidR="00AA582B" w:rsidRDefault="00AA582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8F8DB3" w14:textId="77777777" w:rsidR="00AA582B" w:rsidRDefault="00AA582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A0B6B5" w14:textId="77777777" w:rsidR="00AA582B" w:rsidRDefault="00AA582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07FD458" w14:textId="77777777" w:rsidR="000D7747" w:rsidRDefault="000D7747">
      <w:r>
        <w:separator/>
      </w:r>
    </w:p>
  </w:footnote>
  <w:footnote w:type="continuationSeparator" w:id="0">
    <w:p w14:paraId="1200A28E" w14:textId="77777777" w:rsidR="000D7747" w:rsidRDefault="000D774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BC771E" w14:textId="77777777" w:rsidR="00AA582B" w:rsidRDefault="00AA582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743EA8" w14:textId="77777777" w:rsidR="00AA582B" w:rsidRDefault="00AA582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CEA8BE" w14:textId="77777777" w:rsidR="00AA582B" w:rsidRDefault="00AA582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AA766BBB"/>
    <w:multiLevelType w:val="hybridMultilevel"/>
    <w:tmpl w:val="20722BA7"/>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795A24"/>
    <w:multiLevelType w:val="hybridMultilevel"/>
    <w:tmpl w:val="B250545C"/>
    <w:lvl w:ilvl="0" w:tplc="08090001">
      <w:start w:val="1"/>
      <w:numFmt w:val="bullet"/>
      <w:lvlText w:val=""/>
      <w:lvlJc w:val="left"/>
      <w:pPr>
        <w:ind w:left="1080" w:hanging="360"/>
      </w:pPr>
      <w:rPr>
        <w:rFonts w:ascii="Symbol" w:hAnsi="Symbol" w:hint="default"/>
      </w:rPr>
    </w:lvl>
    <w:lvl w:ilvl="1" w:tplc="0B120188">
      <w:numFmt w:val="bullet"/>
      <w:lvlText w:val="·"/>
      <w:lvlJc w:val="left"/>
      <w:pPr>
        <w:ind w:left="1875" w:hanging="435"/>
      </w:pPr>
      <w:rPr>
        <w:rFonts w:ascii="Arial" w:eastAsia="Times New Roman" w:hAnsi="Arial" w:cs="Arial"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00F27769"/>
    <w:multiLevelType w:val="multilevel"/>
    <w:tmpl w:val="FE1E739C"/>
    <w:lvl w:ilvl="0">
      <w:start w:val="1"/>
      <w:numFmt w:val="decimal"/>
      <w:pStyle w:val="NumberedList4"/>
      <w:lvlText w:val="%1."/>
      <w:lvlJc w:val="left"/>
      <w:pPr>
        <w:tabs>
          <w:tab w:val="num" w:pos="360"/>
        </w:tabs>
        <w:ind w:left="360" w:hanging="360"/>
      </w:pPr>
      <w:rPr>
        <w:rFonts w:hint="default"/>
      </w:rPr>
    </w:lvl>
    <w:lvl w:ilvl="1">
      <w:start w:val="1"/>
      <w:numFmt w:val="decimal"/>
      <w:isLgl/>
      <w:lvlText w:val="%1.%2"/>
      <w:lvlJc w:val="left"/>
      <w:pPr>
        <w:tabs>
          <w:tab w:val="num" w:pos="525"/>
        </w:tabs>
        <w:ind w:left="525" w:hanging="525"/>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1080"/>
        </w:tabs>
        <w:ind w:left="1080" w:hanging="108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3" w15:restartNumberingAfterBreak="0">
    <w:nsid w:val="0E533627"/>
    <w:multiLevelType w:val="hybridMultilevel"/>
    <w:tmpl w:val="3056DC58"/>
    <w:lvl w:ilvl="0" w:tplc="1CDA2EAE">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10FF3D88"/>
    <w:multiLevelType w:val="multilevel"/>
    <w:tmpl w:val="A75E61C2"/>
    <w:lvl w:ilvl="0">
      <w:start w:val="2"/>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5" w15:restartNumberingAfterBreak="0">
    <w:nsid w:val="19063464"/>
    <w:multiLevelType w:val="hybridMultilevel"/>
    <w:tmpl w:val="69765C44"/>
    <w:lvl w:ilvl="0" w:tplc="21DAEEF4">
      <w:start w:val="1"/>
      <w:numFmt w:val="lowerRoman"/>
      <w:lvlText w:val="%1."/>
      <w:lvlJc w:val="left"/>
      <w:pPr>
        <w:ind w:left="1440" w:hanging="360"/>
      </w:pPr>
      <w:rPr>
        <w:rFonts w:ascii="Arial" w:eastAsia="Times New Roman" w:hAnsi="Arial" w:cs="Arial"/>
      </w:rPr>
    </w:lvl>
    <w:lvl w:ilvl="1" w:tplc="0B120188">
      <w:numFmt w:val="bullet"/>
      <w:lvlText w:val="·"/>
      <w:lvlJc w:val="left"/>
      <w:pPr>
        <w:ind w:left="2235" w:hanging="435"/>
      </w:pPr>
      <w:rPr>
        <w:rFonts w:ascii="Arial" w:eastAsia="Times New Roman" w:hAnsi="Arial" w:cs="Arial"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1AFB527F"/>
    <w:multiLevelType w:val="multilevel"/>
    <w:tmpl w:val="3E34B372"/>
    <w:lvl w:ilvl="0">
      <w:start w:val="1"/>
      <w:numFmt w:val="decimal"/>
      <w:lvlText w:val="%1."/>
      <w:lvlJc w:val="left"/>
      <w:pPr>
        <w:ind w:left="1080" w:hanging="360"/>
      </w:pPr>
      <w:rPr>
        <w:rFonts w:hint="default"/>
      </w:rPr>
    </w:lvl>
    <w:lvl w:ilvl="1">
      <w:start w:val="1"/>
      <w:numFmt w:val="decimal"/>
      <w:isLgl/>
      <w:lvlText w:val="%1.%2"/>
      <w:lvlJc w:val="left"/>
      <w:pPr>
        <w:ind w:left="1425" w:hanging="705"/>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7" w15:restartNumberingAfterBreak="0">
    <w:nsid w:val="25491394"/>
    <w:multiLevelType w:val="multilevel"/>
    <w:tmpl w:val="CAE2BBEA"/>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A681F7E"/>
    <w:multiLevelType w:val="hybridMultilevel"/>
    <w:tmpl w:val="AB00BB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BDB31D8"/>
    <w:multiLevelType w:val="hybridMultilevel"/>
    <w:tmpl w:val="E88A852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C7828A8"/>
    <w:multiLevelType w:val="multilevel"/>
    <w:tmpl w:val="EDE2B59E"/>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E007504"/>
    <w:multiLevelType w:val="multilevel"/>
    <w:tmpl w:val="E91A1022"/>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E510283"/>
    <w:multiLevelType w:val="hybridMultilevel"/>
    <w:tmpl w:val="CDA00E6C"/>
    <w:lvl w:ilvl="0" w:tplc="2C60B148">
      <w:numFmt w:val="bullet"/>
      <w:lvlText w:val=""/>
      <w:lvlJc w:val="left"/>
      <w:pPr>
        <w:ind w:left="1080" w:hanging="360"/>
      </w:pPr>
      <w:rPr>
        <w:rFonts w:ascii="SymbolMT" w:eastAsia="SymbolMT" w:hAnsi="Arial" w:cs="SymbolMT" w:hint="eastAsia"/>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15:restartNumberingAfterBreak="0">
    <w:nsid w:val="360D42FB"/>
    <w:multiLevelType w:val="multilevel"/>
    <w:tmpl w:val="9F64273C"/>
    <w:lvl w:ilvl="0">
      <w:start w:val="1"/>
      <w:numFmt w:val="decimal"/>
      <w:lvlText w:val="%1"/>
      <w:lvlJc w:val="left"/>
      <w:pPr>
        <w:ind w:left="780" w:hanging="780"/>
      </w:pPr>
      <w:rPr>
        <w:rFonts w:hint="default"/>
        <w:color w:val="000000"/>
        <w:sz w:val="24"/>
      </w:rPr>
    </w:lvl>
    <w:lvl w:ilvl="1">
      <w:start w:val="1"/>
      <w:numFmt w:val="decimal"/>
      <w:lvlText w:val="%1.%2"/>
      <w:lvlJc w:val="left"/>
      <w:pPr>
        <w:ind w:left="780" w:hanging="780"/>
      </w:pPr>
      <w:rPr>
        <w:rFonts w:hint="default"/>
        <w:color w:val="000000"/>
        <w:sz w:val="24"/>
      </w:rPr>
    </w:lvl>
    <w:lvl w:ilvl="2">
      <w:start w:val="1"/>
      <w:numFmt w:val="decimal"/>
      <w:lvlText w:val="%1.%2.%3"/>
      <w:lvlJc w:val="left"/>
      <w:pPr>
        <w:ind w:left="780" w:hanging="780"/>
      </w:pPr>
      <w:rPr>
        <w:rFonts w:hint="default"/>
        <w:color w:val="000000"/>
        <w:sz w:val="24"/>
      </w:rPr>
    </w:lvl>
    <w:lvl w:ilvl="3">
      <w:start w:val="1"/>
      <w:numFmt w:val="decimal"/>
      <w:lvlText w:val="%1.%2.%3.%4"/>
      <w:lvlJc w:val="left"/>
      <w:pPr>
        <w:ind w:left="780" w:hanging="780"/>
      </w:pPr>
      <w:rPr>
        <w:rFonts w:hint="default"/>
        <w:color w:val="000000"/>
        <w:sz w:val="24"/>
      </w:rPr>
    </w:lvl>
    <w:lvl w:ilvl="4">
      <w:start w:val="1"/>
      <w:numFmt w:val="decimal"/>
      <w:lvlText w:val="%1.%2.%3.%4.%5"/>
      <w:lvlJc w:val="left"/>
      <w:pPr>
        <w:ind w:left="1080" w:hanging="1080"/>
      </w:pPr>
      <w:rPr>
        <w:rFonts w:hint="default"/>
        <w:color w:val="000000"/>
        <w:sz w:val="24"/>
      </w:rPr>
    </w:lvl>
    <w:lvl w:ilvl="5">
      <w:start w:val="1"/>
      <w:numFmt w:val="decimal"/>
      <w:lvlText w:val="%1.%2.%3.%4.%5.%6"/>
      <w:lvlJc w:val="left"/>
      <w:pPr>
        <w:ind w:left="1440" w:hanging="1440"/>
      </w:pPr>
      <w:rPr>
        <w:rFonts w:hint="default"/>
        <w:color w:val="000000"/>
        <w:sz w:val="24"/>
      </w:rPr>
    </w:lvl>
    <w:lvl w:ilvl="6">
      <w:start w:val="1"/>
      <w:numFmt w:val="decimal"/>
      <w:lvlText w:val="%1.%2.%3.%4.%5.%6.%7"/>
      <w:lvlJc w:val="left"/>
      <w:pPr>
        <w:ind w:left="1440" w:hanging="1440"/>
      </w:pPr>
      <w:rPr>
        <w:rFonts w:hint="default"/>
        <w:color w:val="000000"/>
        <w:sz w:val="24"/>
      </w:rPr>
    </w:lvl>
    <w:lvl w:ilvl="7">
      <w:start w:val="1"/>
      <w:numFmt w:val="decimal"/>
      <w:lvlText w:val="%1.%2.%3.%4.%5.%6.%7.%8"/>
      <w:lvlJc w:val="left"/>
      <w:pPr>
        <w:ind w:left="1800" w:hanging="1800"/>
      </w:pPr>
      <w:rPr>
        <w:rFonts w:hint="default"/>
        <w:color w:val="000000"/>
        <w:sz w:val="24"/>
      </w:rPr>
    </w:lvl>
    <w:lvl w:ilvl="8">
      <w:start w:val="1"/>
      <w:numFmt w:val="decimal"/>
      <w:lvlText w:val="%1.%2.%3.%4.%5.%6.%7.%8.%9"/>
      <w:lvlJc w:val="left"/>
      <w:pPr>
        <w:ind w:left="1800" w:hanging="1800"/>
      </w:pPr>
      <w:rPr>
        <w:rFonts w:hint="default"/>
        <w:color w:val="000000"/>
        <w:sz w:val="24"/>
      </w:rPr>
    </w:lvl>
  </w:abstractNum>
  <w:abstractNum w:abstractNumId="14" w15:restartNumberingAfterBreak="0">
    <w:nsid w:val="3DEC3F89"/>
    <w:multiLevelType w:val="multilevel"/>
    <w:tmpl w:val="718EBBC6"/>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43B6518C"/>
    <w:multiLevelType w:val="hybridMultilevel"/>
    <w:tmpl w:val="452C071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15:restartNumberingAfterBreak="0">
    <w:nsid w:val="480538F9"/>
    <w:multiLevelType w:val="hybridMultilevel"/>
    <w:tmpl w:val="D62614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D0E4E6D"/>
    <w:multiLevelType w:val="hybridMultilevel"/>
    <w:tmpl w:val="B7F48BD6"/>
    <w:lvl w:ilvl="0" w:tplc="048815E8">
      <w:start w:val="1"/>
      <w:numFmt w:val="decimal"/>
      <w:lvlText w:val="%1."/>
      <w:lvlJc w:val="left"/>
      <w:pPr>
        <w:ind w:left="1080" w:hanging="360"/>
      </w:pPr>
      <w:rPr>
        <w:rFonts w:ascii="Arial" w:eastAsia="Times New Roman" w:hAnsi="Arial" w:cs="Arial"/>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 w15:restartNumberingAfterBreak="0">
    <w:nsid w:val="4E317CB3"/>
    <w:multiLevelType w:val="hybridMultilevel"/>
    <w:tmpl w:val="D85CFD48"/>
    <w:lvl w:ilvl="0" w:tplc="08090001">
      <w:start w:val="1"/>
      <w:numFmt w:val="bullet"/>
      <w:lvlText w:val=""/>
      <w:lvlJc w:val="left"/>
      <w:pPr>
        <w:ind w:left="11226" w:hanging="360"/>
      </w:pPr>
      <w:rPr>
        <w:rFonts w:ascii="Symbol" w:hAnsi="Symbol" w:hint="default"/>
      </w:rPr>
    </w:lvl>
    <w:lvl w:ilvl="1" w:tplc="08090003">
      <w:start w:val="1"/>
      <w:numFmt w:val="bullet"/>
      <w:lvlText w:val="o"/>
      <w:lvlJc w:val="left"/>
      <w:pPr>
        <w:ind w:left="11946" w:hanging="360"/>
      </w:pPr>
      <w:rPr>
        <w:rFonts w:ascii="Courier New" w:hAnsi="Courier New" w:cs="Courier New" w:hint="default"/>
      </w:rPr>
    </w:lvl>
    <w:lvl w:ilvl="2" w:tplc="08090005" w:tentative="1">
      <w:start w:val="1"/>
      <w:numFmt w:val="bullet"/>
      <w:lvlText w:val=""/>
      <w:lvlJc w:val="left"/>
      <w:pPr>
        <w:ind w:left="12666" w:hanging="360"/>
      </w:pPr>
      <w:rPr>
        <w:rFonts w:ascii="Wingdings" w:hAnsi="Wingdings" w:hint="default"/>
      </w:rPr>
    </w:lvl>
    <w:lvl w:ilvl="3" w:tplc="08090001" w:tentative="1">
      <w:start w:val="1"/>
      <w:numFmt w:val="bullet"/>
      <w:lvlText w:val=""/>
      <w:lvlJc w:val="left"/>
      <w:pPr>
        <w:ind w:left="13386" w:hanging="360"/>
      </w:pPr>
      <w:rPr>
        <w:rFonts w:ascii="Symbol" w:hAnsi="Symbol" w:hint="default"/>
      </w:rPr>
    </w:lvl>
    <w:lvl w:ilvl="4" w:tplc="08090003" w:tentative="1">
      <w:start w:val="1"/>
      <w:numFmt w:val="bullet"/>
      <w:lvlText w:val="o"/>
      <w:lvlJc w:val="left"/>
      <w:pPr>
        <w:ind w:left="14106" w:hanging="360"/>
      </w:pPr>
      <w:rPr>
        <w:rFonts w:ascii="Courier New" w:hAnsi="Courier New" w:cs="Courier New" w:hint="default"/>
      </w:rPr>
    </w:lvl>
    <w:lvl w:ilvl="5" w:tplc="08090005" w:tentative="1">
      <w:start w:val="1"/>
      <w:numFmt w:val="bullet"/>
      <w:lvlText w:val=""/>
      <w:lvlJc w:val="left"/>
      <w:pPr>
        <w:ind w:left="14826" w:hanging="360"/>
      </w:pPr>
      <w:rPr>
        <w:rFonts w:ascii="Wingdings" w:hAnsi="Wingdings" w:hint="default"/>
      </w:rPr>
    </w:lvl>
    <w:lvl w:ilvl="6" w:tplc="08090001" w:tentative="1">
      <w:start w:val="1"/>
      <w:numFmt w:val="bullet"/>
      <w:lvlText w:val=""/>
      <w:lvlJc w:val="left"/>
      <w:pPr>
        <w:ind w:left="15546" w:hanging="360"/>
      </w:pPr>
      <w:rPr>
        <w:rFonts w:ascii="Symbol" w:hAnsi="Symbol" w:hint="default"/>
      </w:rPr>
    </w:lvl>
    <w:lvl w:ilvl="7" w:tplc="08090003" w:tentative="1">
      <w:start w:val="1"/>
      <w:numFmt w:val="bullet"/>
      <w:lvlText w:val="o"/>
      <w:lvlJc w:val="left"/>
      <w:pPr>
        <w:ind w:left="16266" w:hanging="360"/>
      </w:pPr>
      <w:rPr>
        <w:rFonts w:ascii="Courier New" w:hAnsi="Courier New" w:cs="Courier New" w:hint="default"/>
      </w:rPr>
    </w:lvl>
    <w:lvl w:ilvl="8" w:tplc="08090005" w:tentative="1">
      <w:start w:val="1"/>
      <w:numFmt w:val="bullet"/>
      <w:lvlText w:val=""/>
      <w:lvlJc w:val="left"/>
      <w:pPr>
        <w:ind w:left="16986" w:hanging="360"/>
      </w:pPr>
      <w:rPr>
        <w:rFonts w:ascii="Wingdings" w:hAnsi="Wingdings" w:hint="default"/>
      </w:rPr>
    </w:lvl>
  </w:abstractNum>
  <w:abstractNum w:abstractNumId="19" w15:restartNumberingAfterBreak="0">
    <w:nsid w:val="50D372BD"/>
    <w:multiLevelType w:val="multilevel"/>
    <w:tmpl w:val="EB42F39C"/>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550562A6"/>
    <w:multiLevelType w:val="hybridMultilevel"/>
    <w:tmpl w:val="B78AB74C"/>
    <w:lvl w:ilvl="0" w:tplc="CF34BC1A">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1" w15:restartNumberingAfterBreak="0">
    <w:nsid w:val="58672AF6"/>
    <w:multiLevelType w:val="hybridMultilevel"/>
    <w:tmpl w:val="9258DBF8"/>
    <w:lvl w:ilvl="0" w:tplc="08090001">
      <w:start w:val="1"/>
      <w:numFmt w:val="bullet"/>
      <w:lvlText w:val=""/>
      <w:lvlJc w:val="left"/>
      <w:pPr>
        <w:ind w:left="2520" w:hanging="360"/>
      </w:pPr>
      <w:rPr>
        <w:rFonts w:ascii="Symbol" w:hAnsi="Symbol"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22" w15:restartNumberingAfterBreak="0">
    <w:nsid w:val="5C05054F"/>
    <w:multiLevelType w:val="hybridMultilevel"/>
    <w:tmpl w:val="BCAA4D0E"/>
    <w:lvl w:ilvl="0" w:tplc="0809000F">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 w15:restartNumberingAfterBreak="0">
    <w:nsid w:val="5C4E7758"/>
    <w:multiLevelType w:val="hybridMultilevel"/>
    <w:tmpl w:val="76A4E0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CFB51B8"/>
    <w:multiLevelType w:val="hybridMultilevel"/>
    <w:tmpl w:val="E61EB844"/>
    <w:lvl w:ilvl="0" w:tplc="0700F202">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 w15:restartNumberingAfterBreak="0">
    <w:nsid w:val="600603CE"/>
    <w:multiLevelType w:val="hybridMultilevel"/>
    <w:tmpl w:val="84BCC9FE"/>
    <w:lvl w:ilvl="0" w:tplc="8A4E5D88">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 w15:restartNumberingAfterBreak="0">
    <w:nsid w:val="64C809A7"/>
    <w:multiLevelType w:val="multilevel"/>
    <w:tmpl w:val="104EC67E"/>
    <w:lvl w:ilvl="0">
      <w:start w:val="3"/>
      <w:numFmt w:val="decimal"/>
      <w:lvlText w:val="%1.0"/>
      <w:lvlJc w:val="left"/>
      <w:pPr>
        <w:ind w:left="495" w:hanging="495"/>
      </w:pPr>
      <w:rPr>
        <w:rFonts w:hint="default"/>
      </w:rPr>
    </w:lvl>
    <w:lvl w:ilvl="1">
      <w:start w:val="1"/>
      <w:numFmt w:val="decimal"/>
      <w:lvlText w:val="%1.%2"/>
      <w:lvlJc w:val="left"/>
      <w:pPr>
        <w:ind w:left="1215" w:hanging="49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7" w15:restartNumberingAfterBreak="0">
    <w:nsid w:val="64DC2AC9"/>
    <w:multiLevelType w:val="multilevel"/>
    <w:tmpl w:val="C53C18CC"/>
    <w:lvl w:ilvl="0">
      <w:start w:val="2"/>
      <w:numFmt w:val="decimal"/>
      <w:lvlText w:val="%1.0"/>
      <w:lvlJc w:val="left"/>
      <w:pPr>
        <w:ind w:left="495" w:hanging="495"/>
      </w:pPr>
      <w:rPr>
        <w:rFonts w:cs="Times New Roman" w:hint="default"/>
        <w:b/>
        <w:sz w:val="36"/>
      </w:rPr>
    </w:lvl>
    <w:lvl w:ilvl="1">
      <w:start w:val="1"/>
      <w:numFmt w:val="decimal"/>
      <w:lvlText w:val="%1.%2"/>
      <w:lvlJc w:val="left"/>
      <w:pPr>
        <w:ind w:left="1215" w:hanging="495"/>
      </w:pPr>
      <w:rPr>
        <w:rFonts w:cs="Times New Roman" w:hint="default"/>
        <w:b/>
        <w:sz w:val="36"/>
      </w:rPr>
    </w:lvl>
    <w:lvl w:ilvl="2">
      <w:start w:val="1"/>
      <w:numFmt w:val="decimal"/>
      <w:lvlText w:val="%1.%2.%3"/>
      <w:lvlJc w:val="left"/>
      <w:pPr>
        <w:ind w:left="2160" w:hanging="720"/>
      </w:pPr>
      <w:rPr>
        <w:rFonts w:cs="Times New Roman" w:hint="default"/>
        <w:b/>
        <w:sz w:val="36"/>
      </w:rPr>
    </w:lvl>
    <w:lvl w:ilvl="3">
      <w:start w:val="1"/>
      <w:numFmt w:val="decimal"/>
      <w:lvlText w:val="%1.%2.%3.%4"/>
      <w:lvlJc w:val="left"/>
      <w:pPr>
        <w:ind w:left="3240" w:hanging="1080"/>
      </w:pPr>
      <w:rPr>
        <w:rFonts w:cs="Times New Roman" w:hint="default"/>
        <w:b/>
        <w:sz w:val="36"/>
      </w:rPr>
    </w:lvl>
    <w:lvl w:ilvl="4">
      <w:start w:val="1"/>
      <w:numFmt w:val="decimal"/>
      <w:lvlText w:val="%1.%2.%3.%4.%5"/>
      <w:lvlJc w:val="left"/>
      <w:pPr>
        <w:ind w:left="3960" w:hanging="1080"/>
      </w:pPr>
      <w:rPr>
        <w:rFonts w:cs="Times New Roman" w:hint="default"/>
        <w:b/>
        <w:sz w:val="36"/>
      </w:rPr>
    </w:lvl>
    <w:lvl w:ilvl="5">
      <w:start w:val="1"/>
      <w:numFmt w:val="decimal"/>
      <w:lvlText w:val="%1.%2.%3.%4.%5.%6"/>
      <w:lvlJc w:val="left"/>
      <w:pPr>
        <w:ind w:left="5040" w:hanging="1440"/>
      </w:pPr>
      <w:rPr>
        <w:rFonts w:cs="Times New Roman" w:hint="default"/>
        <w:b/>
        <w:sz w:val="36"/>
      </w:rPr>
    </w:lvl>
    <w:lvl w:ilvl="6">
      <w:start w:val="1"/>
      <w:numFmt w:val="decimal"/>
      <w:lvlText w:val="%1.%2.%3.%4.%5.%6.%7"/>
      <w:lvlJc w:val="left"/>
      <w:pPr>
        <w:ind w:left="5760" w:hanging="1440"/>
      </w:pPr>
      <w:rPr>
        <w:rFonts w:cs="Times New Roman" w:hint="default"/>
        <w:b/>
        <w:sz w:val="36"/>
      </w:rPr>
    </w:lvl>
    <w:lvl w:ilvl="7">
      <w:start w:val="1"/>
      <w:numFmt w:val="decimal"/>
      <w:lvlText w:val="%1.%2.%3.%4.%5.%6.%7.%8"/>
      <w:lvlJc w:val="left"/>
      <w:pPr>
        <w:ind w:left="6840" w:hanging="1800"/>
      </w:pPr>
      <w:rPr>
        <w:rFonts w:cs="Times New Roman" w:hint="default"/>
        <w:b/>
        <w:sz w:val="36"/>
      </w:rPr>
    </w:lvl>
    <w:lvl w:ilvl="8">
      <w:start w:val="1"/>
      <w:numFmt w:val="decimal"/>
      <w:lvlText w:val="%1.%2.%3.%4.%5.%6.%7.%8.%9"/>
      <w:lvlJc w:val="left"/>
      <w:pPr>
        <w:ind w:left="7560" w:hanging="1800"/>
      </w:pPr>
      <w:rPr>
        <w:rFonts w:cs="Times New Roman" w:hint="default"/>
        <w:b/>
        <w:sz w:val="36"/>
      </w:rPr>
    </w:lvl>
  </w:abstractNum>
  <w:abstractNum w:abstractNumId="28" w15:restartNumberingAfterBreak="0">
    <w:nsid w:val="6C2E5FDE"/>
    <w:multiLevelType w:val="hybridMultilevel"/>
    <w:tmpl w:val="F7564D6C"/>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744A7F7B"/>
    <w:multiLevelType w:val="hybridMultilevel"/>
    <w:tmpl w:val="A2401DE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6EA3769"/>
    <w:multiLevelType w:val="hybridMultilevel"/>
    <w:tmpl w:val="6F0CBB76"/>
    <w:lvl w:ilvl="0" w:tplc="4BEAE1C2">
      <w:start w:val="1"/>
      <w:numFmt w:val="lowerLetter"/>
      <w:lvlText w:val="%1)"/>
      <w:lvlJc w:val="left"/>
      <w:pPr>
        <w:ind w:left="1080" w:hanging="360"/>
      </w:pPr>
      <w:rPr>
        <w:rFonts w:ascii="Helvetica" w:eastAsia="Times" w:hAnsi="Helvetica" w:cs="Times New Roman"/>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1" w15:restartNumberingAfterBreak="0">
    <w:nsid w:val="79352F79"/>
    <w:multiLevelType w:val="multilevel"/>
    <w:tmpl w:val="FF807026"/>
    <w:lvl w:ilvl="0">
      <w:start w:val="1"/>
      <w:numFmt w:val="decimal"/>
      <w:lvlText w:val="%1"/>
      <w:lvlJc w:val="left"/>
      <w:pPr>
        <w:ind w:left="495" w:hanging="495"/>
      </w:pPr>
      <w:rPr>
        <w:rFonts w:hint="default"/>
        <w:b w:val="0"/>
        <w:color w:val="000000"/>
        <w:sz w:val="24"/>
      </w:rPr>
    </w:lvl>
    <w:lvl w:ilvl="1">
      <w:start w:val="1"/>
      <w:numFmt w:val="decimal"/>
      <w:lvlText w:val="%1.%2"/>
      <w:lvlJc w:val="left"/>
      <w:pPr>
        <w:ind w:left="495" w:hanging="495"/>
      </w:pPr>
      <w:rPr>
        <w:rFonts w:hint="default"/>
        <w:b w:val="0"/>
        <w:color w:val="000000"/>
        <w:sz w:val="24"/>
      </w:rPr>
    </w:lvl>
    <w:lvl w:ilvl="2">
      <w:start w:val="1"/>
      <w:numFmt w:val="decimal"/>
      <w:lvlText w:val="%1.%2.%3"/>
      <w:lvlJc w:val="left"/>
      <w:pPr>
        <w:ind w:left="720" w:hanging="720"/>
      </w:pPr>
      <w:rPr>
        <w:rFonts w:hint="default"/>
        <w:b w:val="0"/>
        <w:color w:val="000000"/>
        <w:sz w:val="24"/>
      </w:rPr>
    </w:lvl>
    <w:lvl w:ilvl="3">
      <w:start w:val="1"/>
      <w:numFmt w:val="decimal"/>
      <w:lvlText w:val="%1.%2.%3.%4"/>
      <w:lvlJc w:val="left"/>
      <w:pPr>
        <w:ind w:left="720" w:hanging="720"/>
      </w:pPr>
      <w:rPr>
        <w:rFonts w:hint="default"/>
        <w:b w:val="0"/>
        <w:color w:val="000000"/>
        <w:sz w:val="24"/>
      </w:rPr>
    </w:lvl>
    <w:lvl w:ilvl="4">
      <w:start w:val="1"/>
      <w:numFmt w:val="decimal"/>
      <w:lvlText w:val="%1.%2.%3.%4.%5"/>
      <w:lvlJc w:val="left"/>
      <w:pPr>
        <w:ind w:left="1080" w:hanging="1080"/>
      </w:pPr>
      <w:rPr>
        <w:rFonts w:hint="default"/>
        <w:b w:val="0"/>
        <w:color w:val="000000"/>
        <w:sz w:val="24"/>
      </w:rPr>
    </w:lvl>
    <w:lvl w:ilvl="5">
      <w:start w:val="1"/>
      <w:numFmt w:val="decimal"/>
      <w:lvlText w:val="%1.%2.%3.%4.%5.%6"/>
      <w:lvlJc w:val="left"/>
      <w:pPr>
        <w:ind w:left="1440" w:hanging="1440"/>
      </w:pPr>
      <w:rPr>
        <w:rFonts w:hint="default"/>
        <w:b w:val="0"/>
        <w:color w:val="000000"/>
        <w:sz w:val="24"/>
      </w:rPr>
    </w:lvl>
    <w:lvl w:ilvl="6">
      <w:start w:val="1"/>
      <w:numFmt w:val="decimal"/>
      <w:lvlText w:val="%1.%2.%3.%4.%5.%6.%7"/>
      <w:lvlJc w:val="left"/>
      <w:pPr>
        <w:ind w:left="1440" w:hanging="1440"/>
      </w:pPr>
      <w:rPr>
        <w:rFonts w:hint="default"/>
        <w:b w:val="0"/>
        <w:color w:val="000000"/>
        <w:sz w:val="24"/>
      </w:rPr>
    </w:lvl>
    <w:lvl w:ilvl="7">
      <w:start w:val="1"/>
      <w:numFmt w:val="decimal"/>
      <w:lvlText w:val="%1.%2.%3.%4.%5.%6.%7.%8"/>
      <w:lvlJc w:val="left"/>
      <w:pPr>
        <w:ind w:left="1800" w:hanging="1800"/>
      </w:pPr>
      <w:rPr>
        <w:rFonts w:hint="default"/>
        <w:b w:val="0"/>
        <w:color w:val="000000"/>
        <w:sz w:val="24"/>
      </w:rPr>
    </w:lvl>
    <w:lvl w:ilvl="8">
      <w:start w:val="1"/>
      <w:numFmt w:val="decimal"/>
      <w:lvlText w:val="%1.%2.%3.%4.%5.%6.%7.%8.%9"/>
      <w:lvlJc w:val="left"/>
      <w:pPr>
        <w:ind w:left="1800" w:hanging="1800"/>
      </w:pPr>
      <w:rPr>
        <w:rFonts w:hint="default"/>
        <w:b w:val="0"/>
        <w:color w:val="000000"/>
        <w:sz w:val="24"/>
      </w:rPr>
    </w:lvl>
  </w:abstractNum>
  <w:num w:numId="1">
    <w:abstractNumId w:val="2"/>
  </w:num>
  <w:num w:numId="2">
    <w:abstractNumId w:val="14"/>
  </w:num>
  <w:num w:numId="3">
    <w:abstractNumId w:val="18"/>
  </w:num>
  <w:num w:numId="4">
    <w:abstractNumId w:val="26"/>
  </w:num>
  <w:num w:numId="5">
    <w:abstractNumId w:val="10"/>
  </w:num>
  <w:num w:numId="6">
    <w:abstractNumId w:val="21"/>
  </w:num>
  <w:num w:numId="7">
    <w:abstractNumId w:val="7"/>
  </w:num>
  <w:num w:numId="8">
    <w:abstractNumId w:val="29"/>
  </w:num>
  <w:num w:numId="9">
    <w:abstractNumId w:val="12"/>
  </w:num>
  <w:num w:numId="10">
    <w:abstractNumId w:val="4"/>
  </w:num>
  <w:num w:numId="11">
    <w:abstractNumId w:val="30"/>
  </w:num>
  <w:num w:numId="12">
    <w:abstractNumId w:val="31"/>
  </w:num>
  <w:num w:numId="13">
    <w:abstractNumId w:val="13"/>
  </w:num>
  <w:num w:numId="14">
    <w:abstractNumId w:val="19"/>
  </w:num>
  <w:num w:numId="15">
    <w:abstractNumId w:val="3"/>
  </w:num>
  <w:num w:numId="16">
    <w:abstractNumId w:val="9"/>
  </w:num>
  <w:num w:numId="17">
    <w:abstractNumId w:val="25"/>
  </w:num>
  <w:num w:numId="18">
    <w:abstractNumId w:val="16"/>
  </w:num>
  <w:num w:numId="19">
    <w:abstractNumId w:val="22"/>
  </w:num>
  <w:num w:numId="20">
    <w:abstractNumId w:val="6"/>
  </w:num>
  <w:num w:numId="21">
    <w:abstractNumId w:val="17"/>
  </w:num>
  <w:num w:numId="22">
    <w:abstractNumId w:val="28"/>
  </w:num>
  <w:num w:numId="23">
    <w:abstractNumId w:val="27"/>
  </w:num>
  <w:num w:numId="24">
    <w:abstractNumId w:val="11"/>
  </w:num>
  <w:num w:numId="25">
    <w:abstractNumId w:val="5"/>
  </w:num>
  <w:num w:numId="26">
    <w:abstractNumId w:val="24"/>
  </w:num>
  <w:num w:numId="27">
    <w:abstractNumId w:val="20"/>
  </w:num>
  <w:num w:numId="28">
    <w:abstractNumId w:val="15"/>
  </w:num>
  <w:num w:numId="29">
    <w:abstractNumId w:val="1"/>
  </w:num>
  <w:num w:numId="30">
    <w:abstractNumId w:val="0"/>
  </w:num>
  <w:num w:numId="31">
    <w:abstractNumId w:val="23"/>
  </w:num>
  <w:num w:numId="32">
    <w:abstractNumId w:val="8"/>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337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0C08"/>
    <w:rsid w:val="00000860"/>
    <w:rsid w:val="00001073"/>
    <w:rsid w:val="00001665"/>
    <w:rsid w:val="00002138"/>
    <w:rsid w:val="00002C42"/>
    <w:rsid w:val="000062A8"/>
    <w:rsid w:val="00006D87"/>
    <w:rsid w:val="00007631"/>
    <w:rsid w:val="00007A1A"/>
    <w:rsid w:val="00007B49"/>
    <w:rsid w:val="000108C6"/>
    <w:rsid w:val="0001191A"/>
    <w:rsid w:val="00011968"/>
    <w:rsid w:val="00011E02"/>
    <w:rsid w:val="000125B1"/>
    <w:rsid w:val="000133CB"/>
    <w:rsid w:val="000146B9"/>
    <w:rsid w:val="00022694"/>
    <w:rsid w:val="000228F5"/>
    <w:rsid w:val="00023336"/>
    <w:rsid w:val="0002371B"/>
    <w:rsid w:val="00025434"/>
    <w:rsid w:val="00025E8A"/>
    <w:rsid w:val="0002638E"/>
    <w:rsid w:val="00027CA5"/>
    <w:rsid w:val="0003033A"/>
    <w:rsid w:val="00030B94"/>
    <w:rsid w:val="0003194B"/>
    <w:rsid w:val="00031EF8"/>
    <w:rsid w:val="000335CB"/>
    <w:rsid w:val="000336BD"/>
    <w:rsid w:val="00037753"/>
    <w:rsid w:val="00037AB9"/>
    <w:rsid w:val="00037ACF"/>
    <w:rsid w:val="00040A65"/>
    <w:rsid w:val="000425E9"/>
    <w:rsid w:val="00042ACD"/>
    <w:rsid w:val="00043E1E"/>
    <w:rsid w:val="0004481E"/>
    <w:rsid w:val="0004510A"/>
    <w:rsid w:val="000452C1"/>
    <w:rsid w:val="00045739"/>
    <w:rsid w:val="000474A7"/>
    <w:rsid w:val="00047819"/>
    <w:rsid w:val="0005119B"/>
    <w:rsid w:val="000532D5"/>
    <w:rsid w:val="0005334E"/>
    <w:rsid w:val="0005592F"/>
    <w:rsid w:val="00056702"/>
    <w:rsid w:val="00056B39"/>
    <w:rsid w:val="000571BF"/>
    <w:rsid w:val="0006019F"/>
    <w:rsid w:val="00060D58"/>
    <w:rsid w:val="00061466"/>
    <w:rsid w:val="0006335A"/>
    <w:rsid w:val="00063E54"/>
    <w:rsid w:val="00064325"/>
    <w:rsid w:val="00065055"/>
    <w:rsid w:val="00065CAC"/>
    <w:rsid w:val="00066995"/>
    <w:rsid w:val="0006736D"/>
    <w:rsid w:val="000701F5"/>
    <w:rsid w:val="000704D5"/>
    <w:rsid w:val="00071207"/>
    <w:rsid w:val="00071D0F"/>
    <w:rsid w:val="0007263E"/>
    <w:rsid w:val="00072BF4"/>
    <w:rsid w:val="0007352D"/>
    <w:rsid w:val="00074624"/>
    <w:rsid w:val="00074861"/>
    <w:rsid w:val="0007599E"/>
    <w:rsid w:val="00076001"/>
    <w:rsid w:val="000761A9"/>
    <w:rsid w:val="00077492"/>
    <w:rsid w:val="0007793C"/>
    <w:rsid w:val="00080110"/>
    <w:rsid w:val="000813F1"/>
    <w:rsid w:val="0008174F"/>
    <w:rsid w:val="00083D78"/>
    <w:rsid w:val="0008508C"/>
    <w:rsid w:val="000855C9"/>
    <w:rsid w:val="000858A1"/>
    <w:rsid w:val="000860FA"/>
    <w:rsid w:val="000865F8"/>
    <w:rsid w:val="00086A2F"/>
    <w:rsid w:val="00086BCB"/>
    <w:rsid w:val="0008715E"/>
    <w:rsid w:val="00091DDC"/>
    <w:rsid w:val="0009223E"/>
    <w:rsid w:val="000932CB"/>
    <w:rsid w:val="0009444F"/>
    <w:rsid w:val="0009667B"/>
    <w:rsid w:val="00097366"/>
    <w:rsid w:val="00097399"/>
    <w:rsid w:val="000A0CCA"/>
    <w:rsid w:val="000A1C30"/>
    <w:rsid w:val="000A1ECC"/>
    <w:rsid w:val="000A2223"/>
    <w:rsid w:val="000A3A94"/>
    <w:rsid w:val="000A3F11"/>
    <w:rsid w:val="000A4267"/>
    <w:rsid w:val="000A42C7"/>
    <w:rsid w:val="000A5524"/>
    <w:rsid w:val="000A5AD9"/>
    <w:rsid w:val="000A67CC"/>
    <w:rsid w:val="000A69B3"/>
    <w:rsid w:val="000A7836"/>
    <w:rsid w:val="000A7C6F"/>
    <w:rsid w:val="000B15CC"/>
    <w:rsid w:val="000B1A8F"/>
    <w:rsid w:val="000B4B49"/>
    <w:rsid w:val="000B7240"/>
    <w:rsid w:val="000C054D"/>
    <w:rsid w:val="000C1D35"/>
    <w:rsid w:val="000C2D0D"/>
    <w:rsid w:val="000C366E"/>
    <w:rsid w:val="000C3D21"/>
    <w:rsid w:val="000C4709"/>
    <w:rsid w:val="000C5184"/>
    <w:rsid w:val="000C59EB"/>
    <w:rsid w:val="000C5B7F"/>
    <w:rsid w:val="000D0F44"/>
    <w:rsid w:val="000D171B"/>
    <w:rsid w:val="000D24BF"/>
    <w:rsid w:val="000D3E37"/>
    <w:rsid w:val="000D4C48"/>
    <w:rsid w:val="000D4DA2"/>
    <w:rsid w:val="000D647C"/>
    <w:rsid w:val="000D709B"/>
    <w:rsid w:val="000D7747"/>
    <w:rsid w:val="000E0C3E"/>
    <w:rsid w:val="000E1230"/>
    <w:rsid w:val="000E359F"/>
    <w:rsid w:val="000E3EE7"/>
    <w:rsid w:val="000E456C"/>
    <w:rsid w:val="000E4ABF"/>
    <w:rsid w:val="000E5301"/>
    <w:rsid w:val="000E5C88"/>
    <w:rsid w:val="000E702A"/>
    <w:rsid w:val="000F2663"/>
    <w:rsid w:val="000F38BA"/>
    <w:rsid w:val="000F549B"/>
    <w:rsid w:val="000F5650"/>
    <w:rsid w:val="000F6095"/>
    <w:rsid w:val="000F642C"/>
    <w:rsid w:val="000F6F96"/>
    <w:rsid w:val="00100A0E"/>
    <w:rsid w:val="00100F79"/>
    <w:rsid w:val="0010109A"/>
    <w:rsid w:val="0010149D"/>
    <w:rsid w:val="00101527"/>
    <w:rsid w:val="00101BD1"/>
    <w:rsid w:val="00104147"/>
    <w:rsid w:val="0010441D"/>
    <w:rsid w:val="00106779"/>
    <w:rsid w:val="001069B9"/>
    <w:rsid w:val="0010784A"/>
    <w:rsid w:val="00110403"/>
    <w:rsid w:val="00110AB4"/>
    <w:rsid w:val="00112DCD"/>
    <w:rsid w:val="00112FB6"/>
    <w:rsid w:val="00114D6A"/>
    <w:rsid w:val="00115569"/>
    <w:rsid w:val="00116E69"/>
    <w:rsid w:val="0011718D"/>
    <w:rsid w:val="00120371"/>
    <w:rsid w:val="00121E2D"/>
    <w:rsid w:val="00122223"/>
    <w:rsid w:val="00122DAE"/>
    <w:rsid w:val="0012428D"/>
    <w:rsid w:val="00132179"/>
    <w:rsid w:val="0013385C"/>
    <w:rsid w:val="00133F49"/>
    <w:rsid w:val="0013464E"/>
    <w:rsid w:val="0013542D"/>
    <w:rsid w:val="001402CF"/>
    <w:rsid w:val="001418F2"/>
    <w:rsid w:val="001432BB"/>
    <w:rsid w:val="00144EC6"/>
    <w:rsid w:val="00145EFD"/>
    <w:rsid w:val="00146EB2"/>
    <w:rsid w:val="00147469"/>
    <w:rsid w:val="00147C38"/>
    <w:rsid w:val="00147D6F"/>
    <w:rsid w:val="001509A7"/>
    <w:rsid w:val="00150C2E"/>
    <w:rsid w:val="00152CA6"/>
    <w:rsid w:val="00153338"/>
    <w:rsid w:val="00153486"/>
    <w:rsid w:val="00154F3F"/>
    <w:rsid w:val="00156A9B"/>
    <w:rsid w:val="001617C6"/>
    <w:rsid w:val="00161949"/>
    <w:rsid w:val="00165031"/>
    <w:rsid w:val="0016540C"/>
    <w:rsid w:val="001674F6"/>
    <w:rsid w:val="00170A4F"/>
    <w:rsid w:val="00171B3A"/>
    <w:rsid w:val="00171DE3"/>
    <w:rsid w:val="00173E9E"/>
    <w:rsid w:val="0017408A"/>
    <w:rsid w:val="00177B2C"/>
    <w:rsid w:val="00180738"/>
    <w:rsid w:val="0018096F"/>
    <w:rsid w:val="00180A34"/>
    <w:rsid w:val="00180D71"/>
    <w:rsid w:val="00181456"/>
    <w:rsid w:val="00181EC0"/>
    <w:rsid w:val="0018391E"/>
    <w:rsid w:val="00184322"/>
    <w:rsid w:val="00185309"/>
    <w:rsid w:val="00186A0F"/>
    <w:rsid w:val="00190F79"/>
    <w:rsid w:val="001927FC"/>
    <w:rsid w:val="001930DE"/>
    <w:rsid w:val="00193B24"/>
    <w:rsid w:val="00193D67"/>
    <w:rsid w:val="00195F25"/>
    <w:rsid w:val="00196208"/>
    <w:rsid w:val="001A0A5E"/>
    <w:rsid w:val="001A2321"/>
    <w:rsid w:val="001A2D0D"/>
    <w:rsid w:val="001A3F08"/>
    <w:rsid w:val="001A443F"/>
    <w:rsid w:val="001A5857"/>
    <w:rsid w:val="001A5E0C"/>
    <w:rsid w:val="001A5FE1"/>
    <w:rsid w:val="001A7F45"/>
    <w:rsid w:val="001B00CD"/>
    <w:rsid w:val="001B0AD3"/>
    <w:rsid w:val="001B0AE9"/>
    <w:rsid w:val="001B0BB1"/>
    <w:rsid w:val="001B0DAD"/>
    <w:rsid w:val="001B1746"/>
    <w:rsid w:val="001B34D0"/>
    <w:rsid w:val="001B38D6"/>
    <w:rsid w:val="001B6A09"/>
    <w:rsid w:val="001C0DC5"/>
    <w:rsid w:val="001C356D"/>
    <w:rsid w:val="001C3F16"/>
    <w:rsid w:val="001C4715"/>
    <w:rsid w:val="001C541F"/>
    <w:rsid w:val="001C6190"/>
    <w:rsid w:val="001C7DA1"/>
    <w:rsid w:val="001D0F2A"/>
    <w:rsid w:val="001D13BA"/>
    <w:rsid w:val="001D1617"/>
    <w:rsid w:val="001D23EC"/>
    <w:rsid w:val="001D261C"/>
    <w:rsid w:val="001D315D"/>
    <w:rsid w:val="001D420A"/>
    <w:rsid w:val="001D479B"/>
    <w:rsid w:val="001D5820"/>
    <w:rsid w:val="001D5F25"/>
    <w:rsid w:val="001D758F"/>
    <w:rsid w:val="001E0D6D"/>
    <w:rsid w:val="001E2E6D"/>
    <w:rsid w:val="001E6FC4"/>
    <w:rsid w:val="001F0106"/>
    <w:rsid w:val="001F23B0"/>
    <w:rsid w:val="001F477A"/>
    <w:rsid w:val="001F4F99"/>
    <w:rsid w:val="001F4F9E"/>
    <w:rsid w:val="001F5DD2"/>
    <w:rsid w:val="001F77B9"/>
    <w:rsid w:val="001F7B37"/>
    <w:rsid w:val="002018E8"/>
    <w:rsid w:val="00201C37"/>
    <w:rsid w:val="00202B2A"/>
    <w:rsid w:val="00202D8E"/>
    <w:rsid w:val="00204065"/>
    <w:rsid w:val="0020458F"/>
    <w:rsid w:val="00207984"/>
    <w:rsid w:val="002103A5"/>
    <w:rsid w:val="00210EB6"/>
    <w:rsid w:val="00211146"/>
    <w:rsid w:val="002125C9"/>
    <w:rsid w:val="00212A68"/>
    <w:rsid w:val="00214265"/>
    <w:rsid w:val="002149BB"/>
    <w:rsid w:val="0021557D"/>
    <w:rsid w:val="002157C1"/>
    <w:rsid w:val="00216397"/>
    <w:rsid w:val="002175BB"/>
    <w:rsid w:val="00220A84"/>
    <w:rsid w:val="00220DF1"/>
    <w:rsid w:val="002219D5"/>
    <w:rsid w:val="00221BBB"/>
    <w:rsid w:val="002234CA"/>
    <w:rsid w:val="00223BD4"/>
    <w:rsid w:val="00227586"/>
    <w:rsid w:val="002275BB"/>
    <w:rsid w:val="00231E55"/>
    <w:rsid w:val="002321AC"/>
    <w:rsid w:val="00232B9C"/>
    <w:rsid w:val="002339B4"/>
    <w:rsid w:val="0023459D"/>
    <w:rsid w:val="00235C8E"/>
    <w:rsid w:val="00236501"/>
    <w:rsid w:val="00237326"/>
    <w:rsid w:val="00241A4C"/>
    <w:rsid w:val="00241EEC"/>
    <w:rsid w:val="002423E2"/>
    <w:rsid w:val="00242972"/>
    <w:rsid w:val="00242978"/>
    <w:rsid w:val="00242C09"/>
    <w:rsid w:val="0024331E"/>
    <w:rsid w:val="002434C4"/>
    <w:rsid w:val="00245254"/>
    <w:rsid w:val="00246790"/>
    <w:rsid w:val="00246DFD"/>
    <w:rsid w:val="00247571"/>
    <w:rsid w:val="00247BA8"/>
    <w:rsid w:val="0025098F"/>
    <w:rsid w:val="002511E8"/>
    <w:rsid w:val="002512E1"/>
    <w:rsid w:val="00251E08"/>
    <w:rsid w:val="00252019"/>
    <w:rsid w:val="00253BE3"/>
    <w:rsid w:val="00254CEA"/>
    <w:rsid w:val="002577F4"/>
    <w:rsid w:val="00260375"/>
    <w:rsid w:val="00261DB3"/>
    <w:rsid w:val="00262BFD"/>
    <w:rsid w:val="00265298"/>
    <w:rsid w:val="00265668"/>
    <w:rsid w:val="00265E08"/>
    <w:rsid w:val="00266333"/>
    <w:rsid w:val="00267015"/>
    <w:rsid w:val="00267405"/>
    <w:rsid w:val="002675F2"/>
    <w:rsid w:val="00270401"/>
    <w:rsid w:val="00272DC8"/>
    <w:rsid w:val="00273520"/>
    <w:rsid w:val="00274DEE"/>
    <w:rsid w:val="00277E1E"/>
    <w:rsid w:val="002810D1"/>
    <w:rsid w:val="0028164F"/>
    <w:rsid w:val="00282032"/>
    <w:rsid w:val="00284BBC"/>
    <w:rsid w:val="0029157C"/>
    <w:rsid w:val="00293A02"/>
    <w:rsid w:val="0029452C"/>
    <w:rsid w:val="00294B88"/>
    <w:rsid w:val="0029702E"/>
    <w:rsid w:val="00297560"/>
    <w:rsid w:val="00297BBD"/>
    <w:rsid w:val="00297D74"/>
    <w:rsid w:val="002A02E9"/>
    <w:rsid w:val="002A201A"/>
    <w:rsid w:val="002A264C"/>
    <w:rsid w:val="002A4412"/>
    <w:rsid w:val="002B0C29"/>
    <w:rsid w:val="002B2107"/>
    <w:rsid w:val="002B2DDF"/>
    <w:rsid w:val="002B3387"/>
    <w:rsid w:val="002B353D"/>
    <w:rsid w:val="002B3C1A"/>
    <w:rsid w:val="002B6935"/>
    <w:rsid w:val="002B73D9"/>
    <w:rsid w:val="002B7FA0"/>
    <w:rsid w:val="002C2826"/>
    <w:rsid w:val="002C386E"/>
    <w:rsid w:val="002C4672"/>
    <w:rsid w:val="002C4C07"/>
    <w:rsid w:val="002C57E0"/>
    <w:rsid w:val="002C5813"/>
    <w:rsid w:val="002C5F4A"/>
    <w:rsid w:val="002C6537"/>
    <w:rsid w:val="002C7621"/>
    <w:rsid w:val="002D0F80"/>
    <w:rsid w:val="002D19C3"/>
    <w:rsid w:val="002D365A"/>
    <w:rsid w:val="002D6A47"/>
    <w:rsid w:val="002D73AB"/>
    <w:rsid w:val="002E16D9"/>
    <w:rsid w:val="002E16E3"/>
    <w:rsid w:val="002E1A15"/>
    <w:rsid w:val="002E1BAB"/>
    <w:rsid w:val="002E275B"/>
    <w:rsid w:val="002E27F7"/>
    <w:rsid w:val="002E28E3"/>
    <w:rsid w:val="002E301F"/>
    <w:rsid w:val="002E328D"/>
    <w:rsid w:val="002E3748"/>
    <w:rsid w:val="002E37B8"/>
    <w:rsid w:val="002E438B"/>
    <w:rsid w:val="002E56D6"/>
    <w:rsid w:val="002E6C34"/>
    <w:rsid w:val="002F0164"/>
    <w:rsid w:val="002F137E"/>
    <w:rsid w:val="002F1B31"/>
    <w:rsid w:val="002F23E7"/>
    <w:rsid w:val="002F3464"/>
    <w:rsid w:val="002F5BFE"/>
    <w:rsid w:val="0030238C"/>
    <w:rsid w:val="00302BE6"/>
    <w:rsid w:val="00303AE4"/>
    <w:rsid w:val="00304567"/>
    <w:rsid w:val="00305039"/>
    <w:rsid w:val="00305832"/>
    <w:rsid w:val="003067F0"/>
    <w:rsid w:val="00306B6D"/>
    <w:rsid w:val="003114C4"/>
    <w:rsid w:val="003117EE"/>
    <w:rsid w:val="00313576"/>
    <w:rsid w:val="00313CBB"/>
    <w:rsid w:val="003155B0"/>
    <w:rsid w:val="00315A3F"/>
    <w:rsid w:val="003162E2"/>
    <w:rsid w:val="00316BB0"/>
    <w:rsid w:val="0031708F"/>
    <w:rsid w:val="003174EC"/>
    <w:rsid w:val="00317850"/>
    <w:rsid w:val="00320F69"/>
    <w:rsid w:val="00323AD2"/>
    <w:rsid w:val="00323F00"/>
    <w:rsid w:val="00324158"/>
    <w:rsid w:val="00324F9C"/>
    <w:rsid w:val="00326B8A"/>
    <w:rsid w:val="003273EE"/>
    <w:rsid w:val="003314ED"/>
    <w:rsid w:val="003317B0"/>
    <w:rsid w:val="00331B39"/>
    <w:rsid w:val="0033257B"/>
    <w:rsid w:val="00332C60"/>
    <w:rsid w:val="00335D1F"/>
    <w:rsid w:val="00335DEA"/>
    <w:rsid w:val="00337EC9"/>
    <w:rsid w:val="00340919"/>
    <w:rsid w:val="00340EC0"/>
    <w:rsid w:val="00341FF6"/>
    <w:rsid w:val="0034434D"/>
    <w:rsid w:val="00344EB0"/>
    <w:rsid w:val="0034691C"/>
    <w:rsid w:val="00347FA9"/>
    <w:rsid w:val="003504D1"/>
    <w:rsid w:val="0035098E"/>
    <w:rsid w:val="00351F8D"/>
    <w:rsid w:val="003520A6"/>
    <w:rsid w:val="00352997"/>
    <w:rsid w:val="00352B85"/>
    <w:rsid w:val="00354932"/>
    <w:rsid w:val="0035575E"/>
    <w:rsid w:val="00355B5B"/>
    <w:rsid w:val="003561EA"/>
    <w:rsid w:val="00357DC1"/>
    <w:rsid w:val="003601F1"/>
    <w:rsid w:val="003604B7"/>
    <w:rsid w:val="00360A46"/>
    <w:rsid w:val="00360F35"/>
    <w:rsid w:val="0036108A"/>
    <w:rsid w:val="00362FAD"/>
    <w:rsid w:val="003630B4"/>
    <w:rsid w:val="003633D5"/>
    <w:rsid w:val="003652AC"/>
    <w:rsid w:val="00365C85"/>
    <w:rsid w:val="00367333"/>
    <w:rsid w:val="003676F6"/>
    <w:rsid w:val="00367B81"/>
    <w:rsid w:val="00370D91"/>
    <w:rsid w:val="00371018"/>
    <w:rsid w:val="00372994"/>
    <w:rsid w:val="00373741"/>
    <w:rsid w:val="00373B8E"/>
    <w:rsid w:val="00374D1E"/>
    <w:rsid w:val="003750F2"/>
    <w:rsid w:val="00377D22"/>
    <w:rsid w:val="003802C3"/>
    <w:rsid w:val="00381078"/>
    <w:rsid w:val="003832B4"/>
    <w:rsid w:val="00383A89"/>
    <w:rsid w:val="00384000"/>
    <w:rsid w:val="003853B3"/>
    <w:rsid w:val="00385522"/>
    <w:rsid w:val="00385FA4"/>
    <w:rsid w:val="0038700D"/>
    <w:rsid w:val="00390932"/>
    <w:rsid w:val="003911EC"/>
    <w:rsid w:val="00392EB0"/>
    <w:rsid w:val="00394534"/>
    <w:rsid w:val="003952B3"/>
    <w:rsid w:val="0039762D"/>
    <w:rsid w:val="00397D45"/>
    <w:rsid w:val="00397F11"/>
    <w:rsid w:val="003A18EE"/>
    <w:rsid w:val="003A2259"/>
    <w:rsid w:val="003A2503"/>
    <w:rsid w:val="003A4B9C"/>
    <w:rsid w:val="003A56ED"/>
    <w:rsid w:val="003A70A8"/>
    <w:rsid w:val="003A73DF"/>
    <w:rsid w:val="003A789E"/>
    <w:rsid w:val="003A7EFA"/>
    <w:rsid w:val="003B1ADA"/>
    <w:rsid w:val="003B2B9A"/>
    <w:rsid w:val="003B35D6"/>
    <w:rsid w:val="003B470D"/>
    <w:rsid w:val="003B5230"/>
    <w:rsid w:val="003B525E"/>
    <w:rsid w:val="003B5480"/>
    <w:rsid w:val="003B5CD6"/>
    <w:rsid w:val="003B6F31"/>
    <w:rsid w:val="003B785B"/>
    <w:rsid w:val="003C0615"/>
    <w:rsid w:val="003C134F"/>
    <w:rsid w:val="003C289B"/>
    <w:rsid w:val="003C2C4D"/>
    <w:rsid w:val="003C6043"/>
    <w:rsid w:val="003D1402"/>
    <w:rsid w:val="003D2962"/>
    <w:rsid w:val="003D2FCB"/>
    <w:rsid w:val="003D34B3"/>
    <w:rsid w:val="003D4CA0"/>
    <w:rsid w:val="003D54AD"/>
    <w:rsid w:val="003D579C"/>
    <w:rsid w:val="003D6752"/>
    <w:rsid w:val="003E4FEF"/>
    <w:rsid w:val="003E6058"/>
    <w:rsid w:val="003E631E"/>
    <w:rsid w:val="003E7D99"/>
    <w:rsid w:val="003E7F32"/>
    <w:rsid w:val="003F04E4"/>
    <w:rsid w:val="003F10F7"/>
    <w:rsid w:val="003F22B5"/>
    <w:rsid w:val="003F263E"/>
    <w:rsid w:val="003F30B3"/>
    <w:rsid w:val="003F390F"/>
    <w:rsid w:val="003F3999"/>
    <w:rsid w:val="003F5739"/>
    <w:rsid w:val="003F6265"/>
    <w:rsid w:val="004007C9"/>
    <w:rsid w:val="00401374"/>
    <w:rsid w:val="00402077"/>
    <w:rsid w:val="004049D8"/>
    <w:rsid w:val="00405C9D"/>
    <w:rsid w:val="00405FB5"/>
    <w:rsid w:val="004064E6"/>
    <w:rsid w:val="004066BC"/>
    <w:rsid w:val="004066E4"/>
    <w:rsid w:val="0040677A"/>
    <w:rsid w:val="00407791"/>
    <w:rsid w:val="0041057F"/>
    <w:rsid w:val="00411584"/>
    <w:rsid w:val="00412771"/>
    <w:rsid w:val="004135B9"/>
    <w:rsid w:val="00413C1A"/>
    <w:rsid w:val="00413F0C"/>
    <w:rsid w:val="00414448"/>
    <w:rsid w:val="004149D2"/>
    <w:rsid w:val="00417F6D"/>
    <w:rsid w:val="00420272"/>
    <w:rsid w:val="004217D3"/>
    <w:rsid w:val="00421B07"/>
    <w:rsid w:val="004232F2"/>
    <w:rsid w:val="00423464"/>
    <w:rsid w:val="00424BDA"/>
    <w:rsid w:val="0042536A"/>
    <w:rsid w:val="00426C88"/>
    <w:rsid w:val="00426DB7"/>
    <w:rsid w:val="00430558"/>
    <w:rsid w:val="00430F51"/>
    <w:rsid w:val="004312AC"/>
    <w:rsid w:val="004317CA"/>
    <w:rsid w:val="0043281D"/>
    <w:rsid w:val="004328AB"/>
    <w:rsid w:val="00433008"/>
    <w:rsid w:val="00433389"/>
    <w:rsid w:val="00435B66"/>
    <w:rsid w:val="00440F62"/>
    <w:rsid w:val="004426F3"/>
    <w:rsid w:val="00444821"/>
    <w:rsid w:val="00445FAB"/>
    <w:rsid w:val="00446F66"/>
    <w:rsid w:val="004477B7"/>
    <w:rsid w:val="00447ED6"/>
    <w:rsid w:val="00447F26"/>
    <w:rsid w:val="0045143B"/>
    <w:rsid w:val="00451D0E"/>
    <w:rsid w:val="00454890"/>
    <w:rsid w:val="00454AC8"/>
    <w:rsid w:val="00456264"/>
    <w:rsid w:val="004563F1"/>
    <w:rsid w:val="0046075D"/>
    <w:rsid w:val="004619DA"/>
    <w:rsid w:val="00465164"/>
    <w:rsid w:val="00465241"/>
    <w:rsid w:val="00465F51"/>
    <w:rsid w:val="00467B2E"/>
    <w:rsid w:val="00470AEA"/>
    <w:rsid w:val="00471F38"/>
    <w:rsid w:val="00472FF6"/>
    <w:rsid w:val="0047455C"/>
    <w:rsid w:val="0047482E"/>
    <w:rsid w:val="00474D44"/>
    <w:rsid w:val="00477AD3"/>
    <w:rsid w:val="00480B42"/>
    <w:rsid w:val="0048112F"/>
    <w:rsid w:val="0048123F"/>
    <w:rsid w:val="00482253"/>
    <w:rsid w:val="004827B1"/>
    <w:rsid w:val="00484836"/>
    <w:rsid w:val="0048683E"/>
    <w:rsid w:val="00486DE9"/>
    <w:rsid w:val="00486F0B"/>
    <w:rsid w:val="00487BD3"/>
    <w:rsid w:val="004908CE"/>
    <w:rsid w:val="00490EFF"/>
    <w:rsid w:val="004912F2"/>
    <w:rsid w:val="00492DE4"/>
    <w:rsid w:val="00494E1F"/>
    <w:rsid w:val="00494FCA"/>
    <w:rsid w:val="00495A4A"/>
    <w:rsid w:val="004961BA"/>
    <w:rsid w:val="004A21C3"/>
    <w:rsid w:val="004A28F8"/>
    <w:rsid w:val="004A38A6"/>
    <w:rsid w:val="004A5E06"/>
    <w:rsid w:val="004A7985"/>
    <w:rsid w:val="004B126C"/>
    <w:rsid w:val="004B1477"/>
    <w:rsid w:val="004B3D80"/>
    <w:rsid w:val="004B4537"/>
    <w:rsid w:val="004B73A7"/>
    <w:rsid w:val="004C1691"/>
    <w:rsid w:val="004C2221"/>
    <w:rsid w:val="004C23C8"/>
    <w:rsid w:val="004C31E9"/>
    <w:rsid w:val="004C3AD6"/>
    <w:rsid w:val="004C3D9D"/>
    <w:rsid w:val="004C51C1"/>
    <w:rsid w:val="004C714C"/>
    <w:rsid w:val="004C74BD"/>
    <w:rsid w:val="004D0081"/>
    <w:rsid w:val="004D1234"/>
    <w:rsid w:val="004D1C37"/>
    <w:rsid w:val="004D24EC"/>
    <w:rsid w:val="004D3017"/>
    <w:rsid w:val="004D430B"/>
    <w:rsid w:val="004D7718"/>
    <w:rsid w:val="004E05C8"/>
    <w:rsid w:val="004E1418"/>
    <w:rsid w:val="004E1B07"/>
    <w:rsid w:val="004E1E55"/>
    <w:rsid w:val="004E23B3"/>
    <w:rsid w:val="004E4106"/>
    <w:rsid w:val="004E49E4"/>
    <w:rsid w:val="004E4F18"/>
    <w:rsid w:val="004E5E72"/>
    <w:rsid w:val="004E5E84"/>
    <w:rsid w:val="004E7325"/>
    <w:rsid w:val="004F0890"/>
    <w:rsid w:val="004F3DE2"/>
    <w:rsid w:val="004F47DD"/>
    <w:rsid w:val="004F48C9"/>
    <w:rsid w:val="004F5849"/>
    <w:rsid w:val="004F5D18"/>
    <w:rsid w:val="004F5DFD"/>
    <w:rsid w:val="004F6ABC"/>
    <w:rsid w:val="00500A72"/>
    <w:rsid w:val="00500B0A"/>
    <w:rsid w:val="00502E22"/>
    <w:rsid w:val="005044A3"/>
    <w:rsid w:val="00504F9B"/>
    <w:rsid w:val="0050507B"/>
    <w:rsid w:val="00505A45"/>
    <w:rsid w:val="00507583"/>
    <w:rsid w:val="00511FB5"/>
    <w:rsid w:val="005149BA"/>
    <w:rsid w:val="00514A2B"/>
    <w:rsid w:val="00514BE8"/>
    <w:rsid w:val="00514BFD"/>
    <w:rsid w:val="00515ED1"/>
    <w:rsid w:val="00516143"/>
    <w:rsid w:val="0051617A"/>
    <w:rsid w:val="00516B18"/>
    <w:rsid w:val="005178B1"/>
    <w:rsid w:val="005206AD"/>
    <w:rsid w:val="00520993"/>
    <w:rsid w:val="00520B6D"/>
    <w:rsid w:val="005221FD"/>
    <w:rsid w:val="005229F8"/>
    <w:rsid w:val="005238F0"/>
    <w:rsid w:val="00525387"/>
    <w:rsid w:val="00526EE8"/>
    <w:rsid w:val="005306F5"/>
    <w:rsid w:val="0053183D"/>
    <w:rsid w:val="00531868"/>
    <w:rsid w:val="00531E60"/>
    <w:rsid w:val="00532045"/>
    <w:rsid w:val="005333A6"/>
    <w:rsid w:val="00533D8F"/>
    <w:rsid w:val="005346C1"/>
    <w:rsid w:val="00534DED"/>
    <w:rsid w:val="005367A3"/>
    <w:rsid w:val="00536DFA"/>
    <w:rsid w:val="00536E6E"/>
    <w:rsid w:val="00537078"/>
    <w:rsid w:val="005408A7"/>
    <w:rsid w:val="0054145C"/>
    <w:rsid w:val="0054229C"/>
    <w:rsid w:val="00542641"/>
    <w:rsid w:val="0054358E"/>
    <w:rsid w:val="00544553"/>
    <w:rsid w:val="005447E1"/>
    <w:rsid w:val="00547122"/>
    <w:rsid w:val="0054726B"/>
    <w:rsid w:val="005473D4"/>
    <w:rsid w:val="00547880"/>
    <w:rsid w:val="00550F9D"/>
    <w:rsid w:val="005510A6"/>
    <w:rsid w:val="00553002"/>
    <w:rsid w:val="00553079"/>
    <w:rsid w:val="00553E86"/>
    <w:rsid w:val="00553FE0"/>
    <w:rsid w:val="00554F78"/>
    <w:rsid w:val="0055518B"/>
    <w:rsid w:val="0055772C"/>
    <w:rsid w:val="00561BD6"/>
    <w:rsid w:val="00561FBB"/>
    <w:rsid w:val="0056254E"/>
    <w:rsid w:val="005639E6"/>
    <w:rsid w:val="00564162"/>
    <w:rsid w:val="005645BA"/>
    <w:rsid w:val="005651B7"/>
    <w:rsid w:val="00565319"/>
    <w:rsid w:val="005678E3"/>
    <w:rsid w:val="00567D42"/>
    <w:rsid w:val="00572158"/>
    <w:rsid w:val="0057236F"/>
    <w:rsid w:val="00572D58"/>
    <w:rsid w:val="005732ED"/>
    <w:rsid w:val="00574531"/>
    <w:rsid w:val="00575052"/>
    <w:rsid w:val="00576157"/>
    <w:rsid w:val="005763DF"/>
    <w:rsid w:val="00576DC1"/>
    <w:rsid w:val="00577287"/>
    <w:rsid w:val="00580247"/>
    <w:rsid w:val="00580295"/>
    <w:rsid w:val="00581884"/>
    <w:rsid w:val="00582712"/>
    <w:rsid w:val="005832F3"/>
    <w:rsid w:val="00583459"/>
    <w:rsid w:val="0058498F"/>
    <w:rsid w:val="0058542D"/>
    <w:rsid w:val="005858F2"/>
    <w:rsid w:val="00586707"/>
    <w:rsid w:val="00586DF7"/>
    <w:rsid w:val="00586F5C"/>
    <w:rsid w:val="00587D95"/>
    <w:rsid w:val="00590540"/>
    <w:rsid w:val="00590A46"/>
    <w:rsid w:val="005914BC"/>
    <w:rsid w:val="00591F93"/>
    <w:rsid w:val="0059328D"/>
    <w:rsid w:val="00594B4A"/>
    <w:rsid w:val="00596060"/>
    <w:rsid w:val="005A0377"/>
    <w:rsid w:val="005A3666"/>
    <w:rsid w:val="005A476D"/>
    <w:rsid w:val="005A4960"/>
    <w:rsid w:val="005A7251"/>
    <w:rsid w:val="005A72E2"/>
    <w:rsid w:val="005A7CAF"/>
    <w:rsid w:val="005A7DBB"/>
    <w:rsid w:val="005B0536"/>
    <w:rsid w:val="005B0639"/>
    <w:rsid w:val="005B06ED"/>
    <w:rsid w:val="005B0F38"/>
    <w:rsid w:val="005B1E6A"/>
    <w:rsid w:val="005B26C2"/>
    <w:rsid w:val="005B3D23"/>
    <w:rsid w:val="005B45D1"/>
    <w:rsid w:val="005B6296"/>
    <w:rsid w:val="005B65A1"/>
    <w:rsid w:val="005B7980"/>
    <w:rsid w:val="005C1B80"/>
    <w:rsid w:val="005C35AE"/>
    <w:rsid w:val="005C49FB"/>
    <w:rsid w:val="005C6416"/>
    <w:rsid w:val="005C6761"/>
    <w:rsid w:val="005C6EB6"/>
    <w:rsid w:val="005D00B5"/>
    <w:rsid w:val="005D2DD4"/>
    <w:rsid w:val="005D42AB"/>
    <w:rsid w:val="005D4D9F"/>
    <w:rsid w:val="005D50D7"/>
    <w:rsid w:val="005D5167"/>
    <w:rsid w:val="005D632B"/>
    <w:rsid w:val="005D68DA"/>
    <w:rsid w:val="005D6C29"/>
    <w:rsid w:val="005D6C3D"/>
    <w:rsid w:val="005D6FDE"/>
    <w:rsid w:val="005D71DB"/>
    <w:rsid w:val="005D7329"/>
    <w:rsid w:val="005E06A6"/>
    <w:rsid w:val="005E113C"/>
    <w:rsid w:val="005E13A1"/>
    <w:rsid w:val="005E144A"/>
    <w:rsid w:val="005E22A2"/>
    <w:rsid w:val="005E2869"/>
    <w:rsid w:val="005E3491"/>
    <w:rsid w:val="005E3E02"/>
    <w:rsid w:val="005E5F06"/>
    <w:rsid w:val="005E7321"/>
    <w:rsid w:val="005E7CDB"/>
    <w:rsid w:val="005F03B8"/>
    <w:rsid w:val="005F0D01"/>
    <w:rsid w:val="005F1428"/>
    <w:rsid w:val="005F2DB3"/>
    <w:rsid w:val="005F3EDB"/>
    <w:rsid w:val="005F497A"/>
    <w:rsid w:val="005F49FE"/>
    <w:rsid w:val="005F4D83"/>
    <w:rsid w:val="005F5F9E"/>
    <w:rsid w:val="00601E88"/>
    <w:rsid w:val="00603139"/>
    <w:rsid w:val="00604201"/>
    <w:rsid w:val="00605791"/>
    <w:rsid w:val="0060772D"/>
    <w:rsid w:val="006077C3"/>
    <w:rsid w:val="006125DA"/>
    <w:rsid w:val="0061264E"/>
    <w:rsid w:val="00613431"/>
    <w:rsid w:val="00613929"/>
    <w:rsid w:val="00613BA1"/>
    <w:rsid w:val="00613D47"/>
    <w:rsid w:val="00613F2E"/>
    <w:rsid w:val="0061464E"/>
    <w:rsid w:val="00614D1A"/>
    <w:rsid w:val="0061680F"/>
    <w:rsid w:val="00616D1F"/>
    <w:rsid w:val="0061707D"/>
    <w:rsid w:val="006172D6"/>
    <w:rsid w:val="00617381"/>
    <w:rsid w:val="00621245"/>
    <w:rsid w:val="00621335"/>
    <w:rsid w:val="00623511"/>
    <w:rsid w:val="0062482E"/>
    <w:rsid w:val="00625D9F"/>
    <w:rsid w:val="0062612D"/>
    <w:rsid w:val="006268C3"/>
    <w:rsid w:val="00626908"/>
    <w:rsid w:val="00626FF7"/>
    <w:rsid w:val="00627068"/>
    <w:rsid w:val="006272F3"/>
    <w:rsid w:val="00627E74"/>
    <w:rsid w:val="006339BF"/>
    <w:rsid w:val="00634671"/>
    <w:rsid w:val="00634BF6"/>
    <w:rsid w:val="006358CD"/>
    <w:rsid w:val="00635D9A"/>
    <w:rsid w:val="00636530"/>
    <w:rsid w:val="006374B9"/>
    <w:rsid w:val="00637C3F"/>
    <w:rsid w:val="00640C92"/>
    <w:rsid w:val="00642121"/>
    <w:rsid w:val="00643873"/>
    <w:rsid w:val="00644049"/>
    <w:rsid w:val="00644A3B"/>
    <w:rsid w:val="00644B3E"/>
    <w:rsid w:val="0064622B"/>
    <w:rsid w:val="0064704D"/>
    <w:rsid w:val="00647555"/>
    <w:rsid w:val="00647D31"/>
    <w:rsid w:val="0065076C"/>
    <w:rsid w:val="00650BB8"/>
    <w:rsid w:val="006534A3"/>
    <w:rsid w:val="00653AF3"/>
    <w:rsid w:val="006550CE"/>
    <w:rsid w:val="006566A6"/>
    <w:rsid w:val="0065673C"/>
    <w:rsid w:val="00656B98"/>
    <w:rsid w:val="0065789E"/>
    <w:rsid w:val="00660FF7"/>
    <w:rsid w:val="006625C8"/>
    <w:rsid w:val="00662BB4"/>
    <w:rsid w:val="00663165"/>
    <w:rsid w:val="00663C06"/>
    <w:rsid w:val="00663D41"/>
    <w:rsid w:val="006644B2"/>
    <w:rsid w:val="006648D4"/>
    <w:rsid w:val="00664C36"/>
    <w:rsid w:val="006650A5"/>
    <w:rsid w:val="006657B2"/>
    <w:rsid w:val="006721CC"/>
    <w:rsid w:val="006731A7"/>
    <w:rsid w:val="00673283"/>
    <w:rsid w:val="006733A1"/>
    <w:rsid w:val="006735E6"/>
    <w:rsid w:val="00674547"/>
    <w:rsid w:val="0067514B"/>
    <w:rsid w:val="00677C8D"/>
    <w:rsid w:val="00680927"/>
    <w:rsid w:val="00681B6D"/>
    <w:rsid w:val="00682B3C"/>
    <w:rsid w:val="006837C5"/>
    <w:rsid w:val="006852D2"/>
    <w:rsid w:val="00686120"/>
    <w:rsid w:val="006863DB"/>
    <w:rsid w:val="006867E6"/>
    <w:rsid w:val="00687088"/>
    <w:rsid w:val="00687B26"/>
    <w:rsid w:val="00687D3A"/>
    <w:rsid w:val="00690847"/>
    <w:rsid w:val="00690BD0"/>
    <w:rsid w:val="006914C8"/>
    <w:rsid w:val="00691973"/>
    <w:rsid w:val="006921B6"/>
    <w:rsid w:val="006955FD"/>
    <w:rsid w:val="00695674"/>
    <w:rsid w:val="006A1566"/>
    <w:rsid w:val="006A17FA"/>
    <w:rsid w:val="006A1ADD"/>
    <w:rsid w:val="006A3001"/>
    <w:rsid w:val="006A30DF"/>
    <w:rsid w:val="006A6505"/>
    <w:rsid w:val="006A65F8"/>
    <w:rsid w:val="006A69D4"/>
    <w:rsid w:val="006B0162"/>
    <w:rsid w:val="006B0EB5"/>
    <w:rsid w:val="006B1739"/>
    <w:rsid w:val="006B1B85"/>
    <w:rsid w:val="006B2171"/>
    <w:rsid w:val="006B444C"/>
    <w:rsid w:val="006B5EC5"/>
    <w:rsid w:val="006B734D"/>
    <w:rsid w:val="006B7E99"/>
    <w:rsid w:val="006C02C0"/>
    <w:rsid w:val="006C2AB7"/>
    <w:rsid w:val="006C2E4E"/>
    <w:rsid w:val="006C3FE4"/>
    <w:rsid w:val="006C4026"/>
    <w:rsid w:val="006C61CD"/>
    <w:rsid w:val="006C65D5"/>
    <w:rsid w:val="006C681C"/>
    <w:rsid w:val="006C7641"/>
    <w:rsid w:val="006D0246"/>
    <w:rsid w:val="006D41BF"/>
    <w:rsid w:val="006D6332"/>
    <w:rsid w:val="006D64DF"/>
    <w:rsid w:val="006D6D00"/>
    <w:rsid w:val="006D7827"/>
    <w:rsid w:val="006D7FE9"/>
    <w:rsid w:val="006E0E56"/>
    <w:rsid w:val="006E11DC"/>
    <w:rsid w:val="006E254F"/>
    <w:rsid w:val="006E25CC"/>
    <w:rsid w:val="006E2AE2"/>
    <w:rsid w:val="006E2BB0"/>
    <w:rsid w:val="006E316E"/>
    <w:rsid w:val="006E40BA"/>
    <w:rsid w:val="006E4238"/>
    <w:rsid w:val="006E51F2"/>
    <w:rsid w:val="006E66D5"/>
    <w:rsid w:val="006F615D"/>
    <w:rsid w:val="006F66C5"/>
    <w:rsid w:val="006F6C69"/>
    <w:rsid w:val="006F7DED"/>
    <w:rsid w:val="00700FCB"/>
    <w:rsid w:val="0070206E"/>
    <w:rsid w:val="007029A9"/>
    <w:rsid w:val="00703F22"/>
    <w:rsid w:val="00704C8D"/>
    <w:rsid w:val="00707118"/>
    <w:rsid w:val="007078EC"/>
    <w:rsid w:val="00710177"/>
    <w:rsid w:val="007106E8"/>
    <w:rsid w:val="00711E78"/>
    <w:rsid w:val="007129DE"/>
    <w:rsid w:val="007131A6"/>
    <w:rsid w:val="0071410D"/>
    <w:rsid w:val="007149D9"/>
    <w:rsid w:val="00714B15"/>
    <w:rsid w:val="00714FCC"/>
    <w:rsid w:val="00715890"/>
    <w:rsid w:val="00715958"/>
    <w:rsid w:val="00717DA4"/>
    <w:rsid w:val="00720313"/>
    <w:rsid w:val="00720562"/>
    <w:rsid w:val="007213A2"/>
    <w:rsid w:val="00721416"/>
    <w:rsid w:val="00721E32"/>
    <w:rsid w:val="00722001"/>
    <w:rsid w:val="007250AF"/>
    <w:rsid w:val="0072551B"/>
    <w:rsid w:val="007257A4"/>
    <w:rsid w:val="00726405"/>
    <w:rsid w:val="0072688E"/>
    <w:rsid w:val="00727142"/>
    <w:rsid w:val="00727726"/>
    <w:rsid w:val="00727AB3"/>
    <w:rsid w:val="00727DEA"/>
    <w:rsid w:val="00730705"/>
    <w:rsid w:val="00730E2A"/>
    <w:rsid w:val="00730F47"/>
    <w:rsid w:val="007328C8"/>
    <w:rsid w:val="00732982"/>
    <w:rsid w:val="00732997"/>
    <w:rsid w:val="00732D7C"/>
    <w:rsid w:val="00732EDE"/>
    <w:rsid w:val="00734340"/>
    <w:rsid w:val="00734D6F"/>
    <w:rsid w:val="007364C8"/>
    <w:rsid w:val="00736EFE"/>
    <w:rsid w:val="00737947"/>
    <w:rsid w:val="007408A5"/>
    <w:rsid w:val="0074153F"/>
    <w:rsid w:val="00741E9E"/>
    <w:rsid w:val="007423AB"/>
    <w:rsid w:val="007439DE"/>
    <w:rsid w:val="0074599F"/>
    <w:rsid w:val="00745CFB"/>
    <w:rsid w:val="0074664E"/>
    <w:rsid w:val="00746C87"/>
    <w:rsid w:val="00747552"/>
    <w:rsid w:val="00750471"/>
    <w:rsid w:val="00751D76"/>
    <w:rsid w:val="00752306"/>
    <w:rsid w:val="007527BD"/>
    <w:rsid w:val="00752D9C"/>
    <w:rsid w:val="00754BA3"/>
    <w:rsid w:val="00755775"/>
    <w:rsid w:val="00755DBE"/>
    <w:rsid w:val="007563BE"/>
    <w:rsid w:val="007607C4"/>
    <w:rsid w:val="00760A89"/>
    <w:rsid w:val="0076299E"/>
    <w:rsid w:val="00763274"/>
    <w:rsid w:val="007636B1"/>
    <w:rsid w:val="00763D98"/>
    <w:rsid w:val="007642B7"/>
    <w:rsid w:val="00766717"/>
    <w:rsid w:val="00766DF1"/>
    <w:rsid w:val="00766F68"/>
    <w:rsid w:val="00766FD5"/>
    <w:rsid w:val="0076730C"/>
    <w:rsid w:val="00771580"/>
    <w:rsid w:val="0077263B"/>
    <w:rsid w:val="00773306"/>
    <w:rsid w:val="007743B9"/>
    <w:rsid w:val="0077529A"/>
    <w:rsid w:val="0077665F"/>
    <w:rsid w:val="00777BAA"/>
    <w:rsid w:val="00777D42"/>
    <w:rsid w:val="00780213"/>
    <w:rsid w:val="007803F5"/>
    <w:rsid w:val="00780466"/>
    <w:rsid w:val="007843A3"/>
    <w:rsid w:val="0078789E"/>
    <w:rsid w:val="007912F3"/>
    <w:rsid w:val="0079137F"/>
    <w:rsid w:val="00795F32"/>
    <w:rsid w:val="00796CAC"/>
    <w:rsid w:val="0079753C"/>
    <w:rsid w:val="007A0E6C"/>
    <w:rsid w:val="007A251A"/>
    <w:rsid w:val="007A6CBF"/>
    <w:rsid w:val="007A7573"/>
    <w:rsid w:val="007B287E"/>
    <w:rsid w:val="007B316C"/>
    <w:rsid w:val="007B3EBA"/>
    <w:rsid w:val="007B5191"/>
    <w:rsid w:val="007C0E35"/>
    <w:rsid w:val="007C0EEB"/>
    <w:rsid w:val="007C14C4"/>
    <w:rsid w:val="007C2090"/>
    <w:rsid w:val="007C2631"/>
    <w:rsid w:val="007C3083"/>
    <w:rsid w:val="007C58E5"/>
    <w:rsid w:val="007C5B91"/>
    <w:rsid w:val="007C6ABE"/>
    <w:rsid w:val="007C7197"/>
    <w:rsid w:val="007D1204"/>
    <w:rsid w:val="007D2D78"/>
    <w:rsid w:val="007D39EF"/>
    <w:rsid w:val="007D3EBB"/>
    <w:rsid w:val="007D3FEF"/>
    <w:rsid w:val="007D4E6A"/>
    <w:rsid w:val="007D4E87"/>
    <w:rsid w:val="007D56BF"/>
    <w:rsid w:val="007D56F1"/>
    <w:rsid w:val="007D5CCF"/>
    <w:rsid w:val="007D6367"/>
    <w:rsid w:val="007D7507"/>
    <w:rsid w:val="007D7BA3"/>
    <w:rsid w:val="007E02DA"/>
    <w:rsid w:val="007E0D64"/>
    <w:rsid w:val="007E41BA"/>
    <w:rsid w:val="007E44E4"/>
    <w:rsid w:val="007E4F85"/>
    <w:rsid w:val="007E6506"/>
    <w:rsid w:val="007E680C"/>
    <w:rsid w:val="007F2F85"/>
    <w:rsid w:val="007F34FC"/>
    <w:rsid w:val="007F4CD9"/>
    <w:rsid w:val="007F5AF7"/>
    <w:rsid w:val="007F6119"/>
    <w:rsid w:val="007F6C72"/>
    <w:rsid w:val="007F7AA6"/>
    <w:rsid w:val="008000E5"/>
    <w:rsid w:val="008004EF"/>
    <w:rsid w:val="0080109B"/>
    <w:rsid w:val="00802449"/>
    <w:rsid w:val="0080266B"/>
    <w:rsid w:val="00802C21"/>
    <w:rsid w:val="00802C2C"/>
    <w:rsid w:val="00802E8D"/>
    <w:rsid w:val="00803C50"/>
    <w:rsid w:val="00804965"/>
    <w:rsid w:val="00805578"/>
    <w:rsid w:val="0080676C"/>
    <w:rsid w:val="0080764B"/>
    <w:rsid w:val="0080780B"/>
    <w:rsid w:val="00810BDD"/>
    <w:rsid w:val="008115FF"/>
    <w:rsid w:val="00811DB5"/>
    <w:rsid w:val="00812676"/>
    <w:rsid w:val="00813226"/>
    <w:rsid w:val="00813E53"/>
    <w:rsid w:val="008157DE"/>
    <w:rsid w:val="00816FEB"/>
    <w:rsid w:val="0081700F"/>
    <w:rsid w:val="0081798F"/>
    <w:rsid w:val="00817F85"/>
    <w:rsid w:val="0082210E"/>
    <w:rsid w:val="0082255F"/>
    <w:rsid w:val="00822FCD"/>
    <w:rsid w:val="00823143"/>
    <w:rsid w:val="0082336D"/>
    <w:rsid w:val="00823E0E"/>
    <w:rsid w:val="00823F90"/>
    <w:rsid w:val="008243AC"/>
    <w:rsid w:val="008248B3"/>
    <w:rsid w:val="00824950"/>
    <w:rsid w:val="0082611E"/>
    <w:rsid w:val="0082765D"/>
    <w:rsid w:val="00827E79"/>
    <w:rsid w:val="0083245D"/>
    <w:rsid w:val="00832AF3"/>
    <w:rsid w:val="0083482B"/>
    <w:rsid w:val="00834A48"/>
    <w:rsid w:val="00834F5A"/>
    <w:rsid w:val="00835BAE"/>
    <w:rsid w:val="0083738C"/>
    <w:rsid w:val="008404CB"/>
    <w:rsid w:val="00841311"/>
    <w:rsid w:val="00841B16"/>
    <w:rsid w:val="0084301F"/>
    <w:rsid w:val="008430A3"/>
    <w:rsid w:val="008449D7"/>
    <w:rsid w:val="00845D97"/>
    <w:rsid w:val="00847C9C"/>
    <w:rsid w:val="00850BEF"/>
    <w:rsid w:val="00853BC5"/>
    <w:rsid w:val="00854669"/>
    <w:rsid w:val="008576C9"/>
    <w:rsid w:val="00860F3A"/>
    <w:rsid w:val="00863FF5"/>
    <w:rsid w:val="00864AB5"/>
    <w:rsid w:val="00866454"/>
    <w:rsid w:val="00866A3A"/>
    <w:rsid w:val="00870693"/>
    <w:rsid w:val="00870DF7"/>
    <w:rsid w:val="0087109B"/>
    <w:rsid w:val="0087134A"/>
    <w:rsid w:val="00871774"/>
    <w:rsid w:val="008751B7"/>
    <w:rsid w:val="008770B8"/>
    <w:rsid w:val="008813F1"/>
    <w:rsid w:val="008816F2"/>
    <w:rsid w:val="008833A7"/>
    <w:rsid w:val="008834A1"/>
    <w:rsid w:val="008836A6"/>
    <w:rsid w:val="008864B2"/>
    <w:rsid w:val="008869B0"/>
    <w:rsid w:val="008870D8"/>
    <w:rsid w:val="008908B7"/>
    <w:rsid w:val="00892684"/>
    <w:rsid w:val="008969E5"/>
    <w:rsid w:val="008977A0"/>
    <w:rsid w:val="008A1344"/>
    <w:rsid w:val="008A1F6E"/>
    <w:rsid w:val="008A300E"/>
    <w:rsid w:val="008A3587"/>
    <w:rsid w:val="008A388F"/>
    <w:rsid w:val="008A39C1"/>
    <w:rsid w:val="008A3CAE"/>
    <w:rsid w:val="008A40A7"/>
    <w:rsid w:val="008A4412"/>
    <w:rsid w:val="008A596D"/>
    <w:rsid w:val="008A5C1C"/>
    <w:rsid w:val="008A7100"/>
    <w:rsid w:val="008A7120"/>
    <w:rsid w:val="008A76AB"/>
    <w:rsid w:val="008A7FE9"/>
    <w:rsid w:val="008B167A"/>
    <w:rsid w:val="008B1F8B"/>
    <w:rsid w:val="008B360C"/>
    <w:rsid w:val="008B37C1"/>
    <w:rsid w:val="008B4061"/>
    <w:rsid w:val="008B4442"/>
    <w:rsid w:val="008B543B"/>
    <w:rsid w:val="008B5485"/>
    <w:rsid w:val="008B7AEF"/>
    <w:rsid w:val="008B7D2E"/>
    <w:rsid w:val="008C0B3D"/>
    <w:rsid w:val="008C1610"/>
    <w:rsid w:val="008C18BA"/>
    <w:rsid w:val="008C35E1"/>
    <w:rsid w:val="008C464C"/>
    <w:rsid w:val="008C6147"/>
    <w:rsid w:val="008C6F41"/>
    <w:rsid w:val="008D0653"/>
    <w:rsid w:val="008D0ACC"/>
    <w:rsid w:val="008D114E"/>
    <w:rsid w:val="008D20CA"/>
    <w:rsid w:val="008D2B49"/>
    <w:rsid w:val="008D47DE"/>
    <w:rsid w:val="008D6DB4"/>
    <w:rsid w:val="008E00F0"/>
    <w:rsid w:val="008E1B5E"/>
    <w:rsid w:val="008E26AF"/>
    <w:rsid w:val="008E2D16"/>
    <w:rsid w:val="008E3D00"/>
    <w:rsid w:val="008E3FAD"/>
    <w:rsid w:val="008E493F"/>
    <w:rsid w:val="008E4D85"/>
    <w:rsid w:val="008E5854"/>
    <w:rsid w:val="008E74AD"/>
    <w:rsid w:val="008E7562"/>
    <w:rsid w:val="008E7F5D"/>
    <w:rsid w:val="008F03B5"/>
    <w:rsid w:val="008F050D"/>
    <w:rsid w:val="008F1400"/>
    <w:rsid w:val="008F2005"/>
    <w:rsid w:val="008F25C7"/>
    <w:rsid w:val="008F31D4"/>
    <w:rsid w:val="008F4E9C"/>
    <w:rsid w:val="008F5AD0"/>
    <w:rsid w:val="00901F2D"/>
    <w:rsid w:val="00903499"/>
    <w:rsid w:val="00903731"/>
    <w:rsid w:val="00903C25"/>
    <w:rsid w:val="009054CE"/>
    <w:rsid w:val="00906514"/>
    <w:rsid w:val="00910BBF"/>
    <w:rsid w:val="009115BC"/>
    <w:rsid w:val="009121DC"/>
    <w:rsid w:val="00913B89"/>
    <w:rsid w:val="00913C0A"/>
    <w:rsid w:val="00913EA4"/>
    <w:rsid w:val="009151AA"/>
    <w:rsid w:val="009157D0"/>
    <w:rsid w:val="00916C3C"/>
    <w:rsid w:val="009175AF"/>
    <w:rsid w:val="009206F1"/>
    <w:rsid w:val="0092085C"/>
    <w:rsid w:val="00920CF8"/>
    <w:rsid w:val="00920D16"/>
    <w:rsid w:val="00920E8D"/>
    <w:rsid w:val="009218D5"/>
    <w:rsid w:val="00921D63"/>
    <w:rsid w:val="0092212D"/>
    <w:rsid w:val="0092252C"/>
    <w:rsid w:val="0092283B"/>
    <w:rsid w:val="00922B3A"/>
    <w:rsid w:val="009230D8"/>
    <w:rsid w:val="009234E7"/>
    <w:rsid w:val="00923CFB"/>
    <w:rsid w:val="00923CFE"/>
    <w:rsid w:val="00924138"/>
    <w:rsid w:val="00924A93"/>
    <w:rsid w:val="00925862"/>
    <w:rsid w:val="00926BA1"/>
    <w:rsid w:val="00930428"/>
    <w:rsid w:val="00930EC6"/>
    <w:rsid w:val="009323E5"/>
    <w:rsid w:val="0093242E"/>
    <w:rsid w:val="00932B0D"/>
    <w:rsid w:val="00933181"/>
    <w:rsid w:val="00933B7F"/>
    <w:rsid w:val="009341DD"/>
    <w:rsid w:val="009353B2"/>
    <w:rsid w:val="00935858"/>
    <w:rsid w:val="009414DE"/>
    <w:rsid w:val="00941847"/>
    <w:rsid w:val="00941AA9"/>
    <w:rsid w:val="0094335F"/>
    <w:rsid w:val="00944E7E"/>
    <w:rsid w:val="00945473"/>
    <w:rsid w:val="009460B7"/>
    <w:rsid w:val="00946218"/>
    <w:rsid w:val="009467BD"/>
    <w:rsid w:val="00946EE0"/>
    <w:rsid w:val="00947E33"/>
    <w:rsid w:val="00950F16"/>
    <w:rsid w:val="00952307"/>
    <w:rsid w:val="009529E9"/>
    <w:rsid w:val="009533E5"/>
    <w:rsid w:val="0095612F"/>
    <w:rsid w:val="00956C0B"/>
    <w:rsid w:val="00956EA2"/>
    <w:rsid w:val="0095700E"/>
    <w:rsid w:val="009578CD"/>
    <w:rsid w:val="00960209"/>
    <w:rsid w:val="00960AB0"/>
    <w:rsid w:val="00961902"/>
    <w:rsid w:val="00961C01"/>
    <w:rsid w:val="00962658"/>
    <w:rsid w:val="00963948"/>
    <w:rsid w:val="00963AF4"/>
    <w:rsid w:val="00965638"/>
    <w:rsid w:val="00967528"/>
    <w:rsid w:val="00970EDB"/>
    <w:rsid w:val="00972CC9"/>
    <w:rsid w:val="00972F1D"/>
    <w:rsid w:val="009734EC"/>
    <w:rsid w:val="009772D3"/>
    <w:rsid w:val="009778C0"/>
    <w:rsid w:val="00977B05"/>
    <w:rsid w:val="00980AB1"/>
    <w:rsid w:val="009813F5"/>
    <w:rsid w:val="0098168D"/>
    <w:rsid w:val="0098215E"/>
    <w:rsid w:val="00984083"/>
    <w:rsid w:val="00984B38"/>
    <w:rsid w:val="00985349"/>
    <w:rsid w:val="009853A9"/>
    <w:rsid w:val="00986278"/>
    <w:rsid w:val="00986785"/>
    <w:rsid w:val="00986992"/>
    <w:rsid w:val="00987A9A"/>
    <w:rsid w:val="0099060C"/>
    <w:rsid w:val="00990B32"/>
    <w:rsid w:val="00991602"/>
    <w:rsid w:val="00991D29"/>
    <w:rsid w:val="009922C9"/>
    <w:rsid w:val="0099393C"/>
    <w:rsid w:val="00993B54"/>
    <w:rsid w:val="0099428B"/>
    <w:rsid w:val="0099430E"/>
    <w:rsid w:val="009948C1"/>
    <w:rsid w:val="00995A70"/>
    <w:rsid w:val="00997AC7"/>
    <w:rsid w:val="009A044E"/>
    <w:rsid w:val="009A08CA"/>
    <w:rsid w:val="009A1E90"/>
    <w:rsid w:val="009A28E9"/>
    <w:rsid w:val="009A2E77"/>
    <w:rsid w:val="009A3D21"/>
    <w:rsid w:val="009A5200"/>
    <w:rsid w:val="009A56FC"/>
    <w:rsid w:val="009A5852"/>
    <w:rsid w:val="009A698D"/>
    <w:rsid w:val="009A6AA2"/>
    <w:rsid w:val="009B00D0"/>
    <w:rsid w:val="009B015D"/>
    <w:rsid w:val="009B0248"/>
    <w:rsid w:val="009B0675"/>
    <w:rsid w:val="009B06F3"/>
    <w:rsid w:val="009B07F4"/>
    <w:rsid w:val="009B105C"/>
    <w:rsid w:val="009B1191"/>
    <w:rsid w:val="009B20A4"/>
    <w:rsid w:val="009B34F7"/>
    <w:rsid w:val="009B42ED"/>
    <w:rsid w:val="009B4ECC"/>
    <w:rsid w:val="009B59AA"/>
    <w:rsid w:val="009B7361"/>
    <w:rsid w:val="009B75F2"/>
    <w:rsid w:val="009B7800"/>
    <w:rsid w:val="009C2AA3"/>
    <w:rsid w:val="009C410D"/>
    <w:rsid w:val="009C4684"/>
    <w:rsid w:val="009C4E0C"/>
    <w:rsid w:val="009C64ED"/>
    <w:rsid w:val="009C6600"/>
    <w:rsid w:val="009C6A27"/>
    <w:rsid w:val="009D0413"/>
    <w:rsid w:val="009D082A"/>
    <w:rsid w:val="009D159C"/>
    <w:rsid w:val="009D1711"/>
    <w:rsid w:val="009D1D4A"/>
    <w:rsid w:val="009D53E4"/>
    <w:rsid w:val="009D6009"/>
    <w:rsid w:val="009D6BCB"/>
    <w:rsid w:val="009D7343"/>
    <w:rsid w:val="009D73ED"/>
    <w:rsid w:val="009D786C"/>
    <w:rsid w:val="009E27BB"/>
    <w:rsid w:val="009E4956"/>
    <w:rsid w:val="009E49DF"/>
    <w:rsid w:val="009E4C14"/>
    <w:rsid w:val="009E61FD"/>
    <w:rsid w:val="009E731A"/>
    <w:rsid w:val="009E7AEF"/>
    <w:rsid w:val="009F01D0"/>
    <w:rsid w:val="009F2B99"/>
    <w:rsid w:val="009F2F4A"/>
    <w:rsid w:val="009F4985"/>
    <w:rsid w:val="009F4BE8"/>
    <w:rsid w:val="009F5BD1"/>
    <w:rsid w:val="009F5F60"/>
    <w:rsid w:val="00A00618"/>
    <w:rsid w:val="00A01FC3"/>
    <w:rsid w:val="00A0314D"/>
    <w:rsid w:val="00A03184"/>
    <w:rsid w:val="00A032E8"/>
    <w:rsid w:val="00A035F8"/>
    <w:rsid w:val="00A03BC4"/>
    <w:rsid w:val="00A03F6D"/>
    <w:rsid w:val="00A041C8"/>
    <w:rsid w:val="00A044C8"/>
    <w:rsid w:val="00A04D64"/>
    <w:rsid w:val="00A0583E"/>
    <w:rsid w:val="00A064C0"/>
    <w:rsid w:val="00A075E0"/>
    <w:rsid w:val="00A07BFB"/>
    <w:rsid w:val="00A120FA"/>
    <w:rsid w:val="00A123F4"/>
    <w:rsid w:val="00A1327B"/>
    <w:rsid w:val="00A1393D"/>
    <w:rsid w:val="00A149CF"/>
    <w:rsid w:val="00A14EAE"/>
    <w:rsid w:val="00A155F6"/>
    <w:rsid w:val="00A157F4"/>
    <w:rsid w:val="00A15BBF"/>
    <w:rsid w:val="00A16A2C"/>
    <w:rsid w:val="00A1769B"/>
    <w:rsid w:val="00A1786A"/>
    <w:rsid w:val="00A1789D"/>
    <w:rsid w:val="00A20833"/>
    <w:rsid w:val="00A2122A"/>
    <w:rsid w:val="00A219F0"/>
    <w:rsid w:val="00A21D4E"/>
    <w:rsid w:val="00A220D8"/>
    <w:rsid w:val="00A231A4"/>
    <w:rsid w:val="00A23AE4"/>
    <w:rsid w:val="00A23F59"/>
    <w:rsid w:val="00A241E8"/>
    <w:rsid w:val="00A246BE"/>
    <w:rsid w:val="00A24F68"/>
    <w:rsid w:val="00A24FC3"/>
    <w:rsid w:val="00A27141"/>
    <w:rsid w:val="00A27757"/>
    <w:rsid w:val="00A30604"/>
    <w:rsid w:val="00A314D4"/>
    <w:rsid w:val="00A331A3"/>
    <w:rsid w:val="00A33250"/>
    <w:rsid w:val="00A3498B"/>
    <w:rsid w:val="00A3585E"/>
    <w:rsid w:val="00A366F3"/>
    <w:rsid w:val="00A373E6"/>
    <w:rsid w:val="00A37BE6"/>
    <w:rsid w:val="00A4305C"/>
    <w:rsid w:val="00A4332F"/>
    <w:rsid w:val="00A4403E"/>
    <w:rsid w:val="00A4434E"/>
    <w:rsid w:val="00A448AE"/>
    <w:rsid w:val="00A45F0F"/>
    <w:rsid w:val="00A47087"/>
    <w:rsid w:val="00A477D6"/>
    <w:rsid w:val="00A51D4D"/>
    <w:rsid w:val="00A52AA4"/>
    <w:rsid w:val="00A55A11"/>
    <w:rsid w:val="00A56DC9"/>
    <w:rsid w:val="00A60839"/>
    <w:rsid w:val="00A60864"/>
    <w:rsid w:val="00A6179E"/>
    <w:rsid w:val="00A61EDF"/>
    <w:rsid w:val="00A62CEE"/>
    <w:rsid w:val="00A62EB1"/>
    <w:rsid w:val="00A63702"/>
    <w:rsid w:val="00A64BC9"/>
    <w:rsid w:val="00A67589"/>
    <w:rsid w:val="00A708CF"/>
    <w:rsid w:val="00A709CE"/>
    <w:rsid w:val="00A71F50"/>
    <w:rsid w:val="00A73068"/>
    <w:rsid w:val="00A7445B"/>
    <w:rsid w:val="00A755AD"/>
    <w:rsid w:val="00A75C3C"/>
    <w:rsid w:val="00A75D19"/>
    <w:rsid w:val="00A7603B"/>
    <w:rsid w:val="00A760A3"/>
    <w:rsid w:val="00A77CD6"/>
    <w:rsid w:val="00A81C14"/>
    <w:rsid w:val="00A82624"/>
    <w:rsid w:val="00A8274D"/>
    <w:rsid w:val="00A830F1"/>
    <w:rsid w:val="00A834B3"/>
    <w:rsid w:val="00A83EBD"/>
    <w:rsid w:val="00A84BF3"/>
    <w:rsid w:val="00A86AA5"/>
    <w:rsid w:val="00A90C08"/>
    <w:rsid w:val="00A91848"/>
    <w:rsid w:val="00A91D85"/>
    <w:rsid w:val="00A9263A"/>
    <w:rsid w:val="00A92967"/>
    <w:rsid w:val="00A93899"/>
    <w:rsid w:val="00A938BB"/>
    <w:rsid w:val="00A93ECE"/>
    <w:rsid w:val="00A93F38"/>
    <w:rsid w:val="00A9421C"/>
    <w:rsid w:val="00A94909"/>
    <w:rsid w:val="00A96E4F"/>
    <w:rsid w:val="00AA0DCE"/>
    <w:rsid w:val="00AA0E61"/>
    <w:rsid w:val="00AA10C2"/>
    <w:rsid w:val="00AA19B6"/>
    <w:rsid w:val="00AA2FF7"/>
    <w:rsid w:val="00AA51B7"/>
    <w:rsid w:val="00AA582B"/>
    <w:rsid w:val="00AA76C4"/>
    <w:rsid w:val="00AB0D0E"/>
    <w:rsid w:val="00AB109C"/>
    <w:rsid w:val="00AB1122"/>
    <w:rsid w:val="00AB223C"/>
    <w:rsid w:val="00AB2306"/>
    <w:rsid w:val="00AB3A2B"/>
    <w:rsid w:val="00AB3B36"/>
    <w:rsid w:val="00AB445D"/>
    <w:rsid w:val="00AB6CF8"/>
    <w:rsid w:val="00AB7D6D"/>
    <w:rsid w:val="00AC10B3"/>
    <w:rsid w:val="00AC3328"/>
    <w:rsid w:val="00AC3BC7"/>
    <w:rsid w:val="00AC5C02"/>
    <w:rsid w:val="00AC6811"/>
    <w:rsid w:val="00AD06E8"/>
    <w:rsid w:val="00AD0C11"/>
    <w:rsid w:val="00AD0D97"/>
    <w:rsid w:val="00AD259E"/>
    <w:rsid w:val="00AD3331"/>
    <w:rsid w:val="00AD4D7E"/>
    <w:rsid w:val="00AD62CD"/>
    <w:rsid w:val="00AE053E"/>
    <w:rsid w:val="00AE2C2C"/>
    <w:rsid w:val="00AE34B0"/>
    <w:rsid w:val="00AE374D"/>
    <w:rsid w:val="00AE38E5"/>
    <w:rsid w:val="00AE3BAD"/>
    <w:rsid w:val="00AE5189"/>
    <w:rsid w:val="00AE5922"/>
    <w:rsid w:val="00AE6156"/>
    <w:rsid w:val="00AE6974"/>
    <w:rsid w:val="00AE6F0E"/>
    <w:rsid w:val="00AE7259"/>
    <w:rsid w:val="00AF0FBB"/>
    <w:rsid w:val="00AF276E"/>
    <w:rsid w:val="00AF311A"/>
    <w:rsid w:val="00AF448B"/>
    <w:rsid w:val="00AF4831"/>
    <w:rsid w:val="00AF50E8"/>
    <w:rsid w:val="00AF5234"/>
    <w:rsid w:val="00AF573F"/>
    <w:rsid w:val="00AF59E6"/>
    <w:rsid w:val="00AF5CD3"/>
    <w:rsid w:val="00AF63F2"/>
    <w:rsid w:val="00B00332"/>
    <w:rsid w:val="00B0039C"/>
    <w:rsid w:val="00B01737"/>
    <w:rsid w:val="00B0213A"/>
    <w:rsid w:val="00B031E1"/>
    <w:rsid w:val="00B039B7"/>
    <w:rsid w:val="00B03E80"/>
    <w:rsid w:val="00B061B6"/>
    <w:rsid w:val="00B07993"/>
    <w:rsid w:val="00B07F57"/>
    <w:rsid w:val="00B10393"/>
    <w:rsid w:val="00B111AE"/>
    <w:rsid w:val="00B11225"/>
    <w:rsid w:val="00B112CC"/>
    <w:rsid w:val="00B11890"/>
    <w:rsid w:val="00B1189F"/>
    <w:rsid w:val="00B11A9F"/>
    <w:rsid w:val="00B17BC2"/>
    <w:rsid w:val="00B2004B"/>
    <w:rsid w:val="00B20263"/>
    <w:rsid w:val="00B23782"/>
    <w:rsid w:val="00B23A68"/>
    <w:rsid w:val="00B24E90"/>
    <w:rsid w:val="00B2567D"/>
    <w:rsid w:val="00B26F5F"/>
    <w:rsid w:val="00B271C0"/>
    <w:rsid w:val="00B27FB6"/>
    <w:rsid w:val="00B301CF"/>
    <w:rsid w:val="00B30244"/>
    <w:rsid w:val="00B320C2"/>
    <w:rsid w:val="00B3250A"/>
    <w:rsid w:val="00B33942"/>
    <w:rsid w:val="00B36588"/>
    <w:rsid w:val="00B403F0"/>
    <w:rsid w:val="00B40924"/>
    <w:rsid w:val="00B40D2C"/>
    <w:rsid w:val="00B41071"/>
    <w:rsid w:val="00B4134A"/>
    <w:rsid w:val="00B413F2"/>
    <w:rsid w:val="00B4218E"/>
    <w:rsid w:val="00B42352"/>
    <w:rsid w:val="00B45E7D"/>
    <w:rsid w:val="00B46B37"/>
    <w:rsid w:val="00B4769F"/>
    <w:rsid w:val="00B502C9"/>
    <w:rsid w:val="00B5099B"/>
    <w:rsid w:val="00B510E5"/>
    <w:rsid w:val="00B530B1"/>
    <w:rsid w:val="00B540AF"/>
    <w:rsid w:val="00B55A6A"/>
    <w:rsid w:val="00B55CD5"/>
    <w:rsid w:val="00B56ECB"/>
    <w:rsid w:val="00B604B0"/>
    <w:rsid w:val="00B61884"/>
    <w:rsid w:val="00B61BDD"/>
    <w:rsid w:val="00B61DD6"/>
    <w:rsid w:val="00B6329C"/>
    <w:rsid w:val="00B632E7"/>
    <w:rsid w:val="00B64B14"/>
    <w:rsid w:val="00B64FD8"/>
    <w:rsid w:val="00B666B9"/>
    <w:rsid w:val="00B70BAF"/>
    <w:rsid w:val="00B719F6"/>
    <w:rsid w:val="00B72A43"/>
    <w:rsid w:val="00B72A5B"/>
    <w:rsid w:val="00B7475B"/>
    <w:rsid w:val="00B76BE7"/>
    <w:rsid w:val="00B76CDF"/>
    <w:rsid w:val="00B806F8"/>
    <w:rsid w:val="00B80A47"/>
    <w:rsid w:val="00B80F0E"/>
    <w:rsid w:val="00B80F79"/>
    <w:rsid w:val="00B81B1E"/>
    <w:rsid w:val="00B8243F"/>
    <w:rsid w:val="00B8385A"/>
    <w:rsid w:val="00B84A5E"/>
    <w:rsid w:val="00B85ADB"/>
    <w:rsid w:val="00B86886"/>
    <w:rsid w:val="00B86E65"/>
    <w:rsid w:val="00B86F9E"/>
    <w:rsid w:val="00B871AB"/>
    <w:rsid w:val="00B87941"/>
    <w:rsid w:val="00B91E16"/>
    <w:rsid w:val="00B920F8"/>
    <w:rsid w:val="00B93B04"/>
    <w:rsid w:val="00B93E0E"/>
    <w:rsid w:val="00B94135"/>
    <w:rsid w:val="00B96292"/>
    <w:rsid w:val="00BA018A"/>
    <w:rsid w:val="00BA1C5B"/>
    <w:rsid w:val="00BA1CAD"/>
    <w:rsid w:val="00BA3953"/>
    <w:rsid w:val="00BA5185"/>
    <w:rsid w:val="00BA530C"/>
    <w:rsid w:val="00BA7E6A"/>
    <w:rsid w:val="00BB0AA2"/>
    <w:rsid w:val="00BB1B19"/>
    <w:rsid w:val="00BB2104"/>
    <w:rsid w:val="00BB2C8B"/>
    <w:rsid w:val="00BB3D13"/>
    <w:rsid w:val="00BB5251"/>
    <w:rsid w:val="00BB5694"/>
    <w:rsid w:val="00BB64CE"/>
    <w:rsid w:val="00BB675F"/>
    <w:rsid w:val="00BB6857"/>
    <w:rsid w:val="00BB7FF0"/>
    <w:rsid w:val="00BC155A"/>
    <w:rsid w:val="00BC1BDA"/>
    <w:rsid w:val="00BC1CD7"/>
    <w:rsid w:val="00BC294C"/>
    <w:rsid w:val="00BC3467"/>
    <w:rsid w:val="00BC3E56"/>
    <w:rsid w:val="00BC46A0"/>
    <w:rsid w:val="00BC475A"/>
    <w:rsid w:val="00BC5700"/>
    <w:rsid w:val="00BC5777"/>
    <w:rsid w:val="00BC6BB4"/>
    <w:rsid w:val="00BC6BF6"/>
    <w:rsid w:val="00BD079E"/>
    <w:rsid w:val="00BD0C79"/>
    <w:rsid w:val="00BD1CAA"/>
    <w:rsid w:val="00BD45FC"/>
    <w:rsid w:val="00BD498D"/>
    <w:rsid w:val="00BD6A0F"/>
    <w:rsid w:val="00BD6DF6"/>
    <w:rsid w:val="00BD7373"/>
    <w:rsid w:val="00BD73CC"/>
    <w:rsid w:val="00BD7A97"/>
    <w:rsid w:val="00BE1055"/>
    <w:rsid w:val="00BE1FF6"/>
    <w:rsid w:val="00BE31E2"/>
    <w:rsid w:val="00BE4094"/>
    <w:rsid w:val="00BE4FAE"/>
    <w:rsid w:val="00BE7956"/>
    <w:rsid w:val="00BE7CE1"/>
    <w:rsid w:val="00BE7D32"/>
    <w:rsid w:val="00BF0181"/>
    <w:rsid w:val="00BF2020"/>
    <w:rsid w:val="00BF325C"/>
    <w:rsid w:val="00BF3A4A"/>
    <w:rsid w:val="00BF4663"/>
    <w:rsid w:val="00BF49EA"/>
    <w:rsid w:val="00BF5DFB"/>
    <w:rsid w:val="00C015DA"/>
    <w:rsid w:val="00C03B73"/>
    <w:rsid w:val="00C048C1"/>
    <w:rsid w:val="00C04B01"/>
    <w:rsid w:val="00C04F7C"/>
    <w:rsid w:val="00C05C62"/>
    <w:rsid w:val="00C05D9C"/>
    <w:rsid w:val="00C0668D"/>
    <w:rsid w:val="00C07617"/>
    <w:rsid w:val="00C07C7C"/>
    <w:rsid w:val="00C11C3D"/>
    <w:rsid w:val="00C122B0"/>
    <w:rsid w:val="00C1248D"/>
    <w:rsid w:val="00C12721"/>
    <w:rsid w:val="00C1282A"/>
    <w:rsid w:val="00C12BFC"/>
    <w:rsid w:val="00C134C6"/>
    <w:rsid w:val="00C144DD"/>
    <w:rsid w:val="00C14A3F"/>
    <w:rsid w:val="00C153E1"/>
    <w:rsid w:val="00C1657E"/>
    <w:rsid w:val="00C17BD5"/>
    <w:rsid w:val="00C17CC7"/>
    <w:rsid w:val="00C20944"/>
    <w:rsid w:val="00C20C3E"/>
    <w:rsid w:val="00C20F09"/>
    <w:rsid w:val="00C20F27"/>
    <w:rsid w:val="00C216AD"/>
    <w:rsid w:val="00C21FA1"/>
    <w:rsid w:val="00C2468A"/>
    <w:rsid w:val="00C24E19"/>
    <w:rsid w:val="00C2677A"/>
    <w:rsid w:val="00C26ADD"/>
    <w:rsid w:val="00C26D03"/>
    <w:rsid w:val="00C279F5"/>
    <w:rsid w:val="00C30A66"/>
    <w:rsid w:val="00C3217B"/>
    <w:rsid w:val="00C325AB"/>
    <w:rsid w:val="00C34015"/>
    <w:rsid w:val="00C35737"/>
    <w:rsid w:val="00C36D6E"/>
    <w:rsid w:val="00C3734C"/>
    <w:rsid w:val="00C37CC2"/>
    <w:rsid w:val="00C40DA2"/>
    <w:rsid w:val="00C415A9"/>
    <w:rsid w:val="00C428AB"/>
    <w:rsid w:val="00C4660E"/>
    <w:rsid w:val="00C50F9C"/>
    <w:rsid w:val="00C519F7"/>
    <w:rsid w:val="00C54DF2"/>
    <w:rsid w:val="00C55EB8"/>
    <w:rsid w:val="00C56831"/>
    <w:rsid w:val="00C57BB7"/>
    <w:rsid w:val="00C61727"/>
    <w:rsid w:val="00C61F6D"/>
    <w:rsid w:val="00C6235F"/>
    <w:rsid w:val="00C6478C"/>
    <w:rsid w:val="00C655FE"/>
    <w:rsid w:val="00C65768"/>
    <w:rsid w:val="00C65CAA"/>
    <w:rsid w:val="00C66768"/>
    <w:rsid w:val="00C70117"/>
    <w:rsid w:val="00C71AEE"/>
    <w:rsid w:val="00C729D2"/>
    <w:rsid w:val="00C74689"/>
    <w:rsid w:val="00C746F4"/>
    <w:rsid w:val="00C748AE"/>
    <w:rsid w:val="00C74D1F"/>
    <w:rsid w:val="00C75AF8"/>
    <w:rsid w:val="00C76CA6"/>
    <w:rsid w:val="00C80285"/>
    <w:rsid w:val="00C828EB"/>
    <w:rsid w:val="00C83196"/>
    <w:rsid w:val="00C83820"/>
    <w:rsid w:val="00C84B0E"/>
    <w:rsid w:val="00C84DA6"/>
    <w:rsid w:val="00C84E98"/>
    <w:rsid w:val="00C85CC1"/>
    <w:rsid w:val="00C8653F"/>
    <w:rsid w:val="00C867D6"/>
    <w:rsid w:val="00C86E71"/>
    <w:rsid w:val="00C87075"/>
    <w:rsid w:val="00C902DB"/>
    <w:rsid w:val="00C90A73"/>
    <w:rsid w:val="00C92812"/>
    <w:rsid w:val="00C940E1"/>
    <w:rsid w:val="00C94BEE"/>
    <w:rsid w:val="00C97163"/>
    <w:rsid w:val="00C97522"/>
    <w:rsid w:val="00CA12D7"/>
    <w:rsid w:val="00CA279C"/>
    <w:rsid w:val="00CA30B4"/>
    <w:rsid w:val="00CA336A"/>
    <w:rsid w:val="00CA3DC9"/>
    <w:rsid w:val="00CA530A"/>
    <w:rsid w:val="00CA56A2"/>
    <w:rsid w:val="00CA5D4F"/>
    <w:rsid w:val="00CA6003"/>
    <w:rsid w:val="00CA6CA4"/>
    <w:rsid w:val="00CB1CEA"/>
    <w:rsid w:val="00CB3116"/>
    <w:rsid w:val="00CB3607"/>
    <w:rsid w:val="00CB391E"/>
    <w:rsid w:val="00CB5D82"/>
    <w:rsid w:val="00CB5F91"/>
    <w:rsid w:val="00CB68B1"/>
    <w:rsid w:val="00CB7E2D"/>
    <w:rsid w:val="00CC09D0"/>
    <w:rsid w:val="00CC137F"/>
    <w:rsid w:val="00CC319F"/>
    <w:rsid w:val="00CC423F"/>
    <w:rsid w:val="00CC4855"/>
    <w:rsid w:val="00CC4B2F"/>
    <w:rsid w:val="00CC4E09"/>
    <w:rsid w:val="00CC5F1A"/>
    <w:rsid w:val="00CC5FB9"/>
    <w:rsid w:val="00CC79FF"/>
    <w:rsid w:val="00CD0EC8"/>
    <w:rsid w:val="00CD1550"/>
    <w:rsid w:val="00CD2374"/>
    <w:rsid w:val="00CD48A8"/>
    <w:rsid w:val="00CD4EFC"/>
    <w:rsid w:val="00CD50F7"/>
    <w:rsid w:val="00CD5192"/>
    <w:rsid w:val="00CD56EC"/>
    <w:rsid w:val="00CD5C9B"/>
    <w:rsid w:val="00CD7A04"/>
    <w:rsid w:val="00CE0236"/>
    <w:rsid w:val="00CE43B3"/>
    <w:rsid w:val="00CE6B6D"/>
    <w:rsid w:val="00CE6C43"/>
    <w:rsid w:val="00CE789C"/>
    <w:rsid w:val="00CF08E0"/>
    <w:rsid w:val="00CF206C"/>
    <w:rsid w:val="00CF288F"/>
    <w:rsid w:val="00CF367D"/>
    <w:rsid w:val="00CF449E"/>
    <w:rsid w:val="00CF4E10"/>
    <w:rsid w:val="00CF595B"/>
    <w:rsid w:val="00CF62EB"/>
    <w:rsid w:val="00CF680F"/>
    <w:rsid w:val="00CF6EC0"/>
    <w:rsid w:val="00CF7143"/>
    <w:rsid w:val="00D006EC"/>
    <w:rsid w:val="00D008E8"/>
    <w:rsid w:val="00D01E8D"/>
    <w:rsid w:val="00D04DC8"/>
    <w:rsid w:val="00D07347"/>
    <w:rsid w:val="00D07AA7"/>
    <w:rsid w:val="00D1040E"/>
    <w:rsid w:val="00D110A5"/>
    <w:rsid w:val="00D11152"/>
    <w:rsid w:val="00D137AE"/>
    <w:rsid w:val="00D13CC1"/>
    <w:rsid w:val="00D14F81"/>
    <w:rsid w:val="00D163BA"/>
    <w:rsid w:val="00D164B6"/>
    <w:rsid w:val="00D164EB"/>
    <w:rsid w:val="00D17340"/>
    <w:rsid w:val="00D175D4"/>
    <w:rsid w:val="00D20F0D"/>
    <w:rsid w:val="00D22D0C"/>
    <w:rsid w:val="00D23B7E"/>
    <w:rsid w:val="00D256C7"/>
    <w:rsid w:val="00D26484"/>
    <w:rsid w:val="00D27357"/>
    <w:rsid w:val="00D32210"/>
    <w:rsid w:val="00D32FDB"/>
    <w:rsid w:val="00D33821"/>
    <w:rsid w:val="00D3447D"/>
    <w:rsid w:val="00D35ACA"/>
    <w:rsid w:val="00D35D3A"/>
    <w:rsid w:val="00D36540"/>
    <w:rsid w:val="00D448AB"/>
    <w:rsid w:val="00D45687"/>
    <w:rsid w:val="00D53F1C"/>
    <w:rsid w:val="00D5449F"/>
    <w:rsid w:val="00D5465E"/>
    <w:rsid w:val="00D54867"/>
    <w:rsid w:val="00D54966"/>
    <w:rsid w:val="00D55068"/>
    <w:rsid w:val="00D562E0"/>
    <w:rsid w:val="00D56496"/>
    <w:rsid w:val="00D565E0"/>
    <w:rsid w:val="00D56631"/>
    <w:rsid w:val="00D57CF5"/>
    <w:rsid w:val="00D6094C"/>
    <w:rsid w:val="00D60B6B"/>
    <w:rsid w:val="00D611BE"/>
    <w:rsid w:val="00D61556"/>
    <w:rsid w:val="00D61F1E"/>
    <w:rsid w:val="00D64718"/>
    <w:rsid w:val="00D64D33"/>
    <w:rsid w:val="00D65597"/>
    <w:rsid w:val="00D65DF6"/>
    <w:rsid w:val="00D6697F"/>
    <w:rsid w:val="00D66F09"/>
    <w:rsid w:val="00D67256"/>
    <w:rsid w:val="00D672AF"/>
    <w:rsid w:val="00D67963"/>
    <w:rsid w:val="00D67D0F"/>
    <w:rsid w:val="00D67E70"/>
    <w:rsid w:val="00D70003"/>
    <w:rsid w:val="00D70A15"/>
    <w:rsid w:val="00D70E69"/>
    <w:rsid w:val="00D70F5B"/>
    <w:rsid w:val="00D7204D"/>
    <w:rsid w:val="00D72DE4"/>
    <w:rsid w:val="00D73D65"/>
    <w:rsid w:val="00D7505B"/>
    <w:rsid w:val="00D76249"/>
    <w:rsid w:val="00D76BD2"/>
    <w:rsid w:val="00D774AC"/>
    <w:rsid w:val="00D776EA"/>
    <w:rsid w:val="00D80AF9"/>
    <w:rsid w:val="00D80FA3"/>
    <w:rsid w:val="00D81C9C"/>
    <w:rsid w:val="00D82CE9"/>
    <w:rsid w:val="00D83D85"/>
    <w:rsid w:val="00D842C4"/>
    <w:rsid w:val="00D863E3"/>
    <w:rsid w:val="00D86450"/>
    <w:rsid w:val="00D8687F"/>
    <w:rsid w:val="00D87236"/>
    <w:rsid w:val="00D90131"/>
    <w:rsid w:val="00D90659"/>
    <w:rsid w:val="00D91123"/>
    <w:rsid w:val="00D91761"/>
    <w:rsid w:val="00D92C62"/>
    <w:rsid w:val="00D93EB5"/>
    <w:rsid w:val="00D9458C"/>
    <w:rsid w:val="00D94782"/>
    <w:rsid w:val="00D959BE"/>
    <w:rsid w:val="00D95EA1"/>
    <w:rsid w:val="00DA00F5"/>
    <w:rsid w:val="00DA1611"/>
    <w:rsid w:val="00DA1D39"/>
    <w:rsid w:val="00DA2F54"/>
    <w:rsid w:val="00DA3666"/>
    <w:rsid w:val="00DA3CA9"/>
    <w:rsid w:val="00DA4286"/>
    <w:rsid w:val="00DA576E"/>
    <w:rsid w:val="00DA5F78"/>
    <w:rsid w:val="00DA6A67"/>
    <w:rsid w:val="00DA75AA"/>
    <w:rsid w:val="00DA7824"/>
    <w:rsid w:val="00DA7D8E"/>
    <w:rsid w:val="00DB0643"/>
    <w:rsid w:val="00DB0F2C"/>
    <w:rsid w:val="00DB1B2F"/>
    <w:rsid w:val="00DB28CD"/>
    <w:rsid w:val="00DB32BF"/>
    <w:rsid w:val="00DB4F24"/>
    <w:rsid w:val="00DB5092"/>
    <w:rsid w:val="00DB58E2"/>
    <w:rsid w:val="00DB5BC2"/>
    <w:rsid w:val="00DC0B0C"/>
    <w:rsid w:val="00DC1DCC"/>
    <w:rsid w:val="00DC27D5"/>
    <w:rsid w:val="00DC372B"/>
    <w:rsid w:val="00DC3B81"/>
    <w:rsid w:val="00DC4268"/>
    <w:rsid w:val="00DC446A"/>
    <w:rsid w:val="00DC5F7B"/>
    <w:rsid w:val="00DC66F6"/>
    <w:rsid w:val="00DC66FE"/>
    <w:rsid w:val="00DC6A13"/>
    <w:rsid w:val="00DC7264"/>
    <w:rsid w:val="00DC7AA8"/>
    <w:rsid w:val="00DC7B26"/>
    <w:rsid w:val="00DC7E5D"/>
    <w:rsid w:val="00DD1515"/>
    <w:rsid w:val="00DD1729"/>
    <w:rsid w:val="00DD215D"/>
    <w:rsid w:val="00DD227D"/>
    <w:rsid w:val="00DD3F79"/>
    <w:rsid w:val="00DD3FBE"/>
    <w:rsid w:val="00DD4857"/>
    <w:rsid w:val="00DD5696"/>
    <w:rsid w:val="00DD6066"/>
    <w:rsid w:val="00DD6E86"/>
    <w:rsid w:val="00DD7B28"/>
    <w:rsid w:val="00DD7DF6"/>
    <w:rsid w:val="00DE11C8"/>
    <w:rsid w:val="00DE24E9"/>
    <w:rsid w:val="00DE2A85"/>
    <w:rsid w:val="00DE3C49"/>
    <w:rsid w:val="00DE437D"/>
    <w:rsid w:val="00DE51E5"/>
    <w:rsid w:val="00DE683C"/>
    <w:rsid w:val="00DE7C99"/>
    <w:rsid w:val="00DE7CBA"/>
    <w:rsid w:val="00DF19C0"/>
    <w:rsid w:val="00DF3346"/>
    <w:rsid w:val="00DF38F8"/>
    <w:rsid w:val="00DF42EB"/>
    <w:rsid w:val="00DF4B52"/>
    <w:rsid w:val="00DF4BA3"/>
    <w:rsid w:val="00DF4D70"/>
    <w:rsid w:val="00DF4F56"/>
    <w:rsid w:val="00DF6459"/>
    <w:rsid w:val="00DF6DA2"/>
    <w:rsid w:val="00E000EF"/>
    <w:rsid w:val="00E00591"/>
    <w:rsid w:val="00E007AE"/>
    <w:rsid w:val="00E00B6B"/>
    <w:rsid w:val="00E00E89"/>
    <w:rsid w:val="00E02973"/>
    <w:rsid w:val="00E0655F"/>
    <w:rsid w:val="00E06DDB"/>
    <w:rsid w:val="00E0745F"/>
    <w:rsid w:val="00E0759E"/>
    <w:rsid w:val="00E12351"/>
    <w:rsid w:val="00E1385D"/>
    <w:rsid w:val="00E14DD6"/>
    <w:rsid w:val="00E14EFF"/>
    <w:rsid w:val="00E156C4"/>
    <w:rsid w:val="00E16709"/>
    <w:rsid w:val="00E1688E"/>
    <w:rsid w:val="00E16CD1"/>
    <w:rsid w:val="00E21064"/>
    <w:rsid w:val="00E2170D"/>
    <w:rsid w:val="00E2229F"/>
    <w:rsid w:val="00E224B5"/>
    <w:rsid w:val="00E228EC"/>
    <w:rsid w:val="00E23B3B"/>
    <w:rsid w:val="00E24079"/>
    <w:rsid w:val="00E24C7F"/>
    <w:rsid w:val="00E25F05"/>
    <w:rsid w:val="00E26913"/>
    <w:rsid w:val="00E27933"/>
    <w:rsid w:val="00E27E72"/>
    <w:rsid w:val="00E3130F"/>
    <w:rsid w:val="00E32FD0"/>
    <w:rsid w:val="00E33486"/>
    <w:rsid w:val="00E336BF"/>
    <w:rsid w:val="00E34AFE"/>
    <w:rsid w:val="00E37DE4"/>
    <w:rsid w:val="00E40EA6"/>
    <w:rsid w:val="00E429B8"/>
    <w:rsid w:val="00E42B5B"/>
    <w:rsid w:val="00E42BA6"/>
    <w:rsid w:val="00E4420E"/>
    <w:rsid w:val="00E44FA6"/>
    <w:rsid w:val="00E469D8"/>
    <w:rsid w:val="00E501CB"/>
    <w:rsid w:val="00E502D4"/>
    <w:rsid w:val="00E50590"/>
    <w:rsid w:val="00E52028"/>
    <w:rsid w:val="00E520C5"/>
    <w:rsid w:val="00E5379D"/>
    <w:rsid w:val="00E53C50"/>
    <w:rsid w:val="00E53EA8"/>
    <w:rsid w:val="00E5460A"/>
    <w:rsid w:val="00E546E4"/>
    <w:rsid w:val="00E5653B"/>
    <w:rsid w:val="00E56BE2"/>
    <w:rsid w:val="00E607C3"/>
    <w:rsid w:val="00E61439"/>
    <w:rsid w:val="00E6180B"/>
    <w:rsid w:val="00E61D0B"/>
    <w:rsid w:val="00E634D1"/>
    <w:rsid w:val="00E63D81"/>
    <w:rsid w:val="00E63FD9"/>
    <w:rsid w:val="00E6462F"/>
    <w:rsid w:val="00E6538E"/>
    <w:rsid w:val="00E65F4B"/>
    <w:rsid w:val="00E71F08"/>
    <w:rsid w:val="00E7219F"/>
    <w:rsid w:val="00E732A1"/>
    <w:rsid w:val="00E73D50"/>
    <w:rsid w:val="00E7401E"/>
    <w:rsid w:val="00E74D16"/>
    <w:rsid w:val="00E751EC"/>
    <w:rsid w:val="00E75CB3"/>
    <w:rsid w:val="00E806A2"/>
    <w:rsid w:val="00E81012"/>
    <w:rsid w:val="00E82D85"/>
    <w:rsid w:val="00E83916"/>
    <w:rsid w:val="00E83E7A"/>
    <w:rsid w:val="00E84362"/>
    <w:rsid w:val="00E8561A"/>
    <w:rsid w:val="00E860D3"/>
    <w:rsid w:val="00E90E9B"/>
    <w:rsid w:val="00E91DBA"/>
    <w:rsid w:val="00E93936"/>
    <w:rsid w:val="00E94FB4"/>
    <w:rsid w:val="00E95024"/>
    <w:rsid w:val="00E95DEF"/>
    <w:rsid w:val="00EA0369"/>
    <w:rsid w:val="00EA584F"/>
    <w:rsid w:val="00EA638C"/>
    <w:rsid w:val="00EA6667"/>
    <w:rsid w:val="00EA758A"/>
    <w:rsid w:val="00EA7976"/>
    <w:rsid w:val="00EA7B77"/>
    <w:rsid w:val="00EB1E23"/>
    <w:rsid w:val="00EB225B"/>
    <w:rsid w:val="00EB2E2D"/>
    <w:rsid w:val="00EB3F73"/>
    <w:rsid w:val="00EB5F5B"/>
    <w:rsid w:val="00EB6770"/>
    <w:rsid w:val="00EB6B43"/>
    <w:rsid w:val="00EC0F91"/>
    <w:rsid w:val="00EC139C"/>
    <w:rsid w:val="00EC14A8"/>
    <w:rsid w:val="00EC18A3"/>
    <w:rsid w:val="00EC3579"/>
    <w:rsid w:val="00EC47AC"/>
    <w:rsid w:val="00EC6D33"/>
    <w:rsid w:val="00EC7EE1"/>
    <w:rsid w:val="00ED054E"/>
    <w:rsid w:val="00ED09D4"/>
    <w:rsid w:val="00ED0C58"/>
    <w:rsid w:val="00ED0C63"/>
    <w:rsid w:val="00ED3AFF"/>
    <w:rsid w:val="00ED4466"/>
    <w:rsid w:val="00ED4E8C"/>
    <w:rsid w:val="00ED539F"/>
    <w:rsid w:val="00ED5DB5"/>
    <w:rsid w:val="00ED5F0F"/>
    <w:rsid w:val="00ED6798"/>
    <w:rsid w:val="00ED6873"/>
    <w:rsid w:val="00ED792F"/>
    <w:rsid w:val="00ED7CD7"/>
    <w:rsid w:val="00EE0A85"/>
    <w:rsid w:val="00EE11BA"/>
    <w:rsid w:val="00EE1835"/>
    <w:rsid w:val="00EE1C20"/>
    <w:rsid w:val="00EE1DCE"/>
    <w:rsid w:val="00EE27C0"/>
    <w:rsid w:val="00EE293C"/>
    <w:rsid w:val="00EE3742"/>
    <w:rsid w:val="00EE439D"/>
    <w:rsid w:val="00EE5113"/>
    <w:rsid w:val="00EE683D"/>
    <w:rsid w:val="00EE7590"/>
    <w:rsid w:val="00EE7B04"/>
    <w:rsid w:val="00EF3667"/>
    <w:rsid w:val="00EF40AB"/>
    <w:rsid w:val="00EF630C"/>
    <w:rsid w:val="00EF7196"/>
    <w:rsid w:val="00F000CE"/>
    <w:rsid w:val="00F0029C"/>
    <w:rsid w:val="00F00744"/>
    <w:rsid w:val="00F00D9B"/>
    <w:rsid w:val="00F01B80"/>
    <w:rsid w:val="00F02E2E"/>
    <w:rsid w:val="00F03C59"/>
    <w:rsid w:val="00F05BDB"/>
    <w:rsid w:val="00F0652A"/>
    <w:rsid w:val="00F072F7"/>
    <w:rsid w:val="00F0743C"/>
    <w:rsid w:val="00F0776A"/>
    <w:rsid w:val="00F0796C"/>
    <w:rsid w:val="00F10FC0"/>
    <w:rsid w:val="00F11193"/>
    <w:rsid w:val="00F11841"/>
    <w:rsid w:val="00F11E80"/>
    <w:rsid w:val="00F12677"/>
    <w:rsid w:val="00F131D9"/>
    <w:rsid w:val="00F1421D"/>
    <w:rsid w:val="00F155AB"/>
    <w:rsid w:val="00F15950"/>
    <w:rsid w:val="00F16291"/>
    <w:rsid w:val="00F16730"/>
    <w:rsid w:val="00F20A21"/>
    <w:rsid w:val="00F20E95"/>
    <w:rsid w:val="00F213A3"/>
    <w:rsid w:val="00F221CA"/>
    <w:rsid w:val="00F23003"/>
    <w:rsid w:val="00F244E4"/>
    <w:rsid w:val="00F264B9"/>
    <w:rsid w:val="00F266FF"/>
    <w:rsid w:val="00F31733"/>
    <w:rsid w:val="00F31797"/>
    <w:rsid w:val="00F353BA"/>
    <w:rsid w:val="00F3566B"/>
    <w:rsid w:val="00F35A81"/>
    <w:rsid w:val="00F36093"/>
    <w:rsid w:val="00F361D8"/>
    <w:rsid w:val="00F3649E"/>
    <w:rsid w:val="00F36BD9"/>
    <w:rsid w:val="00F36F61"/>
    <w:rsid w:val="00F36F9B"/>
    <w:rsid w:val="00F370EF"/>
    <w:rsid w:val="00F371D3"/>
    <w:rsid w:val="00F3730F"/>
    <w:rsid w:val="00F37AC7"/>
    <w:rsid w:val="00F40924"/>
    <w:rsid w:val="00F40D83"/>
    <w:rsid w:val="00F43C94"/>
    <w:rsid w:val="00F43D22"/>
    <w:rsid w:val="00F4462D"/>
    <w:rsid w:val="00F4484D"/>
    <w:rsid w:val="00F459F4"/>
    <w:rsid w:val="00F45BE0"/>
    <w:rsid w:val="00F47573"/>
    <w:rsid w:val="00F50158"/>
    <w:rsid w:val="00F505D6"/>
    <w:rsid w:val="00F5133B"/>
    <w:rsid w:val="00F52643"/>
    <w:rsid w:val="00F52C9F"/>
    <w:rsid w:val="00F53402"/>
    <w:rsid w:val="00F53577"/>
    <w:rsid w:val="00F5429F"/>
    <w:rsid w:val="00F548B4"/>
    <w:rsid w:val="00F54E9E"/>
    <w:rsid w:val="00F56A4E"/>
    <w:rsid w:val="00F56EBE"/>
    <w:rsid w:val="00F57317"/>
    <w:rsid w:val="00F57D43"/>
    <w:rsid w:val="00F57FBC"/>
    <w:rsid w:val="00F609FC"/>
    <w:rsid w:val="00F61172"/>
    <w:rsid w:val="00F63F72"/>
    <w:rsid w:val="00F64105"/>
    <w:rsid w:val="00F64E5E"/>
    <w:rsid w:val="00F6614E"/>
    <w:rsid w:val="00F67587"/>
    <w:rsid w:val="00F70092"/>
    <w:rsid w:val="00F70710"/>
    <w:rsid w:val="00F71104"/>
    <w:rsid w:val="00F71884"/>
    <w:rsid w:val="00F71F38"/>
    <w:rsid w:val="00F71F82"/>
    <w:rsid w:val="00F721CA"/>
    <w:rsid w:val="00F7268B"/>
    <w:rsid w:val="00F74944"/>
    <w:rsid w:val="00F74CFD"/>
    <w:rsid w:val="00F772AE"/>
    <w:rsid w:val="00F7740E"/>
    <w:rsid w:val="00F77AE8"/>
    <w:rsid w:val="00F77C9D"/>
    <w:rsid w:val="00F801A8"/>
    <w:rsid w:val="00F801DA"/>
    <w:rsid w:val="00F824CE"/>
    <w:rsid w:val="00F85B98"/>
    <w:rsid w:val="00F8612D"/>
    <w:rsid w:val="00F86B6D"/>
    <w:rsid w:val="00F90022"/>
    <w:rsid w:val="00F9048D"/>
    <w:rsid w:val="00F905FE"/>
    <w:rsid w:val="00F92BB2"/>
    <w:rsid w:val="00F94164"/>
    <w:rsid w:val="00F94A52"/>
    <w:rsid w:val="00F95140"/>
    <w:rsid w:val="00F951F0"/>
    <w:rsid w:val="00F95F80"/>
    <w:rsid w:val="00F95F92"/>
    <w:rsid w:val="00F96614"/>
    <w:rsid w:val="00F975CD"/>
    <w:rsid w:val="00FA0533"/>
    <w:rsid w:val="00FA2DB7"/>
    <w:rsid w:val="00FA3CC6"/>
    <w:rsid w:val="00FA5560"/>
    <w:rsid w:val="00FA7426"/>
    <w:rsid w:val="00FA7681"/>
    <w:rsid w:val="00FB116E"/>
    <w:rsid w:val="00FB2266"/>
    <w:rsid w:val="00FB22B9"/>
    <w:rsid w:val="00FB7F96"/>
    <w:rsid w:val="00FC16F3"/>
    <w:rsid w:val="00FC34BF"/>
    <w:rsid w:val="00FC3B98"/>
    <w:rsid w:val="00FC4A7F"/>
    <w:rsid w:val="00FC4C6C"/>
    <w:rsid w:val="00FC731E"/>
    <w:rsid w:val="00FC7BE5"/>
    <w:rsid w:val="00FC7E67"/>
    <w:rsid w:val="00FD217F"/>
    <w:rsid w:val="00FD22B0"/>
    <w:rsid w:val="00FD2736"/>
    <w:rsid w:val="00FD2B62"/>
    <w:rsid w:val="00FD3E88"/>
    <w:rsid w:val="00FD3E90"/>
    <w:rsid w:val="00FD4058"/>
    <w:rsid w:val="00FD559F"/>
    <w:rsid w:val="00FD74F0"/>
    <w:rsid w:val="00FD7A16"/>
    <w:rsid w:val="00FE0267"/>
    <w:rsid w:val="00FE0D2F"/>
    <w:rsid w:val="00FE1E38"/>
    <w:rsid w:val="00FE2AE3"/>
    <w:rsid w:val="00FE2B52"/>
    <w:rsid w:val="00FE2C0F"/>
    <w:rsid w:val="00FE2F93"/>
    <w:rsid w:val="00FE3BD8"/>
    <w:rsid w:val="00FE6030"/>
    <w:rsid w:val="00FE7BB9"/>
    <w:rsid w:val="00FF0B4B"/>
    <w:rsid w:val="00FF2344"/>
    <w:rsid w:val="00FF2489"/>
    <w:rsid w:val="00FF42D7"/>
    <w:rsid w:val="00FF45D8"/>
    <w:rsid w:val="00FF4FD0"/>
    <w:rsid w:val="00FF54C7"/>
    <w:rsid w:val="00FF5ED7"/>
    <w:rsid w:val="00FF741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3793"/>
    <o:shapelayout v:ext="edit">
      <o:idmap v:ext="edit" data="1"/>
    </o:shapelayout>
  </w:shapeDefaults>
  <w:decimalSymbol w:val="."/>
  <w:listSeparator w:val=","/>
  <w14:docId w14:val="571D1C76"/>
  <w15:chartTrackingRefBased/>
  <w15:docId w15:val="{62547D47-C854-4780-90B7-3D1F0A43A9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in Text" w:uiPriority="99"/>
    <w:lsdException w:name="Normal (Web)" w:uiPriority="99"/>
    <w:lsdException w:name="HTML Typewriter"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4619DA"/>
    <w:pPr>
      <w:spacing w:before="120" w:after="120"/>
    </w:pPr>
    <w:rPr>
      <w:rFonts w:ascii="Helvetica" w:eastAsia="Times" w:hAnsi="Helvetica"/>
      <w:sz w:val="24"/>
    </w:rPr>
  </w:style>
  <w:style w:type="paragraph" w:styleId="Heading1">
    <w:name w:val="heading 1"/>
    <w:basedOn w:val="Normal"/>
    <w:next w:val="Normal"/>
    <w:link w:val="Heading1Char"/>
    <w:qFormat/>
    <w:rsid w:val="00586F5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qFormat/>
    <w:rsid w:val="00A90C08"/>
    <w:pPr>
      <w:keepNext/>
      <w:pBdr>
        <w:bottom w:val="single" w:sz="8" w:space="4" w:color="00424F"/>
      </w:pBdr>
      <w:tabs>
        <w:tab w:val="left" w:pos="0"/>
      </w:tabs>
      <w:spacing w:before="360" w:after="240"/>
      <w:outlineLvl w:val="1"/>
    </w:pPr>
    <w:rPr>
      <w:rFonts w:eastAsia="Times New Roman"/>
      <w:b/>
      <w:sz w:val="36"/>
    </w:rPr>
  </w:style>
  <w:style w:type="paragraph" w:styleId="Heading3">
    <w:name w:val="heading 3"/>
    <w:basedOn w:val="Normal"/>
    <w:next w:val="Normal"/>
    <w:qFormat/>
    <w:rsid w:val="00A90C08"/>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A90C08"/>
    <w:pPr>
      <w:keepNext/>
      <w:spacing w:after="60"/>
      <w:outlineLvl w:val="3"/>
    </w:pPr>
    <w:rPr>
      <w:b/>
    </w:rPr>
  </w:style>
  <w:style w:type="paragraph" w:styleId="Heading7">
    <w:name w:val="heading 7"/>
    <w:basedOn w:val="Normal"/>
    <w:next w:val="Normal"/>
    <w:qFormat/>
    <w:rsid w:val="00AB6CF8"/>
    <w:pPr>
      <w:spacing w:before="240" w:after="60"/>
      <w:outlineLvl w:val="6"/>
    </w:pPr>
    <w:rPr>
      <w:rFonts w:ascii="Cambria" w:eastAsia="Times New Roman" w:hAnsi="Cambria"/>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overviewtext"/>
    <w:link w:val="HeaderChar"/>
    <w:rsid w:val="00A90C08"/>
    <w:pPr>
      <w:tabs>
        <w:tab w:val="center" w:pos="4153"/>
        <w:tab w:val="right" w:pos="8306"/>
      </w:tabs>
    </w:pPr>
  </w:style>
  <w:style w:type="paragraph" w:customStyle="1" w:styleId="CommitteeTitle">
    <w:name w:val="Committee Title"/>
    <w:basedOn w:val="Header"/>
    <w:next w:val="Header"/>
    <w:qFormat/>
    <w:rsid w:val="00A90C08"/>
    <w:pPr>
      <w:shd w:val="clear" w:color="auto" w:fill="000000"/>
      <w:tabs>
        <w:tab w:val="clear" w:pos="4153"/>
        <w:tab w:val="clear" w:pos="8306"/>
      </w:tabs>
      <w:spacing w:after="120"/>
      <w:ind w:right="2835"/>
    </w:pPr>
    <w:rPr>
      <w:b/>
      <w:noProof/>
      <w:color w:val="FFFFFF"/>
    </w:rPr>
  </w:style>
  <w:style w:type="paragraph" w:customStyle="1" w:styleId="summarydetails">
    <w:name w:val="summary details"/>
    <w:basedOn w:val="overviewtext"/>
    <w:qFormat/>
    <w:rsid w:val="00A90C08"/>
    <w:pPr>
      <w:ind w:left="720"/>
    </w:pPr>
  </w:style>
  <w:style w:type="paragraph" w:customStyle="1" w:styleId="overviewtext">
    <w:name w:val="overview text"/>
    <w:link w:val="overviewtextChar"/>
    <w:qFormat/>
    <w:rsid w:val="00A90C08"/>
    <w:pPr>
      <w:spacing w:before="60" w:after="60"/>
    </w:pPr>
    <w:rPr>
      <w:rFonts w:ascii="Helvetica" w:eastAsia="Times" w:hAnsi="Helvetica"/>
      <w:sz w:val="24"/>
    </w:rPr>
  </w:style>
  <w:style w:type="paragraph" w:customStyle="1" w:styleId="overviewheading">
    <w:name w:val="overview heading"/>
    <w:basedOn w:val="overviewtext"/>
    <w:qFormat/>
    <w:rsid w:val="00A90C08"/>
    <w:pPr>
      <w:pBdr>
        <w:bottom w:val="single" w:sz="4" w:space="4" w:color="auto"/>
      </w:pBdr>
      <w:spacing w:before="120"/>
    </w:pPr>
    <w:rPr>
      <w:b/>
    </w:rPr>
  </w:style>
  <w:style w:type="paragraph" w:customStyle="1" w:styleId="ReportTitle">
    <w:name w:val="Report Title"/>
    <w:basedOn w:val="overviewtext"/>
    <w:qFormat/>
    <w:rsid w:val="00A90C08"/>
    <w:pPr>
      <w:spacing w:before="120" w:after="120"/>
    </w:pPr>
    <w:rPr>
      <w:b/>
      <w:sz w:val="40"/>
    </w:rPr>
  </w:style>
  <w:style w:type="paragraph" w:customStyle="1" w:styleId="Para2">
    <w:name w:val="Para2"/>
    <w:basedOn w:val="Normal"/>
    <w:link w:val="Para2Char"/>
    <w:autoRedefine/>
    <w:rsid w:val="00C2468A"/>
    <w:pPr>
      <w:spacing w:after="0"/>
      <w:jc w:val="both"/>
    </w:pPr>
  </w:style>
  <w:style w:type="paragraph" w:customStyle="1" w:styleId="Para1">
    <w:name w:val="Para1"/>
    <w:basedOn w:val="Heading3"/>
    <w:rsid w:val="00A90C08"/>
    <w:pPr>
      <w:tabs>
        <w:tab w:val="left" w:pos="1440"/>
      </w:tabs>
      <w:spacing w:after="120"/>
      <w:ind w:left="1440" w:hanging="720"/>
    </w:pPr>
    <w:rPr>
      <w:rFonts w:ascii="Helvetica" w:hAnsi="Helvetica" w:cs="Times New Roman"/>
      <w:b w:val="0"/>
      <w:bCs w:val="0"/>
      <w:sz w:val="24"/>
      <w:szCs w:val="24"/>
    </w:rPr>
  </w:style>
  <w:style w:type="character" w:customStyle="1" w:styleId="Heading2Char">
    <w:name w:val="Heading 2 Char"/>
    <w:link w:val="Heading2"/>
    <w:rsid w:val="00A90C08"/>
    <w:rPr>
      <w:rFonts w:ascii="Helvetica" w:hAnsi="Helvetica"/>
      <w:b/>
      <w:sz w:val="36"/>
      <w:lang w:val="en-GB" w:eastAsia="en-GB" w:bidi="ar-SA"/>
    </w:rPr>
  </w:style>
  <w:style w:type="character" w:customStyle="1" w:styleId="overviewtextChar">
    <w:name w:val="overview text Char"/>
    <w:link w:val="overviewtext"/>
    <w:rsid w:val="00A90C08"/>
    <w:rPr>
      <w:rFonts w:ascii="Helvetica" w:eastAsia="Times" w:hAnsi="Helvetica"/>
      <w:sz w:val="24"/>
      <w:lang w:val="en-GB" w:eastAsia="en-GB" w:bidi="ar-SA"/>
    </w:rPr>
  </w:style>
  <w:style w:type="character" w:customStyle="1" w:styleId="HeaderChar">
    <w:name w:val="Header Char"/>
    <w:link w:val="Header"/>
    <w:rsid w:val="00A90C08"/>
    <w:rPr>
      <w:rFonts w:ascii="Helvetica" w:eastAsia="Times" w:hAnsi="Helvetica"/>
      <w:sz w:val="24"/>
      <w:lang w:val="en-GB" w:eastAsia="en-GB" w:bidi="ar-SA"/>
    </w:rPr>
  </w:style>
  <w:style w:type="character" w:customStyle="1" w:styleId="Para2Char">
    <w:name w:val="Para2 Char"/>
    <w:link w:val="Para2"/>
    <w:rsid w:val="00C2468A"/>
    <w:rPr>
      <w:rFonts w:ascii="Helvetica" w:eastAsia="Times" w:hAnsi="Helvetica"/>
      <w:sz w:val="24"/>
    </w:rPr>
  </w:style>
  <w:style w:type="paragraph" w:customStyle="1" w:styleId="NumberedList4">
    <w:name w:val="Numbered List4"/>
    <w:basedOn w:val="Normal"/>
    <w:rsid w:val="00A90C08"/>
    <w:pPr>
      <w:numPr>
        <w:numId w:val="1"/>
      </w:numPr>
      <w:tabs>
        <w:tab w:val="num" w:pos="851"/>
      </w:tabs>
      <w:ind w:left="1134" w:hanging="708"/>
    </w:pPr>
  </w:style>
  <w:style w:type="paragraph" w:styleId="BodyTextIndent3">
    <w:name w:val="Body Text Indent 3"/>
    <w:basedOn w:val="Normal"/>
    <w:rsid w:val="00A90C08"/>
    <w:pPr>
      <w:ind w:left="283"/>
    </w:pPr>
    <w:rPr>
      <w:sz w:val="16"/>
      <w:szCs w:val="16"/>
    </w:rPr>
  </w:style>
  <w:style w:type="paragraph" w:styleId="Footer">
    <w:name w:val="footer"/>
    <w:basedOn w:val="Normal"/>
    <w:link w:val="FooterChar"/>
    <w:uiPriority w:val="99"/>
    <w:rsid w:val="00A90C08"/>
    <w:pPr>
      <w:tabs>
        <w:tab w:val="center" w:pos="4153"/>
        <w:tab w:val="right" w:pos="8306"/>
      </w:tabs>
    </w:pPr>
  </w:style>
  <w:style w:type="paragraph" w:customStyle="1" w:styleId="NormalLatinArial">
    <w:name w:val="Normal + (Latin) Arial"/>
    <w:aliases w:val="Justified,Left:  0 cm,Hanging:  1.27 cm,Before:  0..."/>
    <w:basedOn w:val="Normal"/>
    <w:rsid w:val="00DD7DF6"/>
    <w:pPr>
      <w:spacing w:before="0" w:after="0"/>
      <w:ind w:left="720" w:hanging="720"/>
      <w:jc w:val="both"/>
    </w:pPr>
    <w:rPr>
      <w:rFonts w:ascii="Arial" w:hAnsi="Arial" w:cs="Arial"/>
      <w:szCs w:val="24"/>
    </w:rPr>
  </w:style>
  <w:style w:type="paragraph" w:styleId="BodyTextIndent">
    <w:name w:val="Body Text Indent"/>
    <w:basedOn w:val="Normal"/>
    <w:rsid w:val="00DD7DF6"/>
    <w:pPr>
      <w:ind w:left="283"/>
    </w:pPr>
  </w:style>
  <w:style w:type="character" w:styleId="Emphasis">
    <w:name w:val="Emphasis"/>
    <w:qFormat/>
    <w:rsid w:val="00AB6CF8"/>
    <w:rPr>
      <w:i/>
      <w:iCs/>
    </w:rPr>
  </w:style>
  <w:style w:type="paragraph" w:styleId="BodyText">
    <w:name w:val="Body Text"/>
    <w:basedOn w:val="Normal"/>
    <w:rsid w:val="00E94FB4"/>
  </w:style>
  <w:style w:type="paragraph" w:customStyle="1" w:styleId="NumberedList3">
    <w:name w:val="Numbered List3"/>
    <w:basedOn w:val="Normal"/>
    <w:autoRedefine/>
    <w:rsid w:val="009B20A4"/>
    <w:pPr>
      <w:spacing w:before="0" w:after="0"/>
      <w:ind w:left="709" w:hanging="709"/>
    </w:pPr>
  </w:style>
  <w:style w:type="paragraph" w:styleId="BalloonText">
    <w:name w:val="Balloon Text"/>
    <w:basedOn w:val="Normal"/>
    <w:semiHidden/>
    <w:rsid w:val="00F7268B"/>
    <w:rPr>
      <w:rFonts w:ascii="Tahoma" w:hAnsi="Tahoma" w:cs="Tahoma"/>
      <w:sz w:val="16"/>
      <w:szCs w:val="16"/>
    </w:rPr>
  </w:style>
  <w:style w:type="table" w:styleId="TableGrid">
    <w:name w:val="Table Grid"/>
    <w:basedOn w:val="TableNormal"/>
    <w:uiPriority w:val="39"/>
    <w:rsid w:val="00F7268B"/>
    <w:pPr>
      <w:spacing w:before="120"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rsid w:val="0010149D"/>
    <w:rPr>
      <w:color w:val="606420"/>
      <w:u w:val="single"/>
    </w:rPr>
  </w:style>
  <w:style w:type="paragraph" w:customStyle="1" w:styleId="a">
    <w:basedOn w:val="Normal"/>
    <w:autoRedefine/>
    <w:rsid w:val="00FE6030"/>
    <w:pPr>
      <w:spacing w:before="0" w:after="160" w:line="240" w:lineRule="exact"/>
    </w:pPr>
    <w:rPr>
      <w:rFonts w:ascii="Verdana" w:eastAsia="Times New Roman" w:hAnsi="Verdana"/>
      <w:sz w:val="20"/>
      <w:lang w:val="en-US" w:eastAsia="en-US"/>
    </w:rPr>
  </w:style>
  <w:style w:type="character" w:styleId="Hyperlink">
    <w:name w:val="Hyperlink"/>
    <w:rsid w:val="00BF5DFB"/>
    <w:rPr>
      <w:color w:val="0000FF"/>
      <w:u w:val="single"/>
    </w:rPr>
  </w:style>
  <w:style w:type="paragraph" w:customStyle="1" w:styleId="Char">
    <w:name w:val="Char"/>
    <w:basedOn w:val="Normal"/>
    <w:autoRedefine/>
    <w:rsid w:val="001418F2"/>
    <w:pPr>
      <w:spacing w:before="0" w:after="160" w:line="240" w:lineRule="exact"/>
    </w:pPr>
    <w:rPr>
      <w:rFonts w:ascii="Verdana" w:eastAsia="Times New Roman" w:hAnsi="Verdana"/>
      <w:sz w:val="20"/>
      <w:lang w:val="en-US" w:eastAsia="en-US"/>
    </w:rPr>
  </w:style>
  <w:style w:type="paragraph" w:styleId="NormalWeb">
    <w:name w:val="Normal (Web)"/>
    <w:basedOn w:val="Normal"/>
    <w:uiPriority w:val="99"/>
    <w:unhideWhenUsed/>
    <w:rsid w:val="00D256C7"/>
    <w:pPr>
      <w:spacing w:before="0" w:after="0"/>
    </w:pPr>
    <w:rPr>
      <w:rFonts w:ascii="Times New Roman" w:eastAsia="Calibri" w:hAnsi="Times New Roman"/>
      <w:szCs w:val="24"/>
    </w:rPr>
  </w:style>
  <w:style w:type="paragraph" w:styleId="NoSpacing">
    <w:name w:val="No Spacing"/>
    <w:uiPriority w:val="1"/>
    <w:qFormat/>
    <w:rsid w:val="0007793C"/>
    <w:rPr>
      <w:rFonts w:ascii="Calibri" w:eastAsia="Calibri" w:hAnsi="Calibri"/>
      <w:sz w:val="22"/>
      <w:szCs w:val="22"/>
      <w:lang w:eastAsia="en-US"/>
    </w:rPr>
  </w:style>
  <w:style w:type="character" w:styleId="CommentReference">
    <w:name w:val="annotation reference"/>
    <w:rsid w:val="006C2E4E"/>
    <w:rPr>
      <w:sz w:val="16"/>
      <w:szCs w:val="16"/>
    </w:rPr>
  </w:style>
  <w:style w:type="paragraph" w:styleId="CommentText">
    <w:name w:val="annotation text"/>
    <w:basedOn w:val="Normal"/>
    <w:link w:val="CommentTextChar"/>
    <w:rsid w:val="006C2E4E"/>
    <w:rPr>
      <w:sz w:val="20"/>
    </w:rPr>
  </w:style>
  <w:style w:type="character" w:customStyle="1" w:styleId="CommentTextChar">
    <w:name w:val="Comment Text Char"/>
    <w:link w:val="CommentText"/>
    <w:rsid w:val="006C2E4E"/>
    <w:rPr>
      <w:rFonts w:ascii="Helvetica" w:eastAsia="Times" w:hAnsi="Helvetica"/>
    </w:rPr>
  </w:style>
  <w:style w:type="paragraph" w:styleId="CommentSubject">
    <w:name w:val="annotation subject"/>
    <w:basedOn w:val="CommentText"/>
    <w:next w:val="CommentText"/>
    <w:link w:val="CommentSubjectChar"/>
    <w:rsid w:val="006C2E4E"/>
    <w:rPr>
      <w:b/>
      <w:bCs/>
    </w:rPr>
  </w:style>
  <w:style w:type="character" w:customStyle="1" w:styleId="CommentSubjectChar">
    <w:name w:val="Comment Subject Char"/>
    <w:link w:val="CommentSubject"/>
    <w:rsid w:val="006C2E4E"/>
    <w:rPr>
      <w:rFonts w:ascii="Helvetica" w:eastAsia="Times" w:hAnsi="Helvetica"/>
      <w:b/>
      <w:bCs/>
    </w:rPr>
  </w:style>
  <w:style w:type="paragraph" w:styleId="ListParagraph">
    <w:name w:val="List Paragraph"/>
    <w:basedOn w:val="Normal"/>
    <w:uiPriority w:val="34"/>
    <w:qFormat/>
    <w:rsid w:val="001509A7"/>
    <w:pPr>
      <w:ind w:left="720"/>
    </w:pPr>
  </w:style>
  <w:style w:type="character" w:customStyle="1" w:styleId="s7">
    <w:name w:val="s7"/>
    <w:rsid w:val="004135B9"/>
  </w:style>
  <w:style w:type="table" w:customStyle="1" w:styleId="TableGrid11">
    <w:name w:val="Table Grid11"/>
    <w:basedOn w:val="TableNormal"/>
    <w:next w:val="TableGrid"/>
    <w:rsid w:val="00145E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20D16"/>
    <w:pPr>
      <w:autoSpaceDE w:val="0"/>
      <w:autoSpaceDN w:val="0"/>
      <w:adjustRightInd w:val="0"/>
    </w:pPr>
    <w:rPr>
      <w:rFonts w:ascii="Arial" w:hAnsi="Arial" w:cs="Arial"/>
      <w:color w:val="000000"/>
      <w:sz w:val="24"/>
      <w:szCs w:val="24"/>
    </w:rPr>
  </w:style>
  <w:style w:type="paragraph" w:customStyle="1" w:styleId="Pa9">
    <w:name w:val="Pa9"/>
    <w:basedOn w:val="Default"/>
    <w:next w:val="Default"/>
    <w:uiPriority w:val="99"/>
    <w:rsid w:val="00FF741B"/>
    <w:pPr>
      <w:spacing w:line="321" w:lineRule="atLeast"/>
    </w:pPr>
    <w:rPr>
      <w:rFonts w:ascii="Stone Sans" w:hAnsi="Stone Sans" w:cs="Times New Roman"/>
      <w:color w:val="auto"/>
    </w:rPr>
  </w:style>
  <w:style w:type="paragraph" w:customStyle="1" w:styleId="Pa3">
    <w:name w:val="Pa3"/>
    <w:basedOn w:val="Default"/>
    <w:next w:val="Default"/>
    <w:uiPriority w:val="99"/>
    <w:rsid w:val="00FF741B"/>
    <w:pPr>
      <w:spacing w:line="241" w:lineRule="atLeast"/>
    </w:pPr>
    <w:rPr>
      <w:rFonts w:ascii="Stone Sans" w:hAnsi="Stone Sans" w:cs="Times New Roman"/>
      <w:color w:val="auto"/>
    </w:rPr>
  </w:style>
  <w:style w:type="paragraph" w:customStyle="1" w:styleId="Pa13">
    <w:name w:val="Pa13"/>
    <w:basedOn w:val="Default"/>
    <w:next w:val="Default"/>
    <w:uiPriority w:val="99"/>
    <w:rsid w:val="00FF741B"/>
    <w:pPr>
      <w:spacing w:line="241" w:lineRule="atLeast"/>
    </w:pPr>
    <w:rPr>
      <w:rFonts w:ascii="Stone Sans" w:hAnsi="Stone Sans" w:cs="Times New Roman"/>
      <w:color w:val="auto"/>
    </w:rPr>
  </w:style>
  <w:style w:type="character" w:customStyle="1" w:styleId="Heading4Char">
    <w:name w:val="Heading 4 Char"/>
    <w:link w:val="Heading4"/>
    <w:rsid w:val="002512E1"/>
    <w:rPr>
      <w:rFonts w:ascii="Helvetica" w:eastAsia="Times" w:hAnsi="Helvetica"/>
      <w:b/>
      <w:sz w:val="24"/>
    </w:rPr>
  </w:style>
  <w:style w:type="character" w:customStyle="1" w:styleId="FooterChar">
    <w:name w:val="Footer Char"/>
    <w:link w:val="Footer"/>
    <w:uiPriority w:val="99"/>
    <w:rsid w:val="00972F1D"/>
    <w:rPr>
      <w:rFonts w:ascii="Helvetica" w:eastAsia="Times" w:hAnsi="Helvetica"/>
      <w:sz w:val="24"/>
    </w:rPr>
  </w:style>
  <w:style w:type="paragraph" w:styleId="Title">
    <w:name w:val="Title"/>
    <w:basedOn w:val="Normal"/>
    <w:link w:val="TitleChar"/>
    <w:qFormat/>
    <w:rsid w:val="004E5E84"/>
    <w:pPr>
      <w:spacing w:before="0" w:after="0"/>
      <w:jc w:val="center"/>
    </w:pPr>
    <w:rPr>
      <w:rFonts w:ascii="Centaur" w:eastAsia="Times New Roman" w:hAnsi="Centaur"/>
      <w:b/>
      <w:bCs/>
      <w:szCs w:val="24"/>
      <w:u w:val="single"/>
      <w:lang w:eastAsia="en-US"/>
    </w:rPr>
  </w:style>
  <w:style w:type="character" w:customStyle="1" w:styleId="TitleChar">
    <w:name w:val="Title Char"/>
    <w:link w:val="Title"/>
    <w:rsid w:val="004E5E84"/>
    <w:rPr>
      <w:rFonts w:ascii="Centaur" w:hAnsi="Centaur"/>
      <w:b/>
      <w:bCs/>
      <w:sz w:val="24"/>
      <w:szCs w:val="24"/>
      <w:u w:val="single"/>
      <w:lang w:eastAsia="en-US"/>
    </w:rPr>
  </w:style>
  <w:style w:type="paragraph" w:customStyle="1" w:styleId="ParaX1">
    <w:name w:val="Para X.1"/>
    <w:basedOn w:val="Normal"/>
    <w:rsid w:val="00C97522"/>
    <w:pPr>
      <w:spacing w:before="0" w:after="0"/>
      <w:ind w:left="731" w:hanging="731"/>
    </w:pPr>
    <w:rPr>
      <w:rFonts w:ascii="Arial" w:hAnsi="Arial"/>
    </w:rPr>
  </w:style>
  <w:style w:type="paragraph" w:customStyle="1" w:styleId="Char0">
    <w:name w:val="Char"/>
    <w:basedOn w:val="Normal"/>
    <w:rsid w:val="00520993"/>
    <w:pPr>
      <w:spacing w:before="0" w:after="160" w:line="240" w:lineRule="exact"/>
    </w:pPr>
    <w:rPr>
      <w:rFonts w:ascii="Tahoma" w:eastAsia="Times New Roman" w:hAnsi="Tahoma"/>
      <w:sz w:val="20"/>
      <w:lang w:val="en-US" w:eastAsia="en-US"/>
    </w:rPr>
  </w:style>
  <w:style w:type="paragraph" w:customStyle="1" w:styleId="p1">
    <w:name w:val="p1"/>
    <w:basedOn w:val="Normal"/>
    <w:rsid w:val="00F63F72"/>
    <w:pPr>
      <w:spacing w:before="0" w:after="0"/>
    </w:pPr>
    <w:rPr>
      <w:rFonts w:ascii=".SF UI Text" w:eastAsia="Calibri" w:hAnsi=".SF UI Text"/>
      <w:color w:val="454545"/>
      <w:sz w:val="26"/>
      <w:szCs w:val="26"/>
    </w:rPr>
  </w:style>
  <w:style w:type="character" w:customStyle="1" w:styleId="s1">
    <w:name w:val="s1"/>
    <w:rsid w:val="00F63F72"/>
    <w:rPr>
      <w:rFonts w:ascii=".SFUIText" w:hAnsi=".SFUIText" w:hint="default"/>
      <w:b w:val="0"/>
      <w:bCs w:val="0"/>
      <w:i w:val="0"/>
      <w:iCs w:val="0"/>
      <w:sz w:val="34"/>
      <w:szCs w:val="34"/>
    </w:rPr>
  </w:style>
  <w:style w:type="paragraph" w:styleId="PlainText">
    <w:name w:val="Plain Text"/>
    <w:basedOn w:val="Normal"/>
    <w:link w:val="PlainTextChar"/>
    <w:uiPriority w:val="99"/>
    <w:unhideWhenUsed/>
    <w:rsid w:val="00BC294C"/>
    <w:pPr>
      <w:spacing w:before="0" w:after="0"/>
    </w:pPr>
    <w:rPr>
      <w:rFonts w:ascii="Calibri" w:eastAsia="Calibri" w:hAnsi="Calibri"/>
      <w:sz w:val="22"/>
      <w:szCs w:val="21"/>
      <w:lang w:eastAsia="en-US"/>
    </w:rPr>
  </w:style>
  <w:style w:type="character" w:customStyle="1" w:styleId="PlainTextChar">
    <w:name w:val="Plain Text Char"/>
    <w:link w:val="PlainText"/>
    <w:uiPriority w:val="99"/>
    <w:rsid w:val="00BC294C"/>
    <w:rPr>
      <w:rFonts w:ascii="Calibri" w:eastAsia="Calibri" w:hAnsi="Calibri"/>
      <w:sz w:val="22"/>
      <w:szCs w:val="21"/>
      <w:lang w:eastAsia="en-US"/>
    </w:rPr>
  </w:style>
  <w:style w:type="paragraph" w:customStyle="1" w:styleId="xmsonormal">
    <w:name w:val="x_msonormal"/>
    <w:basedOn w:val="Normal"/>
    <w:rsid w:val="00C015DA"/>
    <w:pPr>
      <w:spacing w:before="100" w:beforeAutospacing="1" w:after="100" w:afterAutospacing="1"/>
    </w:pPr>
    <w:rPr>
      <w:rFonts w:ascii="Times New Roman" w:eastAsia="Times New Roman" w:hAnsi="Times New Roman"/>
      <w:szCs w:val="24"/>
    </w:rPr>
  </w:style>
  <w:style w:type="paragraph" w:customStyle="1" w:styleId="xmsolistparagraph">
    <w:name w:val="x_msolistparagraph"/>
    <w:basedOn w:val="Normal"/>
    <w:rsid w:val="00C015DA"/>
    <w:pPr>
      <w:spacing w:before="100" w:beforeAutospacing="1" w:after="100" w:afterAutospacing="1"/>
    </w:pPr>
    <w:rPr>
      <w:rFonts w:ascii="Times New Roman" w:eastAsia="Times New Roman" w:hAnsi="Times New Roman"/>
      <w:szCs w:val="24"/>
    </w:rPr>
  </w:style>
  <w:style w:type="character" w:customStyle="1" w:styleId="Heading1Char">
    <w:name w:val="Heading 1 Char"/>
    <w:basedOn w:val="DefaultParagraphFont"/>
    <w:link w:val="Heading1"/>
    <w:rsid w:val="00586F5C"/>
    <w:rPr>
      <w:rFonts w:asciiTheme="majorHAnsi" w:eastAsiaTheme="majorEastAsia" w:hAnsiTheme="majorHAnsi" w:cstheme="majorBidi"/>
      <w:color w:val="2F5496" w:themeColor="accent1" w:themeShade="BF"/>
      <w:sz w:val="32"/>
      <w:szCs w:val="32"/>
    </w:rPr>
  </w:style>
  <w:style w:type="table" w:customStyle="1" w:styleId="TableGrid1">
    <w:name w:val="Table Grid1"/>
    <w:basedOn w:val="TableNormal"/>
    <w:next w:val="TableGrid"/>
    <w:uiPriority w:val="39"/>
    <w:rsid w:val="00586F5C"/>
    <w:rPr>
      <w:rFonts w:asciiTheme="minorHAnsi" w:eastAsiaTheme="minorHAnsi"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3F5739"/>
    <w:rPr>
      <w:rFonts w:asciiTheme="minorHAnsi" w:eastAsiaTheme="minorHAnsi"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977834">
      <w:bodyDiv w:val="1"/>
      <w:marLeft w:val="0"/>
      <w:marRight w:val="0"/>
      <w:marTop w:val="0"/>
      <w:marBottom w:val="0"/>
      <w:divBdr>
        <w:top w:val="none" w:sz="0" w:space="0" w:color="auto"/>
        <w:left w:val="none" w:sz="0" w:space="0" w:color="auto"/>
        <w:bottom w:val="none" w:sz="0" w:space="0" w:color="auto"/>
        <w:right w:val="none" w:sz="0" w:space="0" w:color="auto"/>
      </w:divBdr>
    </w:div>
    <w:div w:id="78840428">
      <w:bodyDiv w:val="1"/>
      <w:marLeft w:val="0"/>
      <w:marRight w:val="0"/>
      <w:marTop w:val="0"/>
      <w:marBottom w:val="0"/>
      <w:divBdr>
        <w:top w:val="none" w:sz="0" w:space="0" w:color="auto"/>
        <w:left w:val="none" w:sz="0" w:space="0" w:color="auto"/>
        <w:bottom w:val="none" w:sz="0" w:space="0" w:color="auto"/>
        <w:right w:val="none" w:sz="0" w:space="0" w:color="auto"/>
      </w:divBdr>
    </w:div>
    <w:div w:id="115369002">
      <w:bodyDiv w:val="1"/>
      <w:marLeft w:val="0"/>
      <w:marRight w:val="0"/>
      <w:marTop w:val="0"/>
      <w:marBottom w:val="0"/>
      <w:divBdr>
        <w:top w:val="none" w:sz="0" w:space="0" w:color="auto"/>
        <w:left w:val="none" w:sz="0" w:space="0" w:color="auto"/>
        <w:bottom w:val="none" w:sz="0" w:space="0" w:color="auto"/>
        <w:right w:val="none" w:sz="0" w:space="0" w:color="auto"/>
      </w:divBdr>
    </w:div>
    <w:div w:id="282272338">
      <w:bodyDiv w:val="1"/>
      <w:marLeft w:val="0"/>
      <w:marRight w:val="0"/>
      <w:marTop w:val="0"/>
      <w:marBottom w:val="0"/>
      <w:divBdr>
        <w:top w:val="none" w:sz="0" w:space="0" w:color="auto"/>
        <w:left w:val="none" w:sz="0" w:space="0" w:color="auto"/>
        <w:bottom w:val="none" w:sz="0" w:space="0" w:color="auto"/>
        <w:right w:val="none" w:sz="0" w:space="0" w:color="auto"/>
      </w:divBdr>
    </w:div>
    <w:div w:id="356123358">
      <w:bodyDiv w:val="1"/>
      <w:marLeft w:val="0"/>
      <w:marRight w:val="0"/>
      <w:marTop w:val="0"/>
      <w:marBottom w:val="0"/>
      <w:divBdr>
        <w:top w:val="none" w:sz="0" w:space="0" w:color="auto"/>
        <w:left w:val="none" w:sz="0" w:space="0" w:color="auto"/>
        <w:bottom w:val="none" w:sz="0" w:space="0" w:color="auto"/>
        <w:right w:val="none" w:sz="0" w:space="0" w:color="auto"/>
      </w:divBdr>
    </w:div>
    <w:div w:id="365957792">
      <w:bodyDiv w:val="1"/>
      <w:marLeft w:val="80"/>
      <w:marRight w:val="80"/>
      <w:marTop w:val="80"/>
      <w:marBottom w:val="20"/>
      <w:divBdr>
        <w:top w:val="none" w:sz="0" w:space="0" w:color="auto"/>
        <w:left w:val="none" w:sz="0" w:space="0" w:color="auto"/>
        <w:bottom w:val="none" w:sz="0" w:space="0" w:color="auto"/>
        <w:right w:val="none" w:sz="0" w:space="0" w:color="auto"/>
      </w:divBdr>
      <w:divsChild>
        <w:div w:id="1641956144">
          <w:marLeft w:val="0"/>
          <w:marRight w:val="0"/>
          <w:marTop w:val="0"/>
          <w:marBottom w:val="0"/>
          <w:divBdr>
            <w:top w:val="none" w:sz="0" w:space="0" w:color="auto"/>
            <w:left w:val="none" w:sz="0" w:space="0" w:color="auto"/>
            <w:bottom w:val="none" w:sz="0" w:space="0" w:color="auto"/>
            <w:right w:val="none" w:sz="0" w:space="0" w:color="auto"/>
          </w:divBdr>
        </w:div>
        <w:div w:id="1852985586">
          <w:marLeft w:val="0"/>
          <w:marRight w:val="0"/>
          <w:marTop w:val="0"/>
          <w:marBottom w:val="0"/>
          <w:divBdr>
            <w:top w:val="none" w:sz="0" w:space="0" w:color="auto"/>
            <w:left w:val="none" w:sz="0" w:space="0" w:color="auto"/>
            <w:bottom w:val="none" w:sz="0" w:space="0" w:color="auto"/>
            <w:right w:val="none" w:sz="0" w:space="0" w:color="auto"/>
          </w:divBdr>
        </w:div>
      </w:divsChild>
    </w:div>
    <w:div w:id="408231853">
      <w:bodyDiv w:val="1"/>
      <w:marLeft w:val="80"/>
      <w:marRight w:val="80"/>
      <w:marTop w:val="80"/>
      <w:marBottom w:val="20"/>
      <w:divBdr>
        <w:top w:val="none" w:sz="0" w:space="0" w:color="auto"/>
        <w:left w:val="none" w:sz="0" w:space="0" w:color="auto"/>
        <w:bottom w:val="none" w:sz="0" w:space="0" w:color="auto"/>
        <w:right w:val="none" w:sz="0" w:space="0" w:color="auto"/>
      </w:divBdr>
      <w:divsChild>
        <w:div w:id="1960186255">
          <w:marLeft w:val="0"/>
          <w:marRight w:val="0"/>
          <w:marTop w:val="0"/>
          <w:marBottom w:val="0"/>
          <w:divBdr>
            <w:top w:val="none" w:sz="0" w:space="0" w:color="auto"/>
            <w:left w:val="none" w:sz="0" w:space="0" w:color="auto"/>
            <w:bottom w:val="none" w:sz="0" w:space="0" w:color="auto"/>
            <w:right w:val="none" w:sz="0" w:space="0" w:color="auto"/>
          </w:divBdr>
          <w:divsChild>
            <w:div w:id="1686438585">
              <w:marLeft w:val="0"/>
              <w:marRight w:val="0"/>
              <w:marTop w:val="0"/>
              <w:marBottom w:val="0"/>
              <w:divBdr>
                <w:top w:val="none" w:sz="0" w:space="0" w:color="auto"/>
                <w:left w:val="none" w:sz="0" w:space="0" w:color="auto"/>
                <w:bottom w:val="none" w:sz="0" w:space="0" w:color="auto"/>
                <w:right w:val="none" w:sz="0" w:space="0" w:color="auto"/>
              </w:divBdr>
              <w:divsChild>
                <w:div w:id="311912668">
                  <w:marLeft w:val="0"/>
                  <w:marRight w:val="0"/>
                  <w:marTop w:val="0"/>
                  <w:marBottom w:val="0"/>
                  <w:divBdr>
                    <w:top w:val="none" w:sz="0" w:space="0" w:color="auto"/>
                    <w:left w:val="none" w:sz="0" w:space="0" w:color="auto"/>
                    <w:bottom w:val="none" w:sz="0" w:space="0" w:color="auto"/>
                    <w:right w:val="none" w:sz="0" w:space="0" w:color="auto"/>
                  </w:divBdr>
                </w:div>
                <w:div w:id="772554188">
                  <w:marLeft w:val="0"/>
                  <w:marRight w:val="0"/>
                  <w:marTop w:val="0"/>
                  <w:marBottom w:val="0"/>
                  <w:divBdr>
                    <w:top w:val="none" w:sz="0" w:space="0" w:color="auto"/>
                    <w:left w:val="none" w:sz="0" w:space="0" w:color="auto"/>
                    <w:bottom w:val="none" w:sz="0" w:space="0" w:color="auto"/>
                    <w:right w:val="none" w:sz="0" w:space="0" w:color="auto"/>
                  </w:divBdr>
                </w:div>
                <w:div w:id="1120342731">
                  <w:marLeft w:val="0"/>
                  <w:marRight w:val="0"/>
                  <w:marTop w:val="0"/>
                  <w:marBottom w:val="0"/>
                  <w:divBdr>
                    <w:top w:val="none" w:sz="0" w:space="0" w:color="auto"/>
                    <w:left w:val="none" w:sz="0" w:space="0" w:color="auto"/>
                    <w:bottom w:val="none" w:sz="0" w:space="0" w:color="auto"/>
                    <w:right w:val="none" w:sz="0" w:space="0" w:color="auto"/>
                  </w:divBdr>
                </w:div>
                <w:div w:id="1514149051">
                  <w:marLeft w:val="0"/>
                  <w:marRight w:val="0"/>
                  <w:marTop w:val="0"/>
                  <w:marBottom w:val="0"/>
                  <w:divBdr>
                    <w:top w:val="none" w:sz="0" w:space="0" w:color="auto"/>
                    <w:left w:val="none" w:sz="0" w:space="0" w:color="auto"/>
                    <w:bottom w:val="none" w:sz="0" w:space="0" w:color="auto"/>
                    <w:right w:val="none" w:sz="0" w:space="0" w:color="auto"/>
                  </w:divBdr>
                </w:div>
                <w:div w:id="1622687583">
                  <w:marLeft w:val="0"/>
                  <w:marRight w:val="0"/>
                  <w:marTop w:val="0"/>
                  <w:marBottom w:val="0"/>
                  <w:divBdr>
                    <w:top w:val="none" w:sz="0" w:space="0" w:color="auto"/>
                    <w:left w:val="none" w:sz="0" w:space="0" w:color="auto"/>
                    <w:bottom w:val="none" w:sz="0" w:space="0" w:color="auto"/>
                    <w:right w:val="none" w:sz="0" w:space="0" w:color="auto"/>
                  </w:divBdr>
                </w:div>
                <w:div w:id="1885562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850242">
      <w:bodyDiv w:val="1"/>
      <w:marLeft w:val="0"/>
      <w:marRight w:val="0"/>
      <w:marTop w:val="0"/>
      <w:marBottom w:val="0"/>
      <w:divBdr>
        <w:top w:val="none" w:sz="0" w:space="0" w:color="auto"/>
        <w:left w:val="none" w:sz="0" w:space="0" w:color="auto"/>
        <w:bottom w:val="none" w:sz="0" w:space="0" w:color="auto"/>
        <w:right w:val="none" w:sz="0" w:space="0" w:color="auto"/>
      </w:divBdr>
    </w:div>
    <w:div w:id="897396996">
      <w:bodyDiv w:val="1"/>
      <w:marLeft w:val="80"/>
      <w:marRight w:val="80"/>
      <w:marTop w:val="80"/>
      <w:marBottom w:val="20"/>
      <w:divBdr>
        <w:top w:val="none" w:sz="0" w:space="0" w:color="auto"/>
        <w:left w:val="none" w:sz="0" w:space="0" w:color="auto"/>
        <w:bottom w:val="none" w:sz="0" w:space="0" w:color="auto"/>
        <w:right w:val="none" w:sz="0" w:space="0" w:color="auto"/>
      </w:divBdr>
      <w:divsChild>
        <w:div w:id="145249010">
          <w:marLeft w:val="0"/>
          <w:marRight w:val="0"/>
          <w:marTop w:val="0"/>
          <w:marBottom w:val="0"/>
          <w:divBdr>
            <w:top w:val="none" w:sz="0" w:space="0" w:color="auto"/>
            <w:left w:val="none" w:sz="0" w:space="0" w:color="auto"/>
            <w:bottom w:val="none" w:sz="0" w:space="0" w:color="auto"/>
            <w:right w:val="none" w:sz="0" w:space="0" w:color="auto"/>
          </w:divBdr>
          <w:divsChild>
            <w:div w:id="1511065604">
              <w:marLeft w:val="0"/>
              <w:marRight w:val="0"/>
              <w:marTop w:val="0"/>
              <w:marBottom w:val="0"/>
              <w:divBdr>
                <w:top w:val="none" w:sz="0" w:space="0" w:color="auto"/>
                <w:left w:val="none" w:sz="0" w:space="0" w:color="auto"/>
                <w:bottom w:val="none" w:sz="0" w:space="0" w:color="auto"/>
                <w:right w:val="none" w:sz="0" w:space="0" w:color="auto"/>
              </w:divBdr>
              <w:divsChild>
                <w:div w:id="472528248">
                  <w:marLeft w:val="0"/>
                  <w:marRight w:val="0"/>
                  <w:marTop w:val="0"/>
                  <w:marBottom w:val="0"/>
                  <w:divBdr>
                    <w:top w:val="none" w:sz="0" w:space="0" w:color="auto"/>
                    <w:left w:val="none" w:sz="0" w:space="0" w:color="auto"/>
                    <w:bottom w:val="none" w:sz="0" w:space="0" w:color="auto"/>
                    <w:right w:val="none" w:sz="0" w:space="0" w:color="auto"/>
                  </w:divBdr>
                </w:div>
                <w:div w:id="1189443101">
                  <w:marLeft w:val="0"/>
                  <w:marRight w:val="0"/>
                  <w:marTop w:val="0"/>
                  <w:marBottom w:val="0"/>
                  <w:divBdr>
                    <w:top w:val="none" w:sz="0" w:space="0" w:color="auto"/>
                    <w:left w:val="none" w:sz="0" w:space="0" w:color="auto"/>
                    <w:bottom w:val="none" w:sz="0" w:space="0" w:color="auto"/>
                    <w:right w:val="none" w:sz="0" w:space="0" w:color="auto"/>
                  </w:divBdr>
                </w:div>
                <w:div w:id="1388408998">
                  <w:marLeft w:val="0"/>
                  <w:marRight w:val="0"/>
                  <w:marTop w:val="0"/>
                  <w:marBottom w:val="0"/>
                  <w:divBdr>
                    <w:top w:val="none" w:sz="0" w:space="0" w:color="auto"/>
                    <w:left w:val="none" w:sz="0" w:space="0" w:color="auto"/>
                    <w:bottom w:val="none" w:sz="0" w:space="0" w:color="auto"/>
                    <w:right w:val="none" w:sz="0" w:space="0" w:color="auto"/>
                  </w:divBdr>
                </w:div>
                <w:div w:id="1428113100">
                  <w:marLeft w:val="0"/>
                  <w:marRight w:val="0"/>
                  <w:marTop w:val="0"/>
                  <w:marBottom w:val="0"/>
                  <w:divBdr>
                    <w:top w:val="none" w:sz="0" w:space="0" w:color="auto"/>
                    <w:left w:val="none" w:sz="0" w:space="0" w:color="auto"/>
                    <w:bottom w:val="none" w:sz="0" w:space="0" w:color="auto"/>
                    <w:right w:val="none" w:sz="0" w:space="0" w:color="auto"/>
                  </w:divBdr>
                </w:div>
                <w:div w:id="1518738731">
                  <w:marLeft w:val="0"/>
                  <w:marRight w:val="0"/>
                  <w:marTop w:val="0"/>
                  <w:marBottom w:val="0"/>
                  <w:divBdr>
                    <w:top w:val="none" w:sz="0" w:space="0" w:color="auto"/>
                    <w:left w:val="none" w:sz="0" w:space="0" w:color="auto"/>
                    <w:bottom w:val="none" w:sz="0" w:space="0" w:color="auto"/>
                    <w:right w:val="none" w:sz="0" w:space="0" w:color="auto"/>
                  </w:divBdr>
                </w:div>
                <w:div w:id="2031685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7048373">
      <w:bodyDiv w:val="1"/>
      <w:marLeft w:val="0"/>
      <w:marRight w:val="0"/>
      <w:marTop w:val="0"/>
      <w:marBottom w:val="0"/>
      <w:divBdr>
        <w:top w:val="none" w:sz="0" w:space="0" w:color="auto"/>
        <w:left w:val="none" w:sz="0" w:space="0" w:color="auto"/>
        <w:bottom w:val="none" w:sz="0" w:space="0" w:color="auto"/>
        <w:right w:val="none" w:sz="0" w:space="0" w:color="auto"/>
      </w:divBdr>
    </w:div>
    <w:div w:id="1163622424">
      <w:bodyDiv w:val="1"/>
      <w:marLeft w:val="0"/>
      <w:marRight w:val="0"/>
      <w:marTop w:val="0"/>
      <w:marBottom w:val="0"/>
      <w:divBdr>
        <w:top w:val="none" w:sz="0" w:space="0" w:color="auto"/>
        <w:left w:val="none" w:sz="0" w:space="0" w:color="auto"/>
        <w:bottom w:val="none" w:sz="0" w:space="0" w:color="auto"/>
        <w:right w:val="none" w:sz="0" w:space="0" w:color="auto"/>
      </w:divBdr>
    </w:div>
    <w:div w:id="1176845173">
      <w:bodyDiv w:val="1"/>
      <w:marLeft w:val="0"/>
      <w:marRight w:val="0"/>
      <w:marTop w:val="0"/>
      <w:marBottom w:val="0"/>
      <w:divBdr>
        <w:top w:val="none" w:sz="0" w:space="0" w:color="auto"/>
        <w:left w:val="none" w:sz="0" w:space="0" w:color="auto"/>
        <w:bottom w:val="none" w:sz="0" w:space="0" w:color="auto"/>
        <w:right w:val="none" w:sz="0" w:space="0" w:color="auto"/>
      </w:divBdr>
    </w:div>
    <w:div w:id="1219441233">
      <w:bodyDiv w:val="1"/>
      <w:marLeft w:val="0"/>
      <w:marRight w:val="0"/>
      <w:marTop w:val="0"/>
      <w:marBottom w:val="0"/>
      <w:divBdr>
        <w:top w:val="none" w:sz="0" w:space="0" w:color="auto"/>
        <w:left w:val="none" w:sz="0" w:space="0" w:color="auto"/>
        <w:bottom w:val="none" w:sz="0" w:space="0" w:color="auto"/>
        <w:right w:val="none" w:sz="0" w:space="0" w:color="auto"/>
      </w:divBdr>
    </w:div>
    <w:div w:id="1256553438">
      <w:bodyDiv w:val="1"/>
      <w:marLeft w:val="0"/>
      <w:marRight w:val="0"/>
      <w:marTop w:val="0"/>
      <w:marBottom w:val="0"/>
      <w:divBdr>
        <w:top w:val="none" w:sz="0" w:space="0" w:color="auto"/>
        <w:left w:val="none" w:sz="0" w:space="0" w:color="auto"/>
        <w:bottom w:val="none" w:sz="0" w:space="0" w:color="auto"/>
        <w:right w:val="none" w:sz="0" w:space="0" w:color="auto"/>
      </w:divBdr>
    </w:div>
    <w:div w:id="1292320826">
      <w:bodyDiv w:val="1"/>
      <w:marLeft w:val="0"/>
      <w:marRight w:val="0"/>
      <w:marTop w:val="0"/>
      <w:marBottom w:val="0"/>
      <w:divBdr>
        <w:top w:val="none" w:sz="0" w:space="0" w:color="auto"/>
        <w:left w:val="none" w:sz="0" w:space="0" w:color="auto"/>
        <w:bottom w:val="none" w:sz="0" w:space="0" w:color="auto"/>
        <w:right w:val="none" w:sz="0" w:space="0" w:color="auto"/>
      </w:divBdr>
    </w:div>
    <w:div w:id="1513379916">
      <w:bodyDiv w:val="1"/>
      <w:marLeft w:val="0"/>
      <w:marRight w:val="0"/>
      <w:marTop w:val="0"/>
      <w:marBottom w:val="0"/>
      <w:divBdr>
        <w:top w:val="none" w:sz="0" w:space="0" w:color="auto"/>
        <w:left w:val="none" w:sz="0" w:space="0" w:color="auto"/>
        <w:bottom w:val="none" w:sz="0" w:space="0" w:color="auto"/>
        <w:right w:val="none" w:sz="0" w:space="0" w:color="auto"/>
      </w:divBdr>
      <w:divsChild>
        <w:div w:id="970523073">
          <w:marLeft w:val="0"/>
          <w:marRight w:val="0"/>
          <w:marTop w:val="0"/>
          <w:marBottom w:val="0"/>
          <w:divBdr>
            <w:top w:val="none" w:sz="0" w:space="0" w:color="auto"/>
            <w:left w:val="none" w:sz="0" w:space="0" w:color="auto"/>
            <w:bottom w:val="none" w:sz="0" w:space="0" w:color="auto"/>
            <w:right w:val="none" w:sz="0" w:space="0" w:color="auto"/>
          </w:divBdr>
        </w:div>
      </w:divsChild>
    </w:div>
    <w:div w:id="1559588302">
      <w:bodyDiv w:val="1"/>
      <w:marLeft w:val="80"/>
      <w:marRight w:val="80"/>
      <w:marTop w:val="80"/>
      <w:marBottom w:val="20"/>
      <w:divBdr>
        <w:top w:val="none" w:sz="0" w:space="0" w:color="auto"/>
        <w:left w:val="none" w:sz="0" w:space="0" w:color="auto"/>
        <w:bottom w:val="none" w:sz="0" w:space="0" w:color="auto"/>
        <w:right w:val="none" w:sz="0" w:space="0" w:color="auto"/>
      </w:divBdr>
      <w:divsChild>
        <w:div w:id="211770417">
          <w:marLeft w:val="0"/>
          <w:marRight w:val="0"/>
          <w:marTop w:val="0"/>
          <w:marBottom w:val="0"/>
          <w:divBdr>
            <w:top w:val="none" w:sz="0" w:space="0" w:color="auto"/>
            <w:left w:val="none" w:sz="0" w:space="0" w:color="auto"/>
            <w:bottom w:val="none" w:sz="0" w:space="0" w:color="auto"/>
            <w:right w:val="none" w:sz="0" w:space="0" w:color="auto"/>
          </w:divBdr>
        </w:div>
      </w:divsChild>
    </w:div>
    <w:div w:id="1665277678">
      <w:bodyDiv w:val="1"/>
      <w:marLeft w:val="80"/>
      <w:marRight w:val="80"/>
      <w:marTop w:val="80"/>
      <w:marBottom w:val="20"/>
      <w:divBdr>
        <w:top w:val="none" w:sz="0" w:space="0" w:color="auto"/>
        <w:left w:val="none" w:sz="0" w:space="0" w:color="auto"/>
        <w:bottom w:val="none" w:sz="0" w:space="0" w:color="auto"/>
        <w:right w:val="none" w:sz="0" w:space="0" w:color="auto"/>
      </w:divBdr>
      <w:divsChild>
        <w:div w:id="196625976">
          <w:marLeft w:val="0"/>
          <w:marRight w:val="0"/>
          <w:marTop w:val="0"/>
          <w:marBottom w:val="0"/>
          <w:divBdr>
            <w:top w:val="none" w:sz="0" w:space="0" w:color="auto"/>
            <w:left w:val="none" w:sz="0" w:space="0" w:color="auto"/>
            <w:bottom w:val="none" w:sz="0" w:space="0" w:color="auto"/>
            <w:right w:val="none" w:sz="0" w:space="0" w:color="auto"/>
          </w:divBdr>
        </w:div>
      </w:divsChild>
    </w:div>
    <w:div w:id="1698769336">
      <w:bodyDiv w:val="1"/>
      <w:marLeft w:val="0"/>
      <w:marRight w:val="0"/>
      <w:marTop w:val="0"/>
      <w:marBottom w:val="0"/>
      <w:divBdr>
        <w:top w:val="none" w:sz="0" w:space="0" w:color="auto"/>
        <w:left w:val="none" w:sz="0" w:space="0" w:color="auto"/>
        <w:bottom w:val="none" w:sz="0" w:space="0" w:color="auto"/>
        <w:right w:val="none" w:sz="0" w:space="0" w:color="auto"/>
      </w:divBdr>
    </w:div>
    <w:div w:id="1771126455">
      <w:bodyDiv w:val="1"/>
      <w:marLeft w:val="0"/>
      <w:marRight w:val="0"/>
      <w:marTop w:val="0"/>
      <w:marBottom w:val="0"/>
      <w:divBdr>
        <w:top w:val="none" w:sz="0" w:space="0" w:color="auto"/>
        <w:left w:val="none" w:sz="0" w:space="0" w:color="auto"/>
        <w:bottom w:val="none" w:sz="0" w:space="0" w:color="auto"/>
        <w:right w:val="none" w:sz="0" w:space="0" w:color="auto"/>
      </w:divBdr>
    </w:div>
    <w:div w:id="1789658811">
      <w:bodyDiv w:val="1"/>
      <w:marLeft w:val="0"/>
      <w:marRight w:val="0"/>
      <w:marTop w:val="0"/>
      <w:marBottom w:val="0"/>
      <w:divBdr>
        <w:top w:val="none" w:sz="0" w:space="0" w:color="auto"/>
        <w:left w:val="none" w:sz="0" w:space="0" w:color="auto"/>
        <w:bottom w:val="none" w:sz="0" w:space="0" w:color="auto"/>
        <w:right w:val="none" w:sz="0" w:space="0" w:color="auto"/>
      </w:divBdr>
    </w:div>
    <w:div w:id="1814372750">
      <w:bodyDiv w:val="1"/>
      <w:marLeft w:val="0"/>
      <w:marRight w:val="0"/>
      <w:marTop w:val="0"/>
      <w:marBottom w:val="0"/>
      <w:divBdr>
        <w:top w:val="none" w:sz="0" w:space="0" w:color="auto"/>
        <w:left w:val="none" w:sz="0" w:space="0" w:color="auto"/>
        <w:bottom w:val="none" w:sz="0" w:space="0" w:color="auto"/>
        <w:right w:val="none" w:sz="0" w:space="0" w:color="auto"/>
      </w:divBdr>
    </w:div>
    <w:div w:id="1870218329">
      <w:bodyDiv w:val="1"/>
      <w:marLeft w:val="0"/>
      <w:marRight w:val="0"/>
      <w:marTop w:val="0"/>
      <w:marBottom w:val="0"/>
      <w:divBdr>
        <w:top w:val="none" w:sz="0" w:space="0" w:color="auto"/>
        <w:left w:val="none" w:sz="0" w:space="0" w:color="auto"/>
        <w:bottom w:val="none" w:sz="0" w:space="0" w:color="auto"/>
        <w:right w:val="none" w:sz="0" w:space="0" w:color="auto"/>
      </w:divBdr>
    </w:div>
    <w:div w:id="1927229257">
      <w:bodyDiv w:val="1"/>
      <w:marLeft w:val="0"/>
      <w:marRight w:val="0"/>
      <w:marTop w:val="0"/>
      <w:marBottom w:val="0"/>
      <w:divBdr>
        <w:top w:val="none" w:sz="0" w:space="0" w:color="auto"/>
        <w:left w:val="none" w:sz="0" w:space="0" w:color="auto"/>
        <w:bottom w:val="none" w:sz="0" w:space="0" w:color="auto"/>
        <w:right w:val="none" w:sz="0" w:space="0" w:color="auto"/>
      </w:divBdr>
    </w:div>
    <w:div w:id="2064937938">
      <w:bodyDiv w:val="1"/>
      <w:marLeft w:val="0"/>
      <w:marRight w:val="0"/>
      <w:marTop w:val="0"/>
      <w:marBottom w:val="0"/>
      <w:divBdr>
        <w:top w:val="none" w:sz="0" w:space="0" w:color="auto"/>
        <w:left w:val="none" w:sz="0" w:space="0" w:color="auto"/>
        <w:bottom w:val="none" w:sz="0" w:space="0" w:color="auto"/>
        <w:right w:val="none" w:sz="0" w:space="0" w:color="auto"/>
      </w:divBdr>
    </w:div>
    <w:div w:id="20668315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chart" Target="charts/chart17.xml"/><Relationship Id="rId21" Type="http://schemas.openxmlformats.org/officeDocument/2006/relationships/chart" Target="charts/chart12.xml"/><Relationship Id="rId42" Type="http://schemas.openxmlformats.org/officeDocument/2006/relationships/chart" Target="charts/chart33.xml"/><Relationship Id="rId47" Type="http://schemas.openxmlformats.org/officeDocument/2006/relationships/chart" Target="charts/chart38.xml"/><Relationship Id="rId63" Type="http://schemas.openxmlformats.org/officeDocument/2006/relationships/chart" Target="charts/chart54.xml"/><Relationship Id="rId6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chart" Target="charts/chart7.xml"/><Relationship Id="rId29" Type="http://schemas.openxmlformats.org/officeDocument/2006/relationships/chart" Target="charts/chart20.xml"/><Relationship Id="rId11" Type="http://schemas.openxmlformats.org/officeDocument/2006/relationships/chart" Target="charts/chart2.xml"/><Relationship Id="rId24" Type="http://schemas.openxmlformats.org/officeDocument/2006/relationships/chart" Target="charts/chart15.xml"/><Relationship Id="rId32" Type="http://schemas.openxmlformats.org/officeDocument/2006/relationships/chart" Target="charts/chart23.xml"/><Relationship Id="rId37" Type="http://schemas.openxmlformats.org/officeDocument/2006/relationships/chart" Target="charts/chart28.xml"/><Relationship Id="rId40" Type="http://schemas.openxmlformats.org/officeDocument/2006/relationships/chart" Target="charts/chart31.xml"/><Relationship Id="rId45" Type="http://schemas.openxmlformats.org/officeDocument/2006/relationships/chart" Target="charts/chart36.xml"/><Relationship Id="rId53" Type="http://schemas.openxmlformats.org/officeDocument/2006/relationships/chart" Target="charts/chart44.xml"/><Relationship Id="rId58" Type="http://schemas.openxmlformats.org/officeDocument/2006/relationships/chart" Target="charts/chart49.xml"/><Relationship Id="rId66" Type="http://schemas.openxmlformats.org/officeDocument/2006/relationships/header" Target="header2.xml"/><Relationship Id="rId74" Type="http://schemas.openxmlformats.org/officeDocument/2006/relationships/customXml" Target="../customXml/item3.xml"/><Relationship Id="rId5" Type="http://schemas.openxmlformats.org/officeDocument/2006/relationships/webSettings" Target="webSettings.xml"/><Relationship Id="rId61" Type="http://schemas.openxmlformats.org/officeDocument/2006/relationships/chart" Target="charts/chart52.xml"/><Relationship Id="rId19" Type="http://schemas.openxmlformats.org/officeDocument/2006/relationships/chart" Target="charts/chart10.xml"/><Relationship Id="rId14" Type="http://schemas.openxmlformats.org/officeDocument/2006/relationships/chart" Target="charts/chart5.xml"/><Relationship Id="rId22" Type="http://schemas.openxmlformats.org/officeDocument/2006/relationships/chart" Target="charts/chart13.xml"/><Relationship Id="rId27" Type="http://schemas.openxmlformats.org/officeDocument/2006/relationships/chart" Target="charts/chart18.xml"/><Relationship Id="rId30" Type="http://schemas.openxmlformats.org/officeDocument/2006/relationships/chart" Target="charts/chart21.xml"/><Relationship Id="rId35" Type="http://schemas.openxmlformats.org/officeDocument/2006/relationships/chart" Target="charts/chart26.xml"/><Relationship Id="rId43" Type="http://schemas.openxmlformats.org/officeDocument/2006/relationships/chart" Target="charts/chart34.xml"/><Relationship Id="rId48" Type="http://schemas.openxmlformats.org/officeDocument/2006/relationships/chart" Target="charts/chart39.xml"/><Relationship Id="rId56" Type="http://schemas.openxmlformats.org/officeDocument/2006/relationships/chart" Target="charts/chart47.xml"/><Relationship Id="rId64" Type="http://schemas.openxmlformats.org/officeDocument/2006/relationships/chart" Target="charts/chart55.xml"/><Relationship Id="rId69" Type="http://schemas.openxmlformats.org/officeDocument/2006/relationships/header" Target="header3.xml"/><Relationship Id="rId8" Type="http://schemas.openxmlformats.org/officeDocument/2006/relationships/image" Target="media/image1.jpeg"/><Relationship Id="rId51" Type="http://schemas.openxmlformats.org/officeDocument/2006/relationships/chart" Target="charts/chart42.xm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chart" Target="charts/chart16.xml"/><Relationship Id="rId33" Type="http://schemas.openxmlformats.org/officeDocument/2006/relationships/chart" Target="charts/chart24.xml"/><Relationship Id="rId38" Type="http://schemas.openxmlformats.org/officeDocument/2006/relationships/chart" Target="charts/chart29.xml"/><Relationship Id="rId46" Type="http://schemas.openxmlformats.org/officeDocument/2006/relationships/chart" Target="charts/chart37.xml"/><Relationship Id="rId59" Type="http://schemas.openxmlformats.org/officeDocument/2006/relationships/chart" Target="charts/chart50.xml"/><Relationship Id="rId67" Type="http://schemas.openxmlformats.org/officeDocument/2006/relationships/footer" Target="footer1.xml"/><Relationship Id="rId20" Type="http://schemas.openxmlformats.org/officeDocument/2006/relationships/chart" Target="charts/chart11.xml"/><Relationship Id="rId41" Type="http://schemas.openxmlformats.org/officeDocument/2006/relationships/chart" Target="charts/chart32.xml"/><Relationship Id="rId54" Type="http://schemas.openxmlformats.org/officeDocument/2006/relationships/chart" Target="charts/chart45.xml"/><Relationship Id="rId62" Type="http://schemas.openxmlformats.org/officeDocument/2006/relationships/chart" Target="charts/chart53.xml"/><Relationship Id="rId70" Type="http://schemas.openxmlformats.org/officeDocument/2006/relationships/footer" Target="footer3.xml"/><Relationship Id="rId75"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6.xml"/><Relationship Id="rId23" Type="http://schemas.openxmlformats.org/officeDocument/2006/relationships/chart" Target="charts/chart14.xml"/><Relationship Id="rId28" Type="http://schemas.openxmlformats.org/officeDocument/2006/relationships/chart" Target="charts/chart19.xml"/><Relationship Id="rId36" Type="http://schemas.openxmlformats.org/officeDocument/2006/relationships/chart" Target="charts/chart27.xml"/><Relationship Id="rId49" Type="http://schemas.openxmlformats.org/officeDocument/2006/relationships/chart" Target="charts/chart40.xml"/><Relationship Id="rId57" Type="http://schemas.openxmlformats.org/officeDocument/2006/relationships/chart" Target="charts/chart48.xml"/><Relationship Id="rId10" Type="http://schemas.openxmlformats.org/officeDocument/2006/relationships/chart" Target="charts/chart1.xml"/><Relationship Id="rId31" Type="http://schemas.openxmlformats.org/officeDocument/2006/relationships/chart" Target="charts/chart22.xml"/><Relationship Id="rId44" Type="http://schemas.openxmlformats.org/officeDocument/2006/relationships/chart" Target="charts/chart35.xml"/><Relationship Id="rId52" Type="http://schemas.openxmlformats.org/officeDocument/2006/relationships/chart" Target="charts/chart43.xml"/><Relationship Id="rId60" Type="http://schemas.openxmlformats.org/officeDocument/2006/relationships/chart" Target="charts/chart51.xml"/><Relationship Id="rId65" Type="http://schemas.openxmlformats.org/officeDocument/2006/relationships/header" Target="header1.xml"/><Relationship Id="rId73"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hart" Target="charts/chart4.xml"/><Relationship Id="rId18" Type="http://schemas.openxmlformats.org/officeDocument/2006/relationships/chart" Target="charts/chart9.xml"/><Relationship Id="rId39" Type="http://schemas.openxmlformats.org/officeDocument/2006/relationships/chart" Target="charts/chart30.xml"/><Relationship Id="rId34" Type="http://schemas.openxmlformats.org/officeDocument/2006/relationships/chart" Target="charts/chart25.xml"/><Relationship Id="rId50" Type="http://schemas.openxmlformats.org/officeDocument/2006/relationships/chart" Target="charts/chart41.xml"/><Relationship Id="rId55" Type="http://schemas.openxmlformats.org/officeDocument/2006/relationships/chart" Target="charts/chart46.xml"/><Relationship Id="rId76" Type="http://schemas.openxmlformats.org/officeDocument/2006/relationships/customXml" Target="../customXml/item5.xml"/><Relationship Id="rId7" Type="http://schemas.openxmlformats.org/officeDocument/2006/relationships/endnotes" Target="endnotes.xml"/><Relationship Id="rId71"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7.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8.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9.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0.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1.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HQCLUSTER_HQDATA6_SERVER\HQDATA6\FH01\HOME\HSNG\CORPORATEDEVELOPMENT\T%20Management\T2%20Performance%20Mgmt\02%20Perf%20Reporting\Performance%20Committee%20Report%202018-19\19%2007%2010%20PI%20ChartsForCommitteeReports.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2.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20v3.xlsx"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20v3.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13.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Worksheet14.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15.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Worksheet16.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Microsoft_Excel_Worksheet17.xlsx"/></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Microsoft_Excel_Worksheet18.xlsx"/></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46.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47.xm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48.xm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49.xml"/><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3.xlsx"/></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50.xm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51.xml"/><Relationship Id="rId1" Type="http://schemas.microsoft.com/office/2011/relationships/chartStyle" Target="style51.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52.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53.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54.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55.xm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HQCLUSTER_HQDATA6_SERVER\HQDATA6\FH01\HOME\HSNG\CORPORATEDEVELOPMENT\T%20Management\T2%20Performance%20Mgmt\02%20Perf%20Reporting\Performance%20Committee%20Report%202018-19\19%2009%2013%20PI%20ChartsForCommitteeReports.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5.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a:t>Number of New Business Start-ups supported by Business Gateway Fife</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'B&amp;E'!$B$98</c:f>
              <c:strCache>
                <c:ptCount val="1"/>
                <c:pt idx="0">
                  <c:v>Fife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'B&amp;E'!$A$99:$A$102</c:f>
              <c:strCache>
                <c:ptCount val="4"/>
                <c:pt idx="0">
                  <c:v>2015/16</c:v>
                </c:pt>
                <c:pt idx="1">
                  <c:v>2016/17</c:v>
                </c:pt>
                <c:pt idx="2">
                  <c:v>2017/18</c:v>
                </c:pt>
                <c:pt idx="3">
                  <c:v>2018/19</c:v>
                </c:pt>
              </c:strCache>
            </c:strRef>
          </c:cat>
          <c:val>
            <c:numRef>
              <c:f>'B&amp;E'!$B$99:$B$102</c:f>
              <c:numCache>
                <c:formatCode>#,##0</c:formatCode>
                <c:ptCount val="4"/>
                <c:pt idx="0">
                  <c:v>617</c:v>
                </c:pt>
                <c:pt idx="1">
                  <c:v>538</c:v>
                </c:pt>
                <c:pt idx="2">
                  <c:v>469</c:v>
                </c:pt>
                <c:pt idx="3">
                  <c:v>550</c:v>
                </c:pt>
              </c:numCache>
            </c:numRef>
          </c:val>
          <c:smooth val="0"/>
          <c:extLst>
            <c:ext xmlns:c16="http://schemas.microsoft.com/office/drawing/2014/chart" uri="{C3380CC4-5D6E-409C-BE32-E72D297353CC}">
              <c16:uniqueId val="{00000000-BA98-449A-9C92-F513B134AB2D}"/>
            </c:ext>
          </c:extLst>
        </c:ser>
        <c:ser>
          <c:idx val="1"/>
          <c:order val="1"/>
          <c:tx>
            <c:strRef>
              <c:f>'B&amp;E'!$C$98</c:f>
              <c:strCache>
                <c:ptCount val="1"/>
                <c:pt idx="0">
                  <c:v>Mid-Fife</c:v>
                </c:pt>
              </c:strCache>
            </c:strRef>
          </c:tx>
          <c:spPr>
            <a:ln w="28575" cap="rnd">
              <a:solidFill>
                <a:srgbClr val="FF0000"/>
              </a:solidFill>
              <a:prstDash val="lgDashDotDot"/>
              <a:round/>
            </a:ln>
            <a:effectLst/>
          </c:spPr>
          <c:marker>
            <c:symbol val="circle"/>
            <c:size val="5"/>
            <c:spPr>
              <a:solidFill>
                <a:srgbClr val="FF0000"/>
              </a:solidFill>
              <a:ln w="9525">
                <a:solidFill>
                  <a:srgbClr val="FF000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'B&amp;E'!$A$99:$A$102</c:f>
              <c:strCache>
                <c:ptCount val="4"/>
                <c:pt idx="0">
                  <c:v>2015/16</c:v>
                </c:pt>
                <c:pt idx="1">
                  <c:v>2016/17</c:v>
                </c:pt>
                <c:pt idx="2">
                  <c:v>2017/18</c:v>
                </c:pt>
                <c:pt idx="3">
                  <c:v>2018/19</c:v>
                </c:pt>
              </c:strCache>
            </c:strRef>
          </c:cat>
          <c:val>
            <c:numRef>
              <c:f>'B&amp;E'!$C$99:$C$102</c:f>
              <c:numCache>
                <c:formatCode>General</c:formatCode>
                <c:ptCount val="4"/>
                <c:pt idx="0">
                  <c:v>292</c:v>
                </c:pt>
                <c:pt idx="1">
                  <c:v>268</c:v>
                </c:pt>
                <c:pt idx="2">
                  <c:v>232</c:v>
                </c:pt>
                <c:pt idx="3">
                  <c:v>303</c:v>
                </c:pt>
              </c:numCache>
            </c:numRef>
          </c:val>
          <c:smooth val="0"/>
          <c:extLst>
            <c:ext xmlns:c16="http://schemas.microsoft.com/office/drawing/2014/chart" uri="{C3380CC4-5D6E-409C-BE32-E72D297353CC}">
              <c16:uniqueId val="{00000001-BA98-449A-9C92-F513B134AB2D}"/>
            </c:ext>
          </c:extLst>
        </c:ser>
        <c:dLbls>
          <c:dLblPos val="t"/>
          <c:showLegendKey val="0"/>
          <c:showVal val="1"/>
          <c:showCatName val="0"/>
          <c:showSerName val="0"/>
          <c:showPercent val="0"/>
          <c:showBubbleSize val="0"/>
        </c:dLbls>
        <c:marker val="1"/>
        <c:smooth val="0"/>
        <c:axId val="297362184"/>
        <c:axId val="297359232"/>
      </c:lineChart>
      <c:catAx>
        <c:axId val="29736218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7359232"/>
        <c:crosses val="autoZero"/>
        <c:auto val="1"/>
        <c:lblAlgn val="ctr"/>
        <c:lblOffset val="100"/>
        <c:noMultiLvlLbl val="0"/>
      </c:catAx>
      <c:valAx>
        <c:axId val="2973592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7362184"/>
        <c:crosses val="autoZero"/>
        <c:crossBetween val="between"/>
      </c:valAx>
      <c:spPr>
        <a:noFill/>
        <a:ln>
          <a:noFill/>
        </a:ln>
        <a:effectLst/>
      </c:spPr>
    </c:plotArea>
    <c:legend>
      <c:legendPos val="b"/>
      <c:layout>
        <c:manualLayout>
          <c:xMode val="edge"/>
          <c:yMode val="edge"/>
          <c:x val="0.15535679133858268"/>
          <c:y val="0.87291595490636698"/>
          <c:w val="0.74136947725284341"/>
          <c:h val="9.375069717878266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a:t>Stage 2 complaints dealt wiith within 20 days (%) Business, Employability &amp; Planning</a:t>
            </a:r>
          </a:p>
        </c:rich>
      </c:tx>
      <c:layout>
        <c:manualLayout>
          <c:xMode val="edge"/>
          <c:yMode val="edge"/>
          <c:x val="0.14424154588842977"/>
          <c:y val="0"/>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2293482492243017"/>
          <c:y val="0.18688387042697788"/>
          <c:w val="0.8388209386783646"/>
          <c:h val="0.62806044163757258"/>
        </c:manualLayout>
      </c:layout>
      <c:lineChart>
        <c:grouping val="standard"/>
        <c:varyColors val="0"/>
        <c:ser>
          <c:idx val="0"/>
          <c:order val="0"/>
          <c:tx>
            <c:strRef>
              <c:f>'B&amp;E'!$B$84</c:f>
              <c:strCache>
                <c:ptCount val="1"/>
                <c:pt idx="0">
                  <c:v>Fife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8.6067052521902151E-2"/>
                  <c:y val="6.249818250863405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2C1-40BC-B5B9-978DD15BAC37}"/>
                </c:ext>
              </c:extLst>
            </c:dLbl>
            <c:dLbl>
              <c:idx val="1"/>
              <c:layout>
                <c:manualLayout>
                  <c:x val="-9.302055004903044E-2"/>
                  <c:y val="6.249818250863415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2C1-40BC-B5B9-978DD15BAC3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'B&amp;E'!$A$85:$A$87</c:f>
              <c:strCache>
                <c:ptCount val="3"/>
                <c:pt idx="0">
                  <c:v>2016/17</c:v>
                </c:pt>
                <c:pt idx="1">
                  <c:v>2017/18</c:v>
                </c:pt>
                <c:pt idx="2">
                  <c:v>2018/19</c:v>
                </c:pt>
              </c:strCache>
            </c:strRef>
          </c:cat>
          <c:val>
            <c:numRef>
              <c:f>'B&amp;E'!$B$85:$B$87</c:f>
              <c:numCache>
                <c:formatCode>0.0</c:formatCode>
                <c:ptCount val="3"/>
                <c:pt idx="0">
                  <c:v>75.680000000000007</c:v>
                </c:pt>
                <c:pt idx="1">
                  <c:v>85.59</c:v>
                </c:pt>
                <c:pt idx="2">
                  <c:v>83.33</c:v>
                </c:pt>
              </c:numCache>
            </c:numRef>
          </c:val>
          <c:smooth val="0"/>
          <c:extLst>
            <c:ext xmlns:c16="http://schemas.microsoft.com/office/drawing/2014/chart" uri="{C3380CC4-5D6E-409C-BE32-E72D297353CC}">
              <c16:uniqueId val="{00000002-72C1-40BC-B5B9-978DD15BAC37}"/>
            </c:ext>
          </c:extLst>
        </c:ser>
        <c:ser>
          <c:idx val="2"/>
          <c:order val="1"/>
          <c:tx>
            <c:strRef>
              <c:f>'B&amp;E'!$D$84</c:f>
              <c:strCache>
                <c:ptCount val="1"/>
                <c:pt idx="0">
                  <c:v>Planning </c:v>
                </c:pt>
              </c:strCache>
            </c:strRef>
          </c:tx>
          <c:spPr>
            <a:ln w="28575" cap="rnd">
              <a:solidFill>
                <a:schemeClr val="accent2"/>
              </a:solidFill>
              <a:prstDash val="sysDash"/>
              <a:round/>
            </a:ln>
            <a:effectLst/>
          </c:spPr>
          <c:marker>
            <c:symbol val="circle"/>
            <c:size val="5"/>
            <c:spPr>
              <a:solidFill>
                <a:schemeClr val="accent2"/>
              </a:solidFill>
              <a:ln w="9525">
                <a:solidFill>
                  <a:schemeClr val="accent2"/>
                </a:solidFill>
              </a:ln>
              <a:effectLst/>
            </c:spPr>
          </c:marker>
          <c:dLbls>
            <c:dLbl>
              <c:idx val="0"/>
              <c:layout>
                <c:manualLayout>
                  <c:x val="-0.11735779139397914"/>
                  <c:y val="-1.361835589303405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2C1-40BC-B5B9-978DD15BAC37}"/>
                </c:ext>
              </c:extLst>
            </c:dLbl>
            <c:dLbl>
              <c:idx val="1"/>
              <c:layout>
                <c:manualLayout>
                  <c:x val="6.7448926013143114E-3"/>
                  <c:y val="-8.1872640468562095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2C1-40BC-B5B9-978DD15BAC3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'B&amp;E'!$A$85:$A$87</c:f>
              <c:strCache>
                <c:ptCount val="3"/>
                <c:pt idx="0">
                  <c:v>2016/17</c:v>
                </c:pt>
                <c:pt idx="1">
                  <c:v>2017/18</c:v>
                </c:pt>
                <c:pt idx="2">
                  <c:v>2018/19</c:v>
                </c:pt>
              </c:strCache>
            </c:strRef>
          </c:cat>
          <c:val>
            <c:numRef>
              <c:f>'B&amp;E'!$D$85:$D$87</c:f>
              <c:numCache>
                <c:formatCode>0.0</c:formatCode>
                <c:ptCount val="3"/>
                <c:pt idx="0">
                  <c:v>81.25</c:v>
                </c:pt>
                <c:pt idx="1">
                  <c:v>98</c:v>
                </c:pt>
                <c:pt idx="2">
                  <c:v>76</c:v>
                </c:pt>
              </c:numCache>
            </c:numRef>
          </c:val>
          <c:smooth val="0"/>
          <c:extLst>
            <c:ext xmlns:c16="http://schemas.microsoft.com/office/drawing/2014/chart" uri="{C3380CC4-5D6E-409C-BE32-E72D297353CC}">
              <c16:uniqueId val="{00000005-72C1-40BC-B5B9-978DD15BAC37}"/>
            </c:ext>
          </c:extLst>
        </c:ser>
        <c:dLbls>
          <c:dLblPos val="t"/>
          <c:showLegendKey val="0"/>
          <c:showVal val="1"/>
          <c:showCatName val="0"/>
          <c:showSerName val="0"/>
          <c:showPercent val="0"/>
          <c:showBubbleSize val="0"/>
        </c:dLbls>
        <c:marker val="1"/>
        <c:smooth val="0"/>
        <c:axId val="496031088"/>
        <c:axId val="496038304"/>
      </c:lineChart>
      <c:catAx>
        <c:axId val="49603108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6038304"/>
        <c:crosses val="autoZero"/>
        <c:auto val="1"/>
        <c:lblAlgn val="ctr"/>
        <c:lblOffset val="100"/>
        <c:noMultiLvlLbl val="0"/>
      </c:catAx>
      <c:valAx>
        <c:axId val="49603830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6031088"/>
        <c:crosses val="autoZero"/>
        <c:crossBetween val="between"/>
      </c:valAx>
      <c:spPr>
        <a:noFill/>
        <a:ln>
          <a:noFill/>
        </a:ln>
        <a:effectLst/>
      </c:spPr>
    </c:plotArea>
    <c:legend>
      <c:legendPos val="b"/>
      <c:layout>
        <c:manualLayout>
          <c:xMode val="edge"/>
          <c:yMode val="edge"/>
          <c:x val="0.16844245488028761"/>
          <c:y val="0.90834968362820878"/>
          <c:w val="0.66311481647967963"/>
          <c:h val="9.165031637179117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a:t>Average Working Days Lost per Full Time Equivalent EPES</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2293482492243017"/>
          <c:y val="0.17486426229968113"/>
          <c:w val="0.8388209386783646"/>
          <c:h val="0.60204108470926754"/>
        </c:manualLayout>
      </c:layout>
      <c:lineChart>
        <c:grouping val="standard"/>
        <c:varyColors val="0"/>
        <c:ser>
          <c:idx val="0"/>
          <c:order val="0"/>
          <c:tx>
            <c:strRef>
              <c:f>Planning!$B$52</c:f>
              <c:strCache>
                <c:ptCount val="1"/>
                <c:pt idx="0">
                  <c:v>Fife Council</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6.5206559940517481E-2"/>
                  <c:y val="4.7362440920237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950-4587-BCB8-65755E55E9A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Planning!$A$53:$A$55</c:f>
              <c:strCache>
                <c:ptCount val="3"/>
                <c:pt idx="0">
                  <c:v>2016/17</c:v>
                </c:pt>
                <c:pt idx="1">
                  <c:v>2017/18</c:v>
                </c:pt>
                <c:pt idx="2">
                  <c:v>2018/19</c:v>
                </c:pt>
              </c:strCache>
            </c:strRef>
          </c:cat>
          <c:val>
            <c:numRef>
              <c:f>Planning!$B$53:$B$55</c:f>
              <c:numCache>
                <c:formatCode>0.00</c:formatCode>
                <c:ptCount val="3"/>
                <c:pt idx="0">
                  <c:v>10.130000000000001</c:v>
                </c:pt>
                <c:pt idx="1">
                  <c:v>11.78</c:v>
                </c:pt>
                <c:pt idx="2">
                  <c:v>11.59</c:v>
                </c:pt>
              </c:numCache>
            </c:numRef>
          </c:val>
          <c:smooth val="0"/>
          <c:extLst>
            <c:ext xmlns:c16="http://schemas.microsoft.com/office/drawing/2014/chart" uri="{C3380CC4-5D6E-409C-BE32-E72D297353CC}">
              <c16:uniqueId val="{00000001-F950-4587-BCB8-65755E55E9A9}"/>
            </c:ext>
          </c:extLst>
        </c:ser>
        <c:ser>
          <c:idx val="1"/>
          <c:order val="1"/>
          <c:tx>
            <c:strRef>
              <c:f>Planning!$C$52</c:f>
              <c:strCache>
                <c:ptCount val="1"/>
                <c:pt idx="0">
                  <c:v>EPES</c:v>
                </c:pt>
              </c:strCache>
            </c:strRef>
          </c:tx>
          <c:spPr>
            <a:ln w="28575" cap="rnd">
              <a:solidFill>
                <a:srgbClr val="00B050"/>
              </a:solidFill>
              <a:prstDash val="lgDash"/>
              <a:round/>
            </a:ln>
            <a:effectLst/>
          </c:spPr>
          <c:marker>
            <c:symbol val="circle"/>
            <c:size val="5"/>
            <c:spPr>
              <a:solidFill>
                <a:srgbClr val="00B050"/>
              </a:solidFill>
              <a:ln w="9525">
                <a:solidFill>
                  <a:srgbClr val="00B050"/>
                </a:solidFill>
              </a:ln>
              <a:effectLst/>
            </c:spPr>
          </c:marker>
          <c:dLbls>
            <c:dLbl>
              <c:idx val="0"/>
              <c:layout>
                <c:manualLayout>
                  <c:x val="-8.6067052521902151E-2"/>
                  <c:y val="-5.29295934926562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950-4587-BCB8-65755E55E9A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Planning!$A$53:$A$55</c:f>
              <c:strCache>
                <c:ptCount val="3"/>
                <c:pt idx="0">
                  <c:v>2016/17</c:v>
                </c:pt>
                <c:pt idx="1">
                  <c:v>2017/18</c:v>
                </c:pt>
                <c:pt idx="2">
                  <c:v>2018/19</c:v>
                </c:pt>
              </c:strCache>
            </c:strRef>
          </c:cat>
          <c:val>
            <c:numRef>
              <c:f>Planning!$C$53:$C$55</c:f>
              <c:numCache>
                <c:formatCode>0.00</c:formatCode>
                <c:ptCount val="3"/>
                <c:pt idx="0">
                  <c:v>11.6</c:v>
                </c:pt>
                <c:pt idx="1">
                  <c:v>10.58</c:v>
                </c:pt>
                <c:pt idx="2">
                  <c:v>8.36</c:v>
                </c:pt>
              </c:numCache>
            </c:numRef>
          </c:val>
          <c:smooth val="0"/>
          <c:extLst>
            <c:ext xmlns:c16="http://schemas.microsoft.com/office/drawing/2014/chart" uri="{C3380CC4-5D6E-409C-BE32-E72D297353CC}">
              <c16:uniqueId val="{00000003-F950-4587-BCB8-65755E55E9A9}"/>
            </c:ext>
          </c:extLst>
        </c:ser>
        <c:dLbls>
          <c:dLblPos val="b"/>
          <c:showLegendKey val="0"/>
          <c:showVal val="1"/>
          <c:showCatName val="0"/>
          <c:showSerName val="0"/>
          <c:showPercent val="0"/>
          <c:showBubbleSize val="0"/>
        </c:dLbls>
        <c:marker val="1"/>
        <c:smooth val="0"/>
        <c:axId val="249805784"/>
        <c:axId val="249806176"/>
      </c:lineChart>
      <c:catAx>
        <c:axId val="249805784"/>
        <c:scaling>
          <c:orientation val="minMax"/>
        </c:scaling>
        <c:delete val="0"/>
        <c:axPos val="b"/>
        <c:numFmt formatCode="General" sourceLinked="1"/>
        <c:majorTickMark val="none"/>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9806176"/>
        <c:crosses val="autoZero"/>
        <c:auto val="1"/>
        <c:lblAlgn val="ctr"/>
        <c:lblOffset val="100"/>
        <c:noMultiLvlLbl val="0"/>
      </c:catAx>
      <c:valAx>
        <c:axId val="24980617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9805784"/>
        <c:crosses val="autoZero"/>
        <c:crossBetween val="between"/>
      </c:valAx>
      <c:spPr>
        <a:noFill/>
        <a:ln>
          <a:noFill/>
        </a:ln>
        <a:effectLst/>
      </c:spPr>
    </c:plotArea>
    <c:legend>
      <c:legendPos val="b"/>
      <c:layout>
        <c:manualLayout>
          <c:xMode val="edge"/>
          <c:yMode val="edge"/>
          <c:x val="0.13221117388726245"/>
          <c:y val="0.8726507273682097"/>
          <c:w val="0.82944959508196092"/>
          <c:h val="9.394635719727621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a:t>Long Term Working Days Lost per Full Time Equivalent EPES</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2293482492243017"/>
          <c:y val="0.19713287258935716"/>
          <c:w val="0.8388209386783646"/>
          <c:h val="0.59647393213684852"/>
        </c:manualLayout>
      </c:layout>
      <c:lineChart>
        <c:grouping val="standard"/>
        <c:varyColors val="0"/>
        <c:ser>
          <c:idx val="0"/>
          <c:order val="0"/>
          <c:tx>
            <c:strRef>
              <c:f>Planning!$B$68</c:f>
              <c:strCache>
                <c:ptCount val="1"/>
                <c:pt idx="0">
                  <c:v>Fife Council</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6.0756321523155452E-2"/>
                  <c:y val="4.7362440920237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227-4752-992F-D5C8A2C7288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Planning!$A$69:$A$71</c:f>
              <c:strCache>
                <c:ptCount val="3"/>
                <c:pt idx="0">
                  <c:v>2016/17</c:v>
                </c:pt>
                <c:pt idx="1">
                  <c:v>2017/18</c:v>
                </c:pt>
                <c:pt idx="2">
                  <c:v>2018/19</c:v>
                </c:pt>
              </c:strCache>
            </c:strRef>
          </c:cat>
          <c:val>
            <c:numRef>
              <c:f>Planning!$B$69:$B$71</c:f>
              <c:numCache>
                <c:formatCode>0.00</c:formatCode>
                <c:ptCount val="3"/>
                <c:pt idx="0">
                  <c:v>6.88</c:v>
                </c:pt>
                <c:pt idx="1">
                  <c:v>7.79</c:v>
                </c:pt>
                <c:pt idx="2">
                  <c:v>7.76</c:v>
                </c:pt>
              </c:numCache>
            </c:numRef>
          </c:val>
          <c:smooth val="0"/>
          <c:extLst>
            <c:ext xmlns:c16="http://schemas.microsoft.com/office/drawing/2014/chart" uri="{C3380CC4-5D6E-409C-BE32-E72D297353CC}">
              <c16:uniqueId val="{00000001-2227-4752-992F-D5C8A2C72889}"/>
            </c:ext>
          </c:extLst>
        </c:ser>
        <c:ser>
          <c:idx val="1"/>
          <c:order val="1"/>
          <c:tx>
            <c:strRef>
              <c:f>Planning!$C$68</c:f>
              <c:strCache>
                <c:ptCount val="1"/>
                <c:pt idx="0">
                  <c:v>EPES</c:v>
                </c:pt>
              </c:strCache>
            </c:strRef>
          </c:tx>
          <c:spPr>
            <a:ln w="28575" cap="rnd">
              <a:solidFill>
                <a:srgbClr val="00B050"/>
              </a:solidFill>
              <a:prstDash val="lgDash"/>
              <a:round/>
            </a:ln>
            <a:effectLst/>
          </c:spPr>
          <c:marker>
            <c:symbol val="circle"/>
            <c:size val="5"/>
            <c:spPr>
              <a:solidFill>
                <a:srgbClr val="00B050"/>
              </a:solidFill>
              <a:ln w="9525">
                <a:solidFill>
                  <a:srgbClr val="00B050"/>
                </a:solidFill>
              </a:ln>
              <a:effectLst/>
            </c:spPr>
          </c:marker>
          <c:dLbls>
            <c:dLbl>
              <c:idx val="0"/>
              <c:layout>
                <c:manualLayout>
                  <c:x val="-5.7279572759591307E-2"/>
                  <c:y val="-5.292959349265618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227-4752-992F-D5C8A2C7288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Planning!$A$69:$A$71</c:f>
              <c:strCache>
                <c:ptCount val="3"/>
                <c:pt idx="0">
                  <c:v>2016/17</c:v>
                </c:pt>
                <c:pt idx="1">
                  <c:v>2017/18</c:v>
                </c:pt>
                <c:pt idx="2">
                  <c:v>2018/19</c:v>
                </c:pt>
              </c:strCache>
            </c:strRef>
          </c:cat>
          <c:val>
            <c:numRef>
              <c:f>Planning!$C$69:$C$71</c:f>
              <c:numCache>
                <c:formatCode>0.00</c:formatCode>
                <c:ptCount val="3"/>
                <c:pt idx="0">
                  <c:v>8.5500000000000007</c:v>
                </c:pt>
                <c:pt idx="1">
                  <c:v>6.89</c:v>
                </c:pt>
                <c:pt idx="2">
                  <c:v>5.12</c:v>
                </c:pt>
              </c:numCache>
            </c:numRef>
          </c:val>
          <c:smooth val="0"/>
          <c:extLst>
            <c:ext xmlns:c16="http://schemas.microsoft.com/office/drawing/2014/chart" uri="{C3380CC4-5D6E-409C-BE32-E72D297353CC}">
              <c16:uniqueId val="{00000003-2227-4752-992F-D5C8A2C72889}"/>
            </c:ext>
          </c:extLst>
        </c:ser>
        <c:dLbls>
          <c:dLblPos val="t"/>
          <c:showLegendKey val="0"/>
          <c:showVal val="1"/>
          <c:showCatName val="0"/>
          <c:showSerName val="0"/>
          <c:showPercent val="0"/>
          <c:showBubbleSize val="0"/>
        </c:dLbls>
        <c:marker val="1"/>
        <c:smooth val="0"/>
        <c:axId val="249806960"/>
        <c:axId val="249807352"/>
      </c:lineChart>
      <c:catAx>
        <c:axId val="24980696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9807352"/>
        <c:crosses val="autoZero"/>
        <c:auto val="1"/>
        <c:lblAlgn val="ctr"/>
        <c:lblOffset val="100"/>
        <c:noMultiLvlLbl val="0"/>
      </c:catAx>
      <c:valAx>
        <c:axId val="24980735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9806960"/>
        <c:crosses val="autoZero"/>
        <c:crossBetween val="between"/>
      </c:valAx>
      <c:spPr>
        <a:noFill/>
        <a:ln>
          <a:noFill/>
        </a:ln>
        <a:effectLst/>
      </c:spPr>
    </c:plotArea>
    <c:legend>
      <c:legendPos val="b"/>
      <c:layout>
        <c:manualLayout>
          <c:xMode val="edge"/>
          <c:yMode val="edge"/>
          <c:x val="0.12873442512369832"/>
          <c:y val="0.8726507273682097"/>
          <c:w val="0.82249609755483266"/>
          <c:h val="9.394635719727621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a:t>% Absence Rate EPES</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68023568390135"/>
          <c:y val="0.17929036777398938"/>
          <c:w val="0.85505287160229615"/>
          <c:h val="0.61431643695221627"/>
        </c:manualLayout>
      </c:layout>
      <c:lineChart>
        <c:grouping val="standard"/>
        <c:varyColors val="0"/>
        <c:ser>
          <c:idx val="0"/>
          <c:order val="0"/>
          <c:tx>
            <c:strRef>
              <c:f>Planning!$B$36</c:f>
              <c:strCache>
                <c:ptCount val="1"/>
                <c:pt idx="0">
                  <c:v>Fife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6.4066014209951339E-2"/>
                  <c:y val="6.963105120991321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070-4C43-ACF8-FB0AAE98CB1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Planning!$A$37:$A$39</c:f>
              <c:strCache>
                <c:ptCount val="3"/>
                <c:pt idx="0">
                  <c:v>2016/17</c:v>
                </c:pt>
                <c:pt idx="1">
                  <c:v>2017/18</c:v>
                </c:pt>
                <c:pt idx="2">
                  <c:v>2018/19</c:v>
                </c:pt>
              </c:strCache>
            </c:strRef>
          </c:cat>
          <c:val>
            <c:numRef>
              <c:f>Planning!$B$37:$B$39</c:f>
              <c:numCache>
                <c:formatCode>0.00</c:formatCode>
                <c:ptCount val="3"/>
                <c:pt idx="0">
                  <c:v>4.67</c:v>
                </c:pt>
                <c:pt idx="1">
                  <c:v>5.43</c:v>
                </c:pt>
                <c:pt idx="2">
                  <c:v>5.3</c:v>
                </c:pt>
              </c:numCache>
            </c:numRef>
          </c:val>
          <c:smooth val="0"/>
          <c:extLst>
            <c:ext xmlns:c16="http://schemas.microsoft.com/office/drawing/2014/chart" uri="{C3380CC4-5D6E-409C-BE32-E72D297353CC}">
              <c16:uniqueId val="{00000001-4070-4C43-ACF8-FB0AAE98CB1B}"/>
            </c:ext>
          </c:extLst>
        </c:ser>
        <c:ser>
          <c:idx val="1"/>
          <c:order val="1"/>
          <c:tx>
            <c:strRef>
              <c:f>Planning!$C$36</c:f>
              <c:strCache>
                <c:ptCount val="1"/>
                <c:pt idx="0">
                  <c:v>EPES</c:v>
                </c:pt>
              </c:strCache>
            </c:strRef>
          </c:tx>
          <c:spPr>
            <a:ln w="28575" cap="rnd">
              <a:solidFill>
                <a:srgbClr val="00B050"/>
              </a:solidFill>
              <a:prstDash val="lgDash"/>
              <a:round/>
            </a:ln>
            <a:effectLst/>
          </c:spPr>
          <c:marker>
            <c:symbol val="circle"/>
            <c:size val="5"/>
            <c:spPr>
              <a:solidFill>
                <a:srgbClr val="00B050"/>
              </a:solidFill>
              <a:ln w="9525">
                <a:solidFill>
                  <a:srgbClr val="00B050"/>
                </a:solidFill>
              </a:ln>
              <a:effectLst/>
            </c:spPr>
          </c:marker>
          <c:dLbls>
            <c:dLbl>
              <c:idx val="0"/>
              <c:layout>
                <c:manualLayout>
                  <c:x val="-5.7130601199280352E-2"/>
                  <c:y val="-5.292959349265618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070-4C43-ACF8-FB0AAE98CB1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Planning!$A$37:$A$39</c:f>
              <c:strCache>
                <c:ptCount val="3"/>
                <c:pt idx="0">
                  <c:v>2016/17</c:v>
                </c:pt>
                <c:pt idx="1">
                  <c:v>2017/18</c:v>
                </c:pt>
                <c:pt idx="2">
                  <c:v>2018/19</c:v>
                </c:pt>
              </c:strCache>
            </c:strRef>
          </c:cat>
          <c:val>
            <c:numRef>
              <c:f>Planning!$C$37:$C$39</c:f>
              <c:numCache>
                <c:formatCode>0.00</c:formatCode>
                <c:ptCount val="3"/>
                <c:pt idx="0">
                  <c:v>5.15</c:v>
                </c:pt>
                <c:pt idx="1">
                  <c:v>4.7300000000000004</c:v>
                </c:pt>
                <c:pt idx="2">
                  <c:v>3.72</c:v>
                </c:pt>
              </c:numCache>
            </c:numRef>
          </c:val>
          <c:smooth val="0"/>
          <c:extLst>
            <c:ext xmlns:c16="http://schemas.microsoft.com/office/drawing/2014/chart" uri="{C3380CC4-5D6E-409C-BE32-E72D297353CC}">
              <c16:uniqueId val="{00000003-4070-4C43-ACF8-FB0AAE98CB1B}"/>
            </c:ext>
          </c:extLst>
        </c:ser>
        <c:dLbls>
          <c:dLblPos val="b"/>
          <c:showLegendKey val="0"/>
          <c:showVal val="1"/>
          <c:showCatName val="0"/>
          <c:showSerName val="0"/>
          <c:showPercent val="0"/>
          <c:showBubbleSize val="0"/>
        </c:dLbls>
        <c:marker val="1"/>
        <c:smooth val="0"/>
        <c:axId val="249804216"/>
        <c:axId val="249804608"/>
      </c:lineChart>
      <c:catAx>
        <c:axId val="24980421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9804608"/>
        <c:crosses val="autoZero"/>
        <c:auto val="1"/>
        <c:lblAlgn val="ctr"/>
        <c:lblOffset val="100"/>
        <c:noMultiLvlLbl val="0"/>
      </c:catAx>
      <c:valAx>
        <c:axId val="24980460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9804216"/>
        <c:crosses val="autoZero"/>
        <c:crossBetween val="between"/>
      </c:valAx>
      <c:spPr>
        <a:noFill/>
        <a:ln>
          <a:noFill/>
        </a:ln>
        <a:effectLst/>
      </c:spPr>
    </c:plotArea>
    <c:legend>
      <c:legendPos val="b"/>
      <c:layout>
        <c:manualLayout>
          <c:xMode val="edge"/>
          <c:yMode val="edge"/>
          <c:x val="0.19268789030470218"/>
          <c:y val="0.8726507273682097"/>
          <c:w val="0.64583357793861507"/>
          <c:h val="9.394635719727621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a:t>Number of housing completions per annum</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Planning!$B$81</c:f>
              <c:strCache>
                <c:ptCount val="1"/>
                <c:pt idx="0">
                  <c:v>Fife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Planning!$A$83:$A$86</c:f>
              <c:strCache>
                <c:ptCount val="4"/>
                <c:pt idx="0">
                  <c:v>2015/16</c:v>
                </c:pt>
                <c:pt idx="1">
                  <c:v>2016/17</c:v>
                </c:pt>
                <c:pt idx="2">
                  <c:v>2017/18</c:v>
                </c:pt>
                <c:pt idx="3">
                  <c:v>2018/19</c:v>
                </c:pt>
              </c:strCache>
            </c:strRef>
          </c:cat>
          <c:val>
            <c:numRef>
              <c:f>Planning!$B$83:$B$86</c:f>
              <c:numCache>
                <c:formatCode>#,##0</c:formatCode>
                <c:ptCount val="4"/>
                <c:pt idx="0">
                  <c:v>896</c:v>
                </c:pt>
                <c:pt idx="1">
                  <c:v>1303</c:v>
                </c:pt>
                <c:pt idx="2">
                  <c:v>1303</c:v>
                </c:pt>
                <c:pt idx="3">
                  <c:v>1118</c:v>
                </c:pt>
              </c:numCache>
            </c:numRef>
          </c:val>
          <c:smooth val="0"/>
          <c:extLst>
            <c:ext xmlns:c16="http://schemas.microsoft.com/office/drawing/2014/chart" uri="{C3380CC4-5D6E-409C-BE32-E72D297353CC}">
              <c16:uniqueId val="{00000000-7F50-47EB-9BFE-7BDD08EAF212}"/>
            </c:ext>
          </c:extLst>
        </c:ser>
        <c:dLbls>
          <c:dLblPos val="t"/>
          <c:showLegendKey val="0"/>
          <c:showVal val="1"/>
          <c:showCatName val="0"/>
          <c:showSerName val="0"/>
          <c:showPercent val="0"/>
          <c:showBubbleSize val="0"/>
        </c:dLbls>
        <c:marker val="1"/>
        <c:smooth val="0"/>
        <c:axId val="410551928"/>
        <c:axId val="410809864"/>
        <c:extLst>
          <c:ext xmlns:c15="http://schemas.microsoft.com/office/drawing/2012/chart" uri="{02D57815-91ED-43cb-92C2-25804820EDAC}">
            <c15:filteredLineSeries>
              <c15:ser>
                <c:idx val="1"/>
                <c:order val="1"/>
                <c:tx>
                  <c:strRef>
                    <c:extLst>
                      <c:ext uri="{02D57815-91ED-43cb-92C2-25804820EDAC}">
                        <c15:formulaRef>
                          <c15:sqref>Planning!$C$81</c15:sqref>
                        </c15:formulaRef>
                      </c:ext>
                    </c:extLst>
                    <c:strCache>
                      <c:ptCount val="1"/>
                    </c:strCache>
                  </c:strRef>
                </c:tx>
                <c:spPr>
                  <a:ln w="28575" cap="rnd">
                    <a:solidFill>
                      <a:schemeClr val="bg1">
                        <a:lumMod val="50000"/>
                      </a:schemeClr>
                    </a:solidFill>
                    <a:prstDash val="sysDot"/>
                    <a:round/>
                  </a:ln>
                  <a:effectLst/>
                </c:spPr>
                <c:marker>
                  <c:symbol val="circle"/>
                  <c:size val="5"/>
                  <c:spPr>
                    <a:solidFill>
                      <a:schemeClr val="bg1">
                        <a:lumMod val="50000"/>
                      </a:schemeClr>
                    </a:solidFill>
                    <a:ln w="9525">
                      <a:solidFill>
                        <a:schemeClr val="bg1">
                          <a:lumMod val="5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Planning!$A$83:$A$86</c15:sqref>
                        </c15:formulaRef>
                      </c:ext>
                    </c:extLst>
                    <c:strCache>
                      <c:ptCount val="4"/>
                      <c:pt idx="0">
                        <c:v>2015/16</c:v>
                      </c:pt>
                      <c:pt idx="1">
                        <c:v>2016/17</c:v>
                      </c:pt>
                      <c:pt idx="2">
                        <c:v>2017/18</c:v>
                      </c:pt>
                      <c:pt idx="3">
                        <c:v>2018/19</c:v>
                      </c:pt>
                    </c:strCache>
                  </c:strRef>
                </c:cat>
                <c:val>
                  <c:numRef>
                    <c:extLst>
                      <c:ext uri="{02D57815-91ED-43cb-92C2-25804820EDAC}">
                        <c15:formulaRef>
                          <c15:sqref>Planning!$C$83:$C$86</c15:sqref>
                        </c15:formulaRef>
                      </c:ext>
                    </c:extLst>
                    <c:numCache>
                      <c:formatCode>General</c:formatCode>
                      <c:ptCount val="4"/>
                    </c:numCache>
                  </c:numRef>
                </c:val>
                <c:smooth val="0"/>
                <c:extLst>
                  <c:ext xmlns:c16="http://schemas.microsoft.com/office/drawing/2014/chart" uri="{C3380CC4-5D6E-409C-BE32-E72D297353CC}">
                    <c16:uniqueId val="{00000001-7F50-47EB-9BFE-7BDD08EAF212}"/>
                  </c:ext>
                </c:extLst>
              </c15:ser>
            </c15:filteredLineSeries>
          </c:ext>
        </c:extLst>
      </c:lineChart>
      <c:catAx>
        <c:axId val="41055192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0809864"/>
        <c:crosses val="autoZero"/>
        <c:auto val="1"/>
        <c:lblAlgn val="ctr"/>
        <c:lblOffset val="100"/>
        <c:noMultiLvlLbl val="0"/>
      </c:catAx>
      <c:valAx>
        <c:axId val="4108098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0551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000"/>
              <a:t>The average time (weeks) to deal with Major planning applications determined during the year</a:t>
            </a:r>
          </a:p>
        </c:rich>
      </c:tx>
      <c:layout>
        <c:manualLayout>
          <c:xMode val="edge"/>
          <c:yMode val="edge"/>
          <c:x val="0.11193378956307395"/>
          <c:y val="0"/>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708085056057783"/>
          <c:y val="0.19156572001693814"/>
          <c:w val="0.85467491304021692"/>
          <c:h val="0.60204108470926754"/>
        </c:manualLayout>
      </c:layout>
      <c:lineChart>
        <c:grouping val="standard"/>
        <c:varyColors val="0"/>
        <c:ser>
          <c:idx val="0"/>
          <c:order val="0"/>
          <c:tx>
            <c:strRef>
              <c:f>Planning!$B$93</c:f>
              <c:strCache>
                <c:ptCount val="1"/>
                <c:pt idx="0">
                  <c:v>Fife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279-4F1D-9FDA-E0AF4C8B34CD}"/>
                </c:ext>
              </c:extLst>
            </c:dLbl>
            <c:dLbl>
              <c:idx val="3"/>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279-4F1D-9FDA-E0AF4C8B34C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Planning!$A$94:$A$97</c:f>
              <c:strCache>
                <c:ptCount val="4"/>
                <c:pt idx="0">
                  <c:v>2015/16</c:v>
                </c:pt>
                <c:pt idx="1">
                  <c:v>2016/17</c:v>
                </c:pt>
                <c:pt idx="2">
                  <c:v>2017/18</c:v>
                </c:pt>
                <c:pt idx="3">
                  <c:v>2018/19</c:v>
                </c:pt>
              </c:strCache>
            </c:strRef>
          </c:cat>
          <c:val>
            <c:numRef>
              <c:f>Planning!$B$94:$B$97</c:f>
              <c:numCache>
                <c:formatCode>0.0</c:formatCode>
                <c:ptCount val="4"/>
                <c:pt idx="0">
                  <c:v>28.18</c:v>
                </c:pt>
                <c:pt idx="1">
                  <c:v>53.99</c:v>
                </c:pt>
                <c:pt idx="2">
                  <c:v>30.95</c:v>
                </c:pt>
                <c:pt idx="3">
                  <c:v>51.21</c:v>
                </c:pt>
              </c:numCache>
            </c:numRef>
          </c:val>
          <c:smooth val="0"/>
          <c:extLst>
            <c:ext xmlns:c16="http://schemas.microsoft.com/office/drawing/2014/chart" uri="{C3380CC4-5D6E-409C-BE32-E72D297353CC}">
              <c16:uniqueId val="{00000002-0279-4F1D-9FDA-E0AF4C8B34CD}"/>
            </c:ext>
          </c:extLst>
        </c:ser>
        <c:ser>
          <c:idx val="1"/>
          <c:order val="1"/>
          <c:tx>
            <c:strRef>
              <c:f>Planning!$C$93</c:f>
              <c:strCache>
                <c:ptCount val="1"/>
                <c:pt idx="0">
                  <c:v>Scottish Avg</c:v>
                </c:pt>
              </c:strCache>
            </c:strRef>
          </c:tx>
          <c:spPr>
            <a:ln w="28575" cap="rnd">
              <a:solidFill>
                <a:schemeClr val="bg1">
                  <a:lumMod val="50000"/>
                </a:schemeClr>
              </a:solidFill>
              <a:prstDash val="sysDot"/>
              <a:round/>
            </a:ln>
            <a:effectLst/>
          </c:spPr>
          <c:marker>
            <c:symbol val="circle"/>
            <c:size val="5"/>
            <c:spPr>
              <a:solidFill>
                <a:schemeClr val="bg1">
                  <a:lumMod val="50000"/>
                </a:schemeClr>
              </a:solidFill>
              <a:ln w="9525">
                <a:solidFill>
                  <a:schemeClr val="bg1">
                    <a:lumMod val="5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Planning!$A$94:$A$97</c:f>
              <c:strCache>
                <c:ptCount val="4"/>
                <c:pt idx="0">
                  <c:v>2015/16</c:v>
                </c:pt>
                <c:pt idx="1">
                  <c:v>2016/17</c:v>
                </c:pt>
                <c:pt idx="2">
                  <c:v>2017/18</c:v>
                </c:pt>
                <c:pt idx="3">
                  <c:v>2018/19</c:v>
                </c:pt>
              </c:strCache>
            </c:strRef>
          </c:cat>
          <c:val>
            <c:numRef>
              <c:f>Planning!$C$94:$C$97</c:f>
              <c:numCache>
                <c:formatCode>0.0</c:formatCode>
                <c:ptCount val="4"/>
                <c:pt idx="0">
                  <c:v>31</c:v>
                </c:pt>
                <c:pt idx="1">
                  <c:v>36.4</c:v>
                </c:pt>
                <c:pt idx="2">
                  <c:v>33.6</c:v>
                </c:pt>
                <c:pt idx="3">
                  <c:v>32.5</c:v>
                </c:pt>
              </c:numCache>
            </c:numRef>
          </c:val>
          <c:smooth val="0"/>
          <c:extLst>
            <c:ext xmlns:c16="http://schemas.microsoft.com/office/drawing/2014/chart" uri="{C3380CC4-5D6E-409C-BE32-E72D297353CC}">
              <c16:uniqueId val="{00000003-0279-4F1D-9FDA-E0AF4C8B34CD}"/>
            </c:ext>
          </c:extLst>
        </c:ser>
        <c:dLbls>
          <c:dLblPos val="b"/>
          <c:showLegendKey val="0"/>
          <c:showVal val="1"/>
          <c:showCatName val="0"/>
          <c:showSerName val="0"/>
          <c:showPercent val="0"/>
          <c:showBubbleSize val="0"/>
        </c:dLbls>
        <c:marker val="1"/>
        <c:smooth val="0"/>
        <c:axId val="302779056"/>
        <c:axId val="302775448"/>
      </c:lineChart>
      <c:catAx>
        <c:axId val="30277905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2775448"/>
        <c:crosses val="autoZero"/>
        <c:auto val="1"/>
        <c:lblAlgn val="ctr"/>
        <c:lblOffset val="100"/>
        <c:noMultiLvlLbl val="0"/>
      </c:catAx>
      <c:valAx>
        <c:axId val="30277544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2779056"/>
        <c:crosses val="autoZero"/>
        <c:crossBetween val="between"/>
      </c:valAx>
      <c:spPr>
        <a:noFill/>
        <a:ln>
          <a:noFill/>
        </a:ln>
        <a:effectLst/>
      </c:spPr>
    </c:plotArea>
    <c:legend>
      <c:legendPos val="b"/>
      <c:layout>
        <c:manualLayout>
          <c:xMode val="edge"/>
          <c:yMode val="edge"/>
          <c:x val="0.24758694472626486"/>
          <c:y val="0.9004864902303048"/>
          <c:w val="0.50482583678772508"/>
          <c:h val="9.394635719727623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a:t>The average time (weeks) to deal with  Local &amp; Minor</a:t>
            </a:r>
          </a:p>
          <a:p>
            <a:pPr>
              <a:defRPr sz="1000"/>
            </a:pPr>
            <a:r>
              <a:rPr lang="en-GB" sz="1000"/>
              <a:t>planning applications determined during the year</a:t>
            </a:r>
          </a:p>
        </c:rich>
      </c:tx>
      <c:layout>
        <c:manualLayout>
          <c:xMode val="edge"/>
          <c:yMode val="edge"/>
          <c:x val="0.14094597550306209"/>
          <c:y val="5.5671525724190112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694143700787402"/>
          <c:y val="0.17486426229968113"/>
          <c:w val="0.85486411854768152"/>
          <c:h val="0.65214545786103861"/>
        </c:manualLayout>
      </c:layout>
      <c:lineChart>
        <c:grouping val="standard"/>
        <c:varyColors val="0"/>
        <c:ser>
          <c:idx val="0"/>
          <c:order val="0"/>
          <c:tx>
            <c:strRef>
              <c:f>Planning!$B$128</c:f>
              <c:strCache>
                <c:ptCount val="1"/>
                <c:pt idx="0">
                  <c:v>Minor</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Planning!$A$129:$A$132</c:f>
              <c:strCache>
                <c:ptCount val="4"/>
                <c:pt idx="0">
                  <c:v>2015/16</c:v>
                </c:pt>
                <c:pt idx="1">
                  <c:v>2016/17</c:v>
                </c:pt>
                <c:pt idx="2">
                  <c:v>2017/18</c:v>
                </c:pt>
                <c:pt idx="3">
                  <c:v>2018/19</c:v>
                </c:pt>
              </c:strCache>
            </c:strRef>
          </c:cat>
          <c:val>
            <c:numRef>
              <c:f>Planning!$B$129:$B$132</c:f>
              <c:numCache>
                <c:formatCode>0.0</c:formatCode>
                <c:ptCount val="4"/>
                <c:pt idx="0">
                  <c:v>8.49</c:v>
                </c:pt>
                <c:pt idx="1">
                  <c:v>8.57</c:v>
                </c:pt>
                <c:pt idx="2">
                  <c:v>8.86</c:v>
                </c:pt>
                <c:pt idx="3">
                  <c:v>7.5</c:v>
                </c:pt>
              </c:numCache>
            </c:numRef>
          </c:val>
          <c:smooth val="0"/>
          <c:extLst>
            <c:ext xmlns:c16="http://schemas.microsoft.com/office/drawing/2014/chart" uri="{C3380CC4-5D6E-409C-BE32-E72D297353CC}">
              <c16:uniqueId val="{00000000-8C78-436A-A370-ACEBE4506641}"/>
            </c:ext>
          </c:extLst>
        </c:ser>
        <c:ser>
          <c:idx val="1"/>
          <c:order val="1"/>
          <c:tx>
            <c:strRef>
              <c:f>Planning!$C$128</c:f>
              <c:strCache>
                <c:ptCount val="1"/>
                <c:pt idx="0">
                  <c:v>Local</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Planning!$A$129:$A$132</c:f>
              <c:strCache>
                <c:ptCount val="4"/>
                <c:pt idx="0">
                  <c:v>2015/16</c:v>
                </c:pt>
                <c:pt idx="1">
                  <c:v>2016/17</c:v>
                </c:pt>
                <c:pt idx="2">
                  <c:v>2017/18</c:v>
                </c:pt>
                <c:pt idx="3">
                  <c:v>2018/19</c:v>
                </c:pt>
              </c:strCache>
            </c:strRef>
          </c:cat>
          <c:val>
            <c:numRef>
              <c:f>Planning!$C$129:$C$132</c:f>
              <c:numCache>
                <c:formatCode>0.0</c:formatCode>
                <c:ptCount val="4"/>
                <c:pt idx="0">
                  <c:v>15.21</c:v>
                </c:pt>
                <c:pt idx="1">
                  <c:v>12.83</c:v>
                </c:pt>
                <c:pt idx="2">
                  <c:v>13.15</c:v>
                </c:pt>
                <c:pt idx="3">
                  <c:v>10.85</c:v>
                </c:pt>
              </c:numCache>
            </c:numRef>
          </c:val>
          <c:smooth val="0"/>
          <c:extLst>
            <c:ext xmlns:c16="http://schemas.microsoft.com/office/drawing/2014/chart" uri="{C3380CC4-5D6E-409C-BE32-E72D297353CC}">
              <c16:uniqueId val="{00000001-8C78-436A-A370-ACEBE4506641}"/>
            </c:ext>
          </c:extLst>
        </c:ser>
        <c:dLbls>
          <c:dLblPos val="b"/>
          <c:showLegendKey val="0"/>
          <c:showVal val="1"/>
          <c:showCatName val="0"/>
          <c:showSerName val="0"/>
          <c:showPercent val="0"/>
          <c:showBubbleSize val="0"/>
        </c:dLbls>
        <c:marker val="1"/>
        <c:smooth val="0"/>
        <c:axId val="460222296"/>
        <c:axId val="460222624"/>
      </c:lineChart>
      <c:catAx>
        <c:axId val="46022229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0222624"/>
        <c:crosses val="autoZero"/>
        <c:auto val="1"/>
        <c:lblAlgn val="ctr"/>
        <c:lblOffset val="100"/>
        <c:noMultiLvlLbl val="0"/>
      </c:catAx>
      <c:valAx>
        <c:axId val="46022262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0222296"/>
        <c:crosses val="autoZero"/>
        <c:crossBetween val="between"/>
      </c:valAx>
      <c:spPr>
        <a:noFill/>
        <a:ln>
          <a:noFill/>
        </a:ln>
        <a:effectLst/>
      </c:spPr>
    </c:plotArea>
    <c:legend>
      <c:legendPos val="b"/>
      <c:layout>
        <c:manualLayout>
          <c:xMode val="edge"/>
          <c:yMode val="edge"/>
          <c:x val="9.9971566054243219E-2"/>
          <c:y val="0.90605364280272382"/>
          <c:w val="0.85561242344706911"/>
          <c:h val="9.394635719727623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a:t>Average time taken to deliver a commercial </a:t>
            </a:r>
          </a:p>
          <a:p>
            <a:pPr>
              <a:defRPr sz="1000"/>
            </a:pPr>
            <a:r>
              <a:rPr lang="en-GB" sz="1000"/>
              <a:t>planning application decision (days)</a:t>
            </a:r>
          </a:p>
        </c:rich>
      </c:tx>
      <c:layout>
        <c:manualLayout>
          <c:xMode val="edge"/>
          <c:yMode val="edge"/>
          <c:x val="0.17838388287062576"/>
          <c:y val="1.1134305144838022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820950232077678"/>
          <c:y val="0.20826717773419517"/>
          <c:w val="0.85314316002985557"/>
          <c:h val="0.60204108470926754"/>
        </c:manualLayout>
      </c:layout>
      <c:lineChart>
        <c:grouping val="standard"/>
        <c:varyColors val="0"/>
        <c:ser>
          <c:idx val="0"/>
          <c:order val="0"/>
          <c:tx>
            <c:strRef>
              <c:f>Planning!$C$112</c:f>
              <c:strCache>
                <c:ptCount val="1"/>
                <c:pt idx="0">
                  <c:v>Fife</c:v>
                </c:pt>
              </c:strCache>
            </c:strRef>
          </c:tx>
          <c:spPr>
            <a:ln w="28575" cap="rnd">
              <a:solidFill>
                <a:schemeClr val="accent1"/>
              </a:solidFill>
              <a:prstDash val="solid"/>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Planning!$A$113:$A$116</c:f>
              <c:strCache>
                <c:ptCount val="4"/>
                <c:pt idx="0">
                  <c:v>2014/15</c:v>
                </c:pt>
                <c:pt idx="1">
                  <c:v>2015/16</c:v>
                </c:pt>
                <c:pt idx="2">
                  <c:v>2016/17</c:v>
                </c:pt>
                <c:pt idx="3">
                  <c:v>2017/18</c:v>
                </c:pt>
              </c:strCache>
            </c:strRef>
          </c:cat>
          <c:val>
            <c:numRef>
              <c:f>Planning!$C$113:$C$116</c:f>
              <c:numCache>
                <c:formatCode>0.0</c:formatCode>
                <c:ptCount val="4"/>
                <c:pt idx="0">
                  <c:v>17.829999999999998</c:v>
                </c:pt>
                <c:pt idx="1">
                  <c:v>17.600000000000001</c:v>
                </c:pt>
                <c:pt idx="2">
                  <c:v>14.23</c:v>
                </c:pt>
                <c:pt idx="3">
                  <c:v>16.079999999999998</c:v>
                </c:pt>
              </c:numCache>
            </c:numRef>
          </c:val>
          <c:smooth val="0"/>
          <c:extLst>
            <c:ext xmlns:c16="http://schemas.microsoft.com/office/drawing/2014/chart" uri="{C3380CC4-5D6E-409C-BE32-E72D297353CC}">
              <c16:uniqueId val="{00000000-EE88-4CBD-A3F9-49B695A7F495}"/>
            </c:ext>
          </c:extLst>
        </c:ser>
        <c:ser>
          <c:idx val="1"/>
          <c:order val="1"/>
          <c:tx>
            <c:strRef>
              <c:f>Planning!$D$112</c:f>
              <c:strCache>
                <c:ptCount val="1"/>
                <c:pt idx="0">
                  <c:v>Top Quartile</c:v>
                </c:pt>
              </c:strCache>
            </c:strRef>
          </c:tx>
          <c:spPr>
            <a:ln w="28575" cap="rnd">
              <a:solidFill>
                <a:schemeClr val="accent4"/>
              </a:solidFill>
              <a:prstDash val="dashDot"/>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Planning!$A$113:$A$116</c:f>
              <c:strCache>
                <c:ptCount val="4"/>
                <c:pt idx="0">
                  <c:v>2014/15</c:v>
                </c:pt>
                <c:pt idx="1">
                  <c:v>2015/16</c:v>
                </c:pt>
                <c:pt idx="2">
                  <c:v>2016/17</c:v>
                </c:pt>
                <c:pt idx="3">
                  <c:v>2017/18</c:v>
                </c:pt>
              </c:strCache>
            </c:strRef>
          </c:cat>
          <c:val>
            <c:numRef>
              <c:f>Planning!$D$113:$D$116</c:f>
              <c:numCache>
                <c:formatCode>0.0</c:formatCode>
                <c:ptCount val="4"/>
                <c:pt idx="0">
                  <c:v>8.83</c:v>
                </c:pt>
                <c:pt idx="1">
                  <c:v>7.84</c:v>
                </c:pt>
                <c:pt idx="2">
                  <c:v>7.57</c:v>
                </c:pt>
                <c:pt idx="3">
                  <c:v>7.32</c:v>
                </c:pt>
              </c:numCache>
            </c:numRef>
          </c:val>
          <c:smooth val="0"/>
          <c:extLst>
            <c:ext xmlns:c16="http://schemas.microsoft.com/office/drawing/2014/chart" uri="{C3380CC4-5D6E-409C-BE32-E72D297353CC}">
              <c16:uniqueId val="{00000001-EE88-4CBD-A3F9-49B695A7F495}"/>
            </c:ext>
          </c:extLst>
        </c:ser>
        <c:ser>
          <c:idx val="2"/>
          <c:order val="2"/>
          <c:tx>
            <c:strRef>
              <c:f>Planning!$E$112</c:f>
              <c:strCache>
                <c:ptCount val="1"/>
                <c:pt idx="0">
                  <c:v>Scottish Avg</c:v>
                </c:pt>
              </c:strCache>
            </c:strRef>
          </c:tx>
          <c:spPr>
            <a:ln w="28575" cap="rnd">
              <a:solidFill>
                <a:schemeClr val="bg1">
                  <a:lumMod val="50000"/>
                </a:schemeClr>
              </a:solidFill>
              <a:prstDash val="sysDot"/>
              <a:round/>
            </a:ln>
            <a:effectLst/>
          </c:spPr>
          <c:marker>
            <c:symbol val="circle"/>
            <c:size val="5"/>
            <c:spPr>
              <a:solidFill>
                <a:schemeClr val="bg1">
                  <a:lumMod val="50000"/>
                </a:schemeClr>
              </a:solidFill>
              <a:ln w="9525">
                <a:solidFill>
                  <a:schemeClr val="bg1">
                    <a:lumMod val="5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Planning!$A$113:$A$116</c:f>
              <c:strCache>
                <c:ptCount val="4"/>
                <c:pt idx="0">
                  <c:v>2014/15</c:v>
                </c:pt>
                <c:pt idx="1">
                  <c:v>2015/16</c:v>
                </c:pt>
                <c:pt idx="2">
                  <c:v>2016/17</c:v>
                </c:pt>
                <c:pt idx="3">
                  <c:v>2017/18</c:v>
                </c:pt>
              </c:strCache>
            </c:strRef>
          </c:cat>
          <c:val>
            <c:numRef>
              <c:f>Planning!$E$113:$E$116</c:f>
              <c:numCache>
                <c:formatCode>0.0</c:formatCode>
                <c:ptCount val="4"/>
                <c:pt idx="0">
                  <c:v>10.65</c:v>
                </c:pt>
                <c:pt idx="1">
                  <c:v>10.58</c:v>
                </c:pt>
                <c:pt idx="2">
                  <c:v>9.59</c:v>
                </c:pt>
                <c:pt idx="3">
                  <c:v>9.34</c:v>
                </c:pt>
              </c:numCache>
            </c:numRef>
          </c:val>
          <c:smooth val="0"/>
          <c:extLst>
            <c:ext xmlns:c16="http://schemas.microsoft.com/office/drawing/2014/chart" uri="{C3380CC4-5D6E-409C-BE32-E72D297353CC}">
              <c16:uniqueId val="{00000002-EE88-4CBD-A3F9-49B695A7F495}"/>
            </c:ext>
          </c:extLst>
        </c:ser>
        <c:dLbls>
          <c:dLblPos val="t"/>
          <c:showLegendKey val="0"/>
          <c:showVal val="1"/>
          <c:showCatName val="0"/>
          <c:showSerName val="0"/>
          <c:showPercent val="0"/>
          <c:showBubbleSize val="0"/>
        </c:dLbls>
        <c:marker val="1"/>
        <c:smooth val="0"/>
        <c:axId val="410813000"/>
        <c:axId val="410813392"/>
      </c:lineChart>
      <c:catAx>
        <c:axId val="41081300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0813392"/>
        <c:crosses val="autoZero"/>
        <c:auto val="1"/>
        <c:lblAlgn val="ctr"/>
        <c:lblOffset val="100"/>
        <c:noMultiLvlLbl val="0"/>
      </c:catAx>
      <c:valAx>
        <c:axId val="41081339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0813000"/>
        <c:crosses val="autoZero"/>
        <c:crossBetween val="between"/>
      </c:valAx>
      <c:spPr>
        <a:noFill/>
        <a:ln>
          <a:noFill/>
        </a:ln>
        <a:effectLst/>
      </c:spPr>
    </c:plotArea>
    <c:legend>
      <c:legendPos val="b"/>
      <c:layout>
        <c:manualLayout>
          <c:xMode val="edge"/>
          <c:yMode val="edge"/>
          <c:x val="7.3321219961170081E-2"/>
          <c:y val="0.89491933765788589"/>
          <c:w val="0.85335728343243689"/>
          <c:h val="9.394635719727623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a:t>Percentage retail vacancy rate across Fife's </a:t>
            </a:r>
          </a:p>
          <a:p>
            <a:pPr>
              <a:defRPr sz="1000"/>
            </a:pPr>
            <a:r>
              <a:rPr lang="en-GB" sz="1000"/>
              <a:t>Key Town Centres</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652530796146288"/>
          <c:y val="0.2074012021322153"/>
          <c:w val="0.85542886929013084"/>
          <c:h val="0.58151978183688147"/>
        </c:manualLayout>
      </c:layout>
      <c:lineChart>
        <c:grouping val="standard"/>
        <c:varyColors val="0"/>
        <c:ser>
          <c:idx val="0"/>
          <c:order val="0"/>
          <c:tx>
            <c:strRef>
              <c:f>'B&amp;E'!$B$173</c:f>
              <c:strCache>
                <c:ptCount val="1"/>
                <c:pt idx="0">
                  <c:v>Dunfermline</c:v>
                </c:pt>
              </c:strCache>
            </c:strRef>
          </c:tx>
          <c:spPr>
            <a:ln w="28575" cap="rnd">
              <a:solidFill>
                <a:schemeClr val="bg1">
                  <a:lumMod val="50000"/>
                </a:schemeClr>
              </a:solidFill>
              <a:prstDash val="dashDot"/>
              <a:round/>
            </a:ln>
            <a:effectLst/>
          </c:spPr>
          <c:marker>
            <c:symbol val="triangle"/>
            <c:size val="5"/>
            <c:spPr>
              <a:solidFill>
                <a:schemeClr val="bg1">
                  <a:lumMod val="50000"/>
                </a:schemeClr>
              </a:solidFill>
              <a:ln w="9525">
                <a:solidFill>
                  <a:schemeClr val="bg1">
                    <a:lumMod val="50000"/>
                  </a:schemeClr>
                </a:solidFill>
              </a:ln>
              <a:effectLst/>
            </c:spPr>
          </c:marker>
          <c:dLbls>
            <c:dLbl>
              <c:idx val="2"/>
              <c:layout>
                <c:manualLayout>
                  <c:x val="-4.5763998250218825E-2"/>
                  <c:y val="-3.93864829396325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BA0-4117-9104-6190B1408D0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'B&amp;E'!$A$174:$A$177</c:f>
              <c:strCache>
                <c:ptCount val="4"/>
                <c:pt idx="0">
                  <c:v>2014/15</c:v>
                </c:pt>
                <c:pt idx="1">
                  <c:v>2015/16</c:v>
                </c:pt>
                <c:pt idx="2">
                  <c:v>2016/17</c:v>
                </c:pt>
                <c:pt idx="3">
                  <c:v>2017/18</c:v>
                </c:pt>
              </c:strCache>
            </c:strRef>
          </c:cat>
          <c:val>
            <c:numRef>
              <c:f>'B&amp;E'!$B$174:$B$177</c:f>
              <c:numCache>
                <c:formatCode>0.0</c:formatCode>
                <c:ptCount val="4"/>
                <c:pt idx="0">
                  <c:v>15.8</c:v>
                </c:pt>
                <c:pt idx="1">
                  <c:v>15.5</c:v>
                </c:pt>
                <c:pt idx="2">
                  <c:v>18.100000000000001</c:v>
                </c:pt>
                <c:pt idx="3">
                  <c:v>18</c:v>
                </c:pt>
              </c:numCache>
            </c:numRef>
          </c:val>
          <c:smooth val="0"/>
          <c:extLst>
            <c:ext xmlns:c16="http://schemas.microsoft.com/office/drawing/2014/chart" uri="{C3380CC4-5D6E-409C-BE32-E72D297353CC}">
              <c16:uniqueId val="{00000001-CBA0-4117-9104-6190B1408D03}"/>
            </c:ext>
          </c:extLst>
        </c:ser>
        <c:ser>
          <c:idx val="1"/>
          <c:order val="1"/>
          <c:tx>
            <c:strRef>
              <c:f>'B&amp;E'!$C$173</c:f>
              <c:strCache>
                <c:ptCount val="1"/>
                <c:pt idx="0">
                  <c:v>Glenrothes</c:v>
                </c:pt>
              </c:strCache>
            </c:strRef>
          </c:tx>
          <c:spPr>
            <a:ln w="28575" cap="rnd">
              <a:solidFill>
                <a:schemeClr val="bg1">
                  <a:lumMod val="50000"/>
                </a:schemeClr>
              </a:solidFill>
              <a:prstDash val="sysDash"/>
              <a:round/>
            </a:ln>
            <a:effectLst/>
          </c:spPr>
          <c:marker>
            <c:symbol val="square"/>
            <c:size val="5"/>
            <c:spPr>
              <a:solidFill>
                <a:schemeClr val="bg1">
                  <a:lumMod val="50000"/>
                </a:schemeClr>
              </a:solidFill>
              <a:ln w="9525">
                <a:solidFill>
                  <a:schemeClr val="bg1">
                    <a:lumMod val="50000"/>
                  </a:schemeClr>
                </a:solidFill>
              </a:ln>
              <a:effectLst/>
            </c:spPr>
          </c:marker>
          <c:dLbls>
            <c:dLbl>
              <c:idx val="1"/>
              <c:layout>
                <c:manualLayout>
                  <c:x val="-1.6840655270531128E-2"/>
                  <c:y val="-2.445604368500810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BA0-4117-9104-6190B1408D03}"/>
                </c:ext>
              </c:extLst>
            </c:dLbl>
            <c:dLbl>
              <c:idx val="2"/>
              <c:layout>
                <c:manualLayout>
                  <c:x val="-4.5763998250218825E-2"/>
                  <c:y val="4.40161125692621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BA0-4117-9104-6190B1408D03}"/>
                </c:ext>
              </c:extLst>
            </c:dLbl>
            <c:dLbl>
              <c:idx val="3"/>
              <c:layout>
                <c:manualLayout>
                  <c:x val="-3.7430664916885389E-2"/>
                  <c:y val="4.40161125692621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BA0-4117-9104-6190B1408D0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'B&amp;E'!$A$174:$A$177</c:f>
              <c:strCache>
                <c:ptCount val="4"/>
                <c:pt idx="0">
                  <c:v>2014/15</c:v>
                </c:pt>
                <c:pt idx="1">
                  <c:v>2015/16</c:v>
                </c:pt>
                <c:pt idx="2">
                  <c:v>2016/17</c:v>
                </c:pt>
                <c:pt idx="3">
                  <c:v>2017/18</c:v>
                </c:pt>
              </c:strCache>
            </c:strRef>
          </c:cat>
          <c:val>
            <c:numRef>
              <c:f>'B&amp;E'!$C$174:$C$177</c:f>
              <c:numCache>
                <c:formatCode>0.0</c:formatCode>
                <c:ptCount val="4"/>
                <c:pt idx="0">
                  <c:v>19.2</c:v>
                </c:pt>
                <c:pt idx="1">
                  <c:v>18.2</c:v>
                </c:pt>
                <c:pt idx="2">
                  <c:v>17.5</c:v>
                </c:pt>
                <c:pt idx="3">
                  <c:v>24.5</c:v>
                </c:pt>
              </c:numCache>
            </c:numRef>
          </c:val>
          <c:smooth val="0"/>
          <c:extLst>
            <c:ext xmlns:c16="http://schemas.microsoft.com/office/drawing/2014/chart" uri="{C3380CC4-5D6E-409C-BE32-E72D297353CC}">
              <c16:uniqueId val="{00000005-CBA0-4117-9104-6190B1408D03}"/>
            </c:ext>
          </c:extLst>
        </c:ser>
        <c:ser>
          <c:idx val="2"/>
          <c:order val="2"/>
          <c:tx>
            <c:strRef>
              <c:f>'B&amp;E'!$D$173</c:f>
              <c:strCache>
                <c:ptCount val="1"/>
                <c:pt idx="0">
                  <c:v>Kirkcaldy</c:v>
                </c:pt>
              </c:strCache>
            </c:strRef>
          </c:tx>
          <c:spPr>
            <a:ln w="28575" cap="rnd">
              <a:solidFill>
                <a:schemeClr val="bg1">
                  <a:lumMod val="50000"/>
                </a:schemeClr>
              </a:solidFill>
              <a:round/>
            </a:ln>
            <a:effectLst/>
          </c:spPr>
          <c:marker>
            <c:symbol val="circle"/>
            <c:size val="5"/>
            <c:spPr>
              <a:solidFill>
                <a:schemeClr val="bg1">
                  <a:lumMod val="50000"/>
                </a:schemeClr>
              </a:solidFill>
              <a:ln w="9525">
                <a:solidFill>
                  <a:schemeClr val="bg1">
                    <a:lumMod val="5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'B&amp;E'!$A$174:$A$177</c:f>
              <c:strCache>
                <c:ptCount val="4"/>
                <c:pt idx="0">
                  <c:v>2014/15</c:v>
                </c:pt>
                <c:pt idx="1">
                  <c:v>2015/16</c:v>
                </c:pt>
                <c:pt idx="2">
                  <c:v>2016/17</c:v>
                </c:pt>
                <c:pt idx="3">
                  <c:v>2017/18</c:v>
                </c:pt>
              </c:strCache>
            </c:strRef>
          </c:cat>
          <c:val>
            <c:numRef>
              <c:f>'B&amp;E'!$D$174:$D$177</c:f>
              <c:numCache>
                <c:formatCode>0.0</c:formatCode>
                <c:ptCount val="4"/>
                <c:pt idx="0">
                  <c:v>19.2</c:v>
                </c:pt>
                <c:pt idx="1">
                  <c:v>20.7</c:v>
                </c:pt>
                <c:pt idx="2">
                  <c:v>24.5</c:v>
                </c:pt>
                <c:pt idx="3">
                  <c:v>27.3</c:v>
                </c:pt>
              </c:numCache>
            </c:numRef>
          </c:val>
          <c:smooth val="0"/>
          <c:extLst>
            <c:ext xmlns:c16="http://schemas.microsoft.com/office/drawing/2014/chart" uri="{C3380CC4-5D6E-409C-BE32-E72D297353CC}">
              <c16:uniqueId val="{00000006-CBA0-4117-9104-6190B1408D03}"/>
            </c:ext>
          </c:extLst>
        </c:ser>
        <c:ser>
          <c:idx val="3"/>
          <c:order val="3"/>
          <c:tx>
            <c:strRef>
              <c:f>'B&amp;E'!$E$173</c:f>
              <c:strCache>
                <c:ptCount val="1"/>
                <c:pt idx="0">
                  <c:v>St Andrews</c:v>
                </c:pt>
              </c:strCache>
            </c:strRef>
          </c:tx>
          <c:spPr>
            <a:ln w="28575" cap="rnd">
              <a:solidFill>
                <a:schemeClr val="bg1">
                  <a:lumMod val="50000"/>
                </a:schemeClr>
              </a:solidFill>
              <a:prstDash val="lgDashDotDot"/>
              <a:round/>
            </a:ln>
            <a:effectLst/>
          </c:spPr>
          <c:marker>
            <c:symbol val="diamond"/>
            <c:size val="5"/>
            <c:spPr>
              <a:solidFill>
                <a:schemeClr val="bg1">
                  <a:lumMod val="50000"/>
                </a:schemeClr>
              </a:solidFill>
              <a:ln w="9525">
                <a:solidFill>
                  <a:schemeClr val="bg1">
                    <a:lumMod val="5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'B&amp;E'!$A$174:$A$177</c:f>
              <c:strCache>
                <c:ptCount val="4"/>
                <c:pt idx="0">
                  <c:v>2014/15</c:v>
                </c:pt>
                <c:pt idx="1">
                  <c:v>2015/16</c:v>
                </c:pt>
                <c:pt idx="2">
                  <c:v>2016/17</c:v>
                </c:pt>
                <c:pt idx="3">
                  <c:v>2017/18</c:v>
                </c:pt>
              </c:strCache>
            </c:strRef>
          </c:cat>
          <c:val>
            <c:numRef>
              <c:f>'B&amp;E'!$E$174:$E$177</c:f>
              <c:numCache>
                <c:formatCode>0.0</c:formatCode>
                <c:ptCount val="4"/>
                <c:pt idx="0">
                  <c:v>4.2</c:v>
                </c:pt>
                <c:pt idx="1">
                  <c:v>4.0999999999999996</c:v>
                </c:pt>
                <c:pt idx="2">
                  <c:v>4.5999999999999996</c:v>
                </c:pt>
                <c:pt idx="3">
                  <c:v>4.4000000000000004</c:v>
                </c:pt>
              </c:numCache>
            </c:numRef>
          </c:val>
          <c:smooth val="0"/>
          <c:extLst>
            <c:ext xmlns:c16="http://schemas.microsoft.com/office/drawing/2014/chart" uri="{C3380CC4-5D6E-409C-BE32-E72D297353CC}">
              <c16:uniqueId val="{00000007-CBA0-4117-9104-6190B1408D03}"/>
            </c:ext>
          </c:extLst>
        </c:ser>
        <c:dLbls>
          <c:dLblPos val="b"/>
          <c:showLegendKey val="0"/>
          <c:showVal val="1"/>
          <c:showCatName val="0"/>
          <c:showSerName val="0"/>
          <c:showPercent val="0"/>
          <c:showBubbleSize val="0"/>
        </c:dLbls>
        <c:marker val="1"/>
        <c:smooth val="0"/>
        <c:axId val="401335280"/>
        <c:axId val="401096136"/>
      </c:lineChart>
      <c:catAx>
        <c:axId val="40133528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1096136"/>
        <c:crosses val="autoZero"/>
        <c:auto val="1"/>
        <c:lblAlgn val="ctr"/>
        <c:lblOffset val="100"/>
        <c:noMultiLvlLbl val="0"/>
      </c:catAx>
      <c:valAx>
        <c:axId val="40109613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1335280"/>
        <c:crosses val="autoZero"/>
        <c:crossBetween val="between"/>
      </c:valAx>
      <c:spPr>
        <a:noFill/>
        <a:ln>
          <a:noFill/>
        </a:ln>
        <a:effectLst/>
      </c:spPr>
    </c:plotArea>
    <c:legend>
      <c:legendPos val="b"/>
      <c:layout>
        <c:manualLayout>
          <c:xMode val="edge"/>
          <c:yMode val="edge"/>
          <c:x val="5.961510808608541E-4"/>
          <c:y val="0.8877326026306519"/>
          <c:w val="0.99534898667933225"/>
          <c:h val="0.112267397369348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a:t>Percentage retail vacancy rate across </a:t>
            </a:r>
          </a:p>
          <a:p>
            <a:pPr>
              <a:defRPr sz="1000"/>
            </a:pPr>
            <a:r>
              <a:rPr lang="en-GB" sz="1000"/>
              <a:t>Mid-Fife Town Centres</a:t>
            </a:r>
          </a:p>
        </c:rich>
      </c:tx>
      <c:layout>
        <c:manualLayout>
          <c:xMode val="edge"/>
          <c:yMode val="edge"/>
          <c:x val="0.23608000135784837"/>
          <c:y val="0"/>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708085056057783"/>
          <c:y val="0.17559744562803489"/>
          <c:w val="0.85467491304021692"/>
          <c:h val="0.62905056533185"/>
        </c:manualLayout>
      </c:layout>
      <c:lineChart>
        <c:grouping val="standard"/>
        <c:varyColors val="0"/>
        <c:ser>
          <c:idx val="0"/>
          <c:order val="0"/>
          <c:tx>
            <c:strRef>
              <c:f>'B&amp;E'!$B$188</c:f>
              <c:strCache>
                <c:ptCount val="1"/>
                <c:pt idx="0">
                  <c:v>Cowdenbeath</c:v>
                </c:pt>
              </c:strCache>
            </c:strRef>
          </c:tx>
          <c:spPr>
            <a:ln w="28575" cap="rnd">
              <a:solidFill>
                <a:schemeClr val="bg1">
                  <a:lumMod val="50000"/>
                </a:schemeClr>
              </a:solidFill>
              <a:prstDash val="lgDash"/>
              <a:round/>
            </a:ln>
            <a:effectLst/>
          </c:spPr>
          <c:marker>
            <c:symbol val="circle"/>
            <c:size val="5"/>
            <c:spPr>
              <a:solidFill>
                <a:schemeClr val="bg1">
                  <a:lumMod val="50000"/>
                </a:schemeClr>
              </a:solidFill>
              <a:ln w="9525">
                <a:solidFill>
                  <a:schemeClr val="bg1">
                    <a:lumMod val="50000"/>
                  </a:schemeClr>
                </a:solidFill>
              </a:ln>
              <a:effectLst/>
            </c:spPr>
          </c:marker>
          <c:dLbls>
            <c:dLbl>
              <c:idx val="1"/>
              <c:layout>
                <c:manualLayout>
                  <c:x val="-1.3738085291491228E-2"/>
                  <c:y val="1.616929762229872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12A-40FF-9B96-6B7478DE7580}"/>
                </c:ext>
              </c:extLst>
            </c:dLbl>
            <c:dLbl>
              <c:idx val="2"/>
              <c:layout>
                <c:manualLayout>
                  <c:x val="-4.5763998250218825E-2"/>
                  <c:y val="3.00579615048118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12A-40FF-9B96-6B7478DE7580}"/>
                </c:ext>
              </c:extLst>
            </c:dLbl>
            <c:dLbl>
              <c:idx val="3"/>
              <c:layout>
                <c:manualLayout>
                  <c:x val="-4.5763998250218825E-2"/>
                  <c:y val="4.394685039370074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12A-40FF-9B96-6B7478DE758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'B&amp;E'!$A$189:$A$192</c:f>
              <c:strCache>
                <c:ptCount val="4"/>
                <c:pt idx="0">
                  <c:v>2014/15</c:v>
                </c:pt>
                <c:pt idx="1">
                  <c:v>2015/16</c:v>
                </c:pt>
                <c:pt idx="2">
                  <c:v>2016/17</c:v>
                </c:pt>
                <c:pt idx="3">
                  <c:v>2017/18</c:v>
                </c:pt>
              </c:strCache>
            </c:strRef>
          </c:cat>
          <c:val>
            <c:numRef>
              <c:f>'B&amp;E'!$B$189:$B$192</c:f>
              <c:numCache>
                <c:formatCode>0.0</c:formatCode>
                <c:ptCount val="4"/>
                <c:pt idx="0">
                  <c:v>15.3</c:v>
                </c:pt>
                <c:pt idx="1">
                  <c:v>20.3</c:v>
                </c:pt>
                <c:pt idx="2">
                  <c:v>23.8</c:v>
                </c:pt>
                <c:pt idx="3">
                  <c:v>24.1</c:v>
                </c:pt>
              </c:numCache>
            </c:numRef>
          </c:val>
          <c:smooth val="0"/>
          <c:extLst>
            <c:ext xmlns:c16="http://schemas.microsoft.com/office/drawing/2014/chart" uri="{C3380CC4-5D6E-409C-BE32-E72D297353CC}">
              <c16:uniqueId val="{00000003-712A-40FF-9B96-6B7478DE7580}"/>
            </c:ext>
          </c:extLst>
        </c:ser>
        <c:ser>
          <c:idx val="1"/>
          <c:order val="1"/>
          <c:tx>
            <c:strRef>
              <c:f>'B&amp;E'!$C$188</c:f>
              <c:strCache>
                <c:ptCount val="1"/>
                <c:pt idx="0">
                  <c:v>Glenrothes</c:v>
                </c:pt>
              </c:strCache>
            </c:strRef>
          </c:tx>
          <c:spPr>
            <a:ln w="28575" cap="rnd">
              <a:solidFill>
                <a:schemeClr val="bg1">
                  <a:lumMod val="50000"/>
                </a:schemeClr>
              </a:solidFill>
              <a:prstDash val="sysDash"/>
              <a:round/>
            </a:ln>
            <a:effectLst/>
          </c:spPr>
          <c:marker>
            <c:symbol val="x"/>
            <c:size val="5"/>
            <c:spPr>
              <a:solidFill>
                <a:schemeClr val="bg1">
                  <a:lumMod val="50000"/>
                </a:schemeClr>
              </a:solidFill>
              <a:ln w="9525">
                <a:solidFill>
                  <a:schemeClr val="bg1">
                    <a:lumMod val="50000"/>
                  </a:schemeClr>
                </a:solidFill>
              </a:ln>
              <a:effectLst/>
            </c:spPr>
          </c:marker>
          <c:dLbls>
            <c:dLbl>
              <c:idx val="0"/>
              <c:layout>
                <c:manualLayout>
                  <c:x val="-0.10247730668592474"/>
                  <c:y val="5.841348356176923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12A-40FF-9B96-6B7478DE7580}"/>
                </c:ext>
              </c:extLst>
            </c:dLbl>
            <c:dLbl>
              <c:idx val="1"/>
              <c:layout>
                <c:manualLayout>
                  <c:x val="-4.5763998250218721E-2"/>
                  <c:y val="3.9317220764071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12A-40FF-9B96-6B7478DE7580}"/>
                </c:ext>
              </c:extLst>
            </c:dLbl>
            <c:dLbl>
              <c:idx val="2"/>
              <c:layout>
                <c:manualLayout>
                  <c:x val="-4.5763998250218825E-2"/>
                  <c:y val="-3.93864829396325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12A-40FF-9B96-6B7478DE7580}"/>
                </c:ext>
              </c:extLst>
            </c:dLbl>
            <c:dLbl>
              <c:idx val="3"/>
              <c:layout>
                <c:manualLayout>
                  <c:x val="-6.8751093613299355E-3"/>
                  <c:y val="-1.160870516185481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12A-40FF-9B96-6B7478DE758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'B&amp;E'!$A$189:$A$192</c:f>
              <c:strCache>
                <c:ptCount val="4"/>
                <c:pt idx="0">
                  <c:v>2014/15</c:v>
                </c:pt>
                <c:pt idx="1">
                  <c:v>2015/16</c:v>
                </c:pt>
                <c:pt idx="2">
                  <c:v>2016/17</c:v>
                </c:pt>
                <c:pt idx="3">
                  <c:v>2017/18</c:v>
                </c:pt>
              </c:strCache>
            </c:strRef>
          </c:cat>
          <c:val>
            <c:numRef>
              <c:f>'B&amp;E'!$C$189:$C$192</c:f>
              <c:numCache>
                <c:formatCode>0.0</c:formatCode>
                <c:ptCount val="4"/>
                <c:pt idx="0">
                  <c:v>19.2</c:v>
                </c:pt>
                <c:pt idx="1">
                  <c:v>18.2</c:v>
                </c:pt>
                <c:pt idx="2">
                  <c:v>17.5</c:v>
                </c:pt>
                <c:pt idx="3">
                  <c:v>24.5</c:v>
                </c:pt>
              </c:numCache>
            </c:numRef>
          </c:val>
          <c:smooth val="0"/>
          <c:extLst>
            <c:ext xmlns:c16="http://schemas.microsoft.com/office/drawing/2014/chart" uri="{C3380CC4-5D6E-409C-BE32-E72D297353CC}">
              <c16:uniqueId val="{00000008-712A-40FF-9B96-6B7478DE7580}"/>
            </c:ext>
          </c:extLst>
        </c:ser>
        <c:ser>
          <c:idx val="2"/>
          <c:order val="2"/>
          <c:tx>
            <c:strRef>
              <c:f>'B&amp;E'!$D$188</c:f>
              <c:strCache>
                <c:ptCount val="1"/>
                <c:pt idx="0">
                  <c:v>Kirkcaldy</c:v>
                </c:pt>
              </c:strCache>
            </c:strRef>
          </c:tx>
          <c:spPr>
            <a:ln w="28575" cap="rnd">
              <a:solidFill>
                <a:schemeClr val="bg1">
                  <a:lumMod val="50000"/>
                </a:schemeClr>
              </a:solidFill>
              <a:round/>
            </a:ln>
            <a:effectLst/>
          </c:spPr>
          <c:marker>
            <c:symbol val="circle"/>
            <c:size val="5"/>
            <c:spPr>
              <a:solidFill>
                <a:schemeClr val="bg1">
                  <a:lumMod val="50000"/>
                </a:schemeClr>
              </a:solidFill>
              <a:ln w="9525">
                <a:solidFill>
                  <a:schemeClr val="bg1">
                    <a:lumMod val="5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'B&amp;E'!$A$189:$A$192</c:f>
              <c:strCache>
                <c:ptCount val="4"/>
                <c:pt idx="0">
                  <c:v>2014/15</c:v>
                </c:pt>
                <c:pt idx="1">
                  <c:v>2015/16</c:v>
                </c:pt>
                <c:pt idx="2">
                  <c:v>2016/17</c:v>
                </c:pt>
                <c:pt idx="3">
                  <c:v>2017/18</c:v>
                </c:pt>
              </c:strCache>
            </c:strRef>
          </c:cat>
          <c:val>
            <c:numRef>
              <c:f>'B&amp;E'!$D$189:$D$192</c:f>
              <c:numCache>
                <c:formatCode>0.0</c:formatCode>
                <c:ptCount val="4"/>
                <c:pt idx="0">
                  <c:v>19.2</c:v>
                </c:pt>
                <c:pt idx="1">
                  <c:v>20.7</c:v>
                </c:pt>
                <c:pt idx="2">
                  <c:v>24.5</c:v>
                </c:pt>
                <c:pt idx="3">
                  <c:v>27.3</c:v>
                </c:pt>
              </c:numCache>
            </c:numRef>
          </c:val>
          <c:smooth val="0"/>
          <c:extLst>
            <c:ext xmlns:c16="http://schemas.microsoft.com/office/drawing/2014/chart" uri="{C3380CC4-5D6E-409C-BE32-E72D297353CC}">
              <c16:uniqueId val="{00000009-712A-40FF-9B96-6B7478DE7580}"/>
            </c:ext>
          </c:extLst>
        </c:ser>
        <c:ser>
          <c:idx val="3"/>
          <c:order val="3"/>
          <c:tx>
            <c:strRef>
              <c:f>'B&amp;E'!$E$188</c:f>
              <c:strCache>
                <c:ptCount val="1"/>
                <c:pt idx="0">
                  <c:v>Leven</c:v>
                </c:pt>
              </c:strCache>
            </c:strRef>
          </c:tx>
          <c:spPr>
            <a:ln w="28575" cap="rnd">
              <a:solidFill>
                <a:schemeClr val="bg1">
                  <a:lumMod val="50000"/>
                </a:schemeClr>
              </a:solidFill>
              <a:prstDash val="lgDashDot"/>
              <a:round/>
            </a:ln>
            <a:effectLst/>
          </c:spPr>
          <c:marker>
            <c:symbol val="triangle"/>
            <c:size val="5"/>
            <c:spPr>
              <a:solidFill>
                <a:schemeClr val="bg1">
                  <a:lumMod val="50000"/>
                </a:schemeClr>
              </a:solidFill>
              <a:ln w="9525">
                <a:solidFill>
                  <a:schemeClr val="bg1">
                    <a:lumMod val="50000"/>
                  </a:schemeClr>
                </a:solidFill>
              </a:ln>
              <a:effectLst/>
            </c:spPr>
          </c:marker>
          <c:dLbls>
            <c:dLbl>
              <c:idx val="0"/>
              <c:layout>
                <c:manualLayout>
                  <c:x val="-0.11803562052300158"/>
                  <c:y val="3.34029300769713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12A-40FF-9B96-6B7478DE758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'B&amp;E'!$A$189:$A$192</c:f>
              <c:strCache>
                <c:ptCount val="4"/>
                <c:pt idx="0">
                  <c:v>2014/15</c:v>
                </c:pt>
                <c:pt idx="1">
                  <c:v>2015/16</c:v>
                </c:pt>
                <c:pt idx="2">
                  <c:v>2016/17</c:v>
                </c:pt>
                <c:pt idx="3">
                  <c:v>2017/18</c:v>
                </c:pt>
              </c:strCache>
            </c:strRef>
          </c:cat>
          <c:val>
            <c:numRef>
              <c:f>'B&amp;E'!$E$189:$E$192</c:f>
              <c:numCache>
                <c:formatCode>0.0</c:formatCode>
                <c:ptCount val="4"/>
                <c:pt idx="0">
                  <c:v>16.3</c:v>
                </c:pt>
                <c:pt idx="1">
                  <c:v>14.2</c:v>
                </c:pt>
                <c:pt idx="2">
                  <c:v>15</c:v>
                </c:pt>
                <c:pt idx="3">
                  <c:v>19.600000000000001</c:v>
                </c:pt>
              </c:numCache>
            </c:numRef>
          </c:val>
          <c:smooth val="0"/>
          <c:extLst>
            <c:ext xmlns:c16="http://schemas.microsoft.com/office/drawing/2014/chart" uri="{C3380CC4-5D6E-409C-BE32-E72D297353CC}">
              <c16:uniqueId val="{0000000B-712A-40FF-9B96-6B7478DE7580}"/>
            </c:ext>
          </c:extLst>
        </c:ser>
        <c:dLbls>
          <c:dLblPos val="b"/>
          <c:showLegendKey val="0"/>
          <c:showVal val="1"/>
          <c:showCatName val="0"/>
          <c:showSerName val="0"/>
          <c:showPercent val="0"/>
          <c:showBubbleSize val="0"/>
        </c:dLbls>
        <c:marker val="1"/>
        <c:smooth val="0"/>
        <c:axId val="401096920"/>
        <c:axId val="401097312"/>
      </c:lineChart>
      <c:catAx>
        <c:axId val="40109692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1097312"/>
        <c:crosses val="autoZero"/>
        <c:auto val="1"/>
        <c:lblAlgn val="ctr"/>
        <c:lblOffset val="100"/>
        <c:noMultiLvlLbl val="0"/>
      </c:catAx>
      <c:valAx>
        <c:axId val="401097312"/>
        <c:scaling>
          <c:orientation val="minMax"/>
          <c:min val="1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1096920"/>
        <c:crosses val="autoZero"/>
        <c:crossBetween val="between"/>
      </c:valAx>
      <c:spPr>
        <a:noFill/>
        <a:ln>
          <a:noFill/>
        </a:ln>
        <a:effectLst/>
      </c:spPr>
    </c:plotArea>
    <c:legend>
      <c:legendPos val="b"/>
      <c:layout>
        <c:manualLayout>
          <c:xMode val="edge"/>
          <c:yMode val="edge"/>
          <c:x val="1.3255446860769599E-3"/>
          <c:y val="0.91106868099456839"/>
          <c:w val="0.99039541310071788"/>
          <c:h val="8.893131900543163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a:t>Number of Business Gateway start-ups per </a:t>
            </a:r>
          </a:p>
          <a:p>
            <a:pPr>
              <a:defRPr sz="1000"/>
            </a:pPr>
            <a:r>
              <a:rPr lang="en-GB" sz="1000"/>
              <a:t>10,000 population</a:t>
            </a:r>
          </a:p>
        </c:rich>
      </c:tx>
      <c:layout>
        <c:manualLayout>
          <c:xMode val="edge"/>
          <c:yMode val="edge"/>
          <c:x val="0.22797041642689872"/>
          <c:y val="0"/>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3334656505434951E-2"/>
          <c:y val="0.17257399061958023"/>
          <c:w val="0.87842110709535981"/>
          <c:h val="0.60830147058120143"/>
        </c:manualLayout>
      </c:layout>
      <c:lineChart>
        <c:grouping val="standard"/>
        <c:varyColors val="0"/>
        <c:ser>
          <c:idx val="0"/>
          <c:order val="0"/>
          <c:tx>
            <c:strRef>
              <c:f>'B&amp;E'!$C$174</c:f>
              <c:strCache>
                <c:ptCount val="1"/>
                <c:pt idx="0">
                  <c:v>Fife</c:v>
                </c:pt>
              </c:strCache>
            </c:strRef>
          </c:tx>
          <c:spPr>
            <a:ln w="28575" cap="rnd">
              <a:solidFill>
                <a:schemeClr val="accent1"/>
              </a:solidFill>
              <a:prstDash val="solid"/>
              <a:round/>
            </a:ln>
            <a:effectLst/>
          </c:spPr>
          <c:marker>
            <c:symbol val="circle"/>
            <c:size val="5"/>
            <c:spPr>
              <a:solidFill>
                <a:schemeClr val="accent1"/>
              </a:solidFill>
              <a:ln w="9525">
                <a:solidFill>
                  <a:schemeClr val="accent1"/>
                </a:solidFill>
              </a:ln>
              <a:effectLst/>
            </c:spPr>
          </c:marker>
          <c:dLbls>
            <c:dLbl>
              <c:idx val="0"/>
              <c:dLblPos val="l"/>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37B-4964-BE34-E6AB364E8E4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'B&amp;E'!$A$175:$A$178</c:f>
              <c:strCache>
                <c:ptCount val="4"/>
                <c:pt idx="0">
                  <c:v>2014/15</c:v>
                </c:pt>
                <c:pt idx="1">
                  <c:v>2015/16</c:v>
                </c:pt>
                <c:pt idx="2">
                  <c:v>2016/17</c:v>
                </c:pt>
                <c:pt idx="3">
                  <c:v>2017/18</c:v>
                </c:pt>
              </c:strCache>
            </c:strRef>
          </c:cat>
          <c:val>
            <c:numRef>
              <c:f>'B&amp;E'!$C$175:$C$178</c:f>
              <c:numCache>
                <c:formatCode>General</c:formatCode>
                <c:ptCount val="4"/>
                <c:pt idx="0">
                  <c:v>21.8</c:v>
                </c:pt>
                <c:pt idx="1">
                  <c:v>15.9</c:v>
                </c:pt>
                <c:pt idx="2">
                  <c:v>14.6</c:v>
                </c:pt>
                <c:pt idx="3">
                  <c:v>12.6</c:v>
                </c:pt>
              </c:numCache>
            </c:numRef>
          </c:val>
          <c:smooth val="0"/>
          <c:extLst>
            <c:ext xmlns:c16="http://schemas.microsoft.com/office/drawing/2014/chart" uri="{C3380CC4-5D6E-409C-BE32-E72D297353CC}">
              <c16:uniqueId val="{00000001-C37B-4964-BE34-E6AB364E8E44}"/>
            </c:ext>
          </c:extLst>
        </c:ser>
        <c:ser>
          <c:idx val="2"/>
          <c:order val="2"/>
          <c:tx>
            <c:strRef>
              <c:f>'B&amp;E'!$E$174</c:f>
              <c:strCache>
                <c:ptCount val="1"/>
                <c:pt idx="0">
                  <c:v>Scotland</c:v>
                </c:pt>
              </c:strCache>
            </c:strRef>
          </c:tx>
          <c:spPr>
            <a:ln w="28575" cap="rnd">
              <a:solidFill>
                <a:schemeClr val="accent3"/>
              </a:solidFill>
              <a:prstDash val="sysDot"/>
              <a:round/>
            </a:ln>
            <a:effectLst/>
          </c:spPr>
          <c:marker>
            <c:symbol val="circle"/>
            <c:size val="5"/>
            <c:spPr>
              <a:solidFill>
                <a:schemeClr val="accent3"/>
              </a:solidFill>
              <a:ln w="9525">
                <a:solidFill>
                  <a:schemeClr val="accent3"/>
                </a:solidFill>
              </a:ln>
              <a:effectLst/>
            </c:spPr>
          </c:marker>
          <c:dLbls>
            <c:dLbl>
              <c:idx val="0"/>
              <c:dLblPos val="l"/>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37B-4964-BE34-E6AB364E8E4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'B&amp;E'!$A$175:$A$178</c:f>
              <c:strCache>
                <c:ptCount val="4"/>
                <c:pt idx="0">
                  <c:v>2014/15</c:v>
                </c:pt>
                <c:pt idx="1">
                  <c:v>2015/16</c:v>
                </c:pt>
                <c:pt idx="2">
                  <c:v>2016/17</c:v>
                </c:pt>
                <c:pt idx="3">
                  <c:v>2017/18</c:v>
                </c:pt>
              </c:strCache>
            </c:strRef>
          </c:cat>
          <c:val>
            <c:numRef>
              <c:f>'B&amp;E'!$E$175:$E$178</c:f>
              <c:numCache>
                <c:formatCode>General</c:formatCode>
                <c:ptCount val="4"/>
                <c:pt idx="0">
                  <c:v>18.89</c:v>
                </c:pt>
                <c:pt idx="1">
                  <c:v>16.91</c:v>
                </c:pt>
                <c:pt idx="2">
                  <c:v>16.62</c:v>
                </c:pt>
                <c:pt idx="3">
                  <c:v>16.829999999999998</c:v>
                </c:pt>
              </c:numCache>
            </c:numRef>
          </c:val>
          <c:smooth val="0"/>
          <c:extLst>
            <c:ext xmlns:c16="http://schemas.microsoft.com/office/drawing/2014/chart" uri="{C3380CC4-5D6E-409C-BE32-E72D297353CC}">
              <c16:uniqueId val="{00000003-C37B-4964-BE34-E6AB364E8E44}"/>
            </c:ext>
          </c:extLst>
        </c:ser>
        <c:dLbls>
          <c:dLblPos val="b"/>
          <c:showLegendKey val="0"/>
          <c:showVal val="1"/>
          <c:showCatName val="0"/>
          <c:showSerName val="0"/>
          <c:showPercent val="0"/>
          <c:showBubbleSize val="0"/>
        </c:dLbls>
        <c:marker val="1"/>
        <c:smooth val="0"/>
        <c:axId val="781013312"/>
        <c:axId val="781015936"/>
        <c:extLst>
          <c:ext xmlns:c15="http://schemas.microsoft.com/office/drawing/2012/chart" uri="{02D57815-91ED-43cb-92C2-25804820EDAC}">
            <c15:filteredLineSeries>
              <c15:ser>
                <c:idx val="1"/>
                <c:order val="1"/>
                <c:tx>
                  <c:strRef>
                    <c:extLst>
                      <c:ext uri="{02D57815-91ED-43cb-92C2-25804820EDAC}">
                        <c15:formulaRef>
                          <c15:sqref>'B&amp;E'!$D$174</c15:sqref>
                        </c15:formulaRef>
                      </c:ext>
                    </c:extLst>
                    <c:strCache>
                      <c:ptCount val="1"/>
                    </c:strCache>
                  </c:strRef>
                </c:tx>
                <c:spPr>
                  <a:ln w="28575" cap="rnd">
                    <a:solidFill>
                      <a:schemeClr val="accent4"/>
                    </a:solidFill>
                    <a:prstDash val="dashDot"/>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'B&amp;E'!$A$175:$A$178</c15:sqref>
                        </c15:formulaRef>
                      </c:ext>
                    </c:extLst>
                    <c:strCache>
                      <c:ptCount val="4"/>
                      <c:pt idx="0">
                        <c:v>2014/15</c:v>
                      </c:pt>
                      <c:pt idx="1">
                        <c:v>2015/16</c:v>
                      </c:pt>
                      <c:pt idx="2">
                        <c:v>2016/17</c:v>
                      </c:pt>
                      <c:pt idx="3">
                        <c:v>2017/18</c:v>
                      </c:pt>
                    </c:strCache>
                  </c:strRef>
                </c:cat>
                <c:val>
                  <c:numRef>
                    <c:extLst>
                      <c:ext uri="{02D57815-91ED-43cb-92C2-25804820EDAC}">
                        <c15:formulaRef>
                          <c15:sqref>'B&amp;E'!$D$175:$D$178</c15:sqref>
                        </c15:formulaRef>
                      </c:ext>
                    </c:extLst>
                    <c:numCache>
                      <c:formatCode>General</c:formatCode>
                      <c:ptCount val="4"/>
                    </c:numCache>
                  </c:numRef>
                </c:val>
                <c:smooth val="0"/>
                <c:extLst>
                  <c:ext xmlns:c16="http://schemas.microsoft.com/office/drawing/2014/chart" uri="{C3380CC4-5D6E-409C-BE32-E72D297353CC}">
                    <c16:uniqueId val="{00000004-C37B-4964-BE34-E6AB364E8E44}"/>
                  </c:ext>
                </c:extLst>
              </c15:ser>
            </c15:filteredLineSeries>
          </c:ext>
        </c:extLst>
      </c:lineChart>
      <c:catAx>
        <c:axId val="78101331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1015936"/>
        <c:crosses val="autoZero"/>
        <c:auto val="1"/>
        <c:lblAlgn val="ctr"/>
        <c:lblOffset val="100"/>
        <c:noMultiLvlLbl val="0"/>
      </c:catAx>
      <c:valAx>
        <c:axId val="781015936"/>
        <c:scaling>
          <c:orientation val="minMax"/>
          <c:min val="1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1013312"/>
        <c:crosses val="autoZero"/>
        <c:crossBetween val="between"/>
      </c:valAx>
      <c:spPr>
        <a:noFill/>
        <a:ln>
          <a:noFill/>
        </a:ln>
        <a:effectLst/>
      </c:spPr>
    </c:plotArea>
    <c:legend>
      <c:legendPos val="b"/>
      <c:layout>
        <c:manualLayout>
          <c:xMode val="edge"/>
          <c:yMode val="edge"/>
          <c:x val="0.15191010386992251"/>
          <c:y val="0.89749361230340674"/>
          <c:w val="0.79005173511664084"/>
          <c:h val="0.1025063876965932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a:t>Town Vacancy Rates - Units (%)</a:t>
            </a:r>
          </a:p>
        </c:rich>
      </c:tx>
      <c:layout>
        <c:manualLayout>
          <c:xMode val="edge"/>
          <c:yMode val="edge"/>
          <c:x val="0.26827469490845202"/>
          <c:y val="1.1134305144838022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708085056057783"/>
          <c:y val="0.1514546049118943"/>
          <c:w val="0.85467491304021692"/>
          <c:h val="0.65885365753156844"/>
        </c:manualLayout>
      </c:layout>
      <c:lineChart>
        <c:grouping val="standard"/>
        <c:varyColors val="0"/>
        <c:ser>
          <c:idx val="0"/>
          <c:order val="0"/>
          <c:tx>
            <c:strRef>
              <c:f>'B&amp;E'!$C$360</c:f>
              <c:strCache>
                <c:ptCount val="1"/>
                <c:pt idx="0">
                  <c:v>Fife</c:v>
                </c:pt>
              </c:strCache>
            </c:strRef>
          </c:tx>
          <c:spPr>
            <a:ln w="28575" cap="rnd">
              <a:solidFill>
                <a:schemeClr val="accent1"/>
              </a:solidFill>
              <a:prstDash val="solid"/>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'B&amp;E'!$A$361:$A$364</c:f>
              <c:strCache>
                <c:ptCount val="4"/>
                <c:pt idx="0">
                  <c:v>2014/15</c:v>
                </c:pt>
                <c:pt idx="1">
                  <c:v>2015/16</c:v>
                </c:pt>
                <c:pt idx="2">
                  <c:v>2016/17</c:v>
                </c:pt>
                <c:pt idx="3">
                  <c:v>2017/18</c:v>
                </c:pt>
              </c:strCache>
            </c:strRef>
          </c:cat>
          <c:val>
            <c:numRef>
              <c:f>'B&amp;E'!$C$361:$C$364</c:f>
              <c:numCache>
                <c:formatCode>0.0</c:formatCode>
                <c:ptCount val="4"/>
                <c:pt idx="0">
                  <c:v>15.08</c:v>
                </c:pt>
                <c:pt idx="1">
                  <c:v>14.73</c:v>
                </c:pt>
                <c:pt idx="2">
                  <c:v>15.42</c:v>
                </c:pt>
                <c:pt idx="3">
                  <c:v>14.59</c:v>
                </c:pt>
              </c:numCache>
            </c:numRef>
          </c:val>
          <c:smooth val="0"/>
          <c:extLst>
            <c:ext xmlns:c16="http://schemas.microsoft.com/office/drawing/2014/chart" uri="{C3380CC4-5D6E-409C-BE32-E72D297353CC}">
              <c16:uniqueId val="{00000000-B507-4A66-BB22-7F1ACE3EA1B3}"/>
            </c:ext>
          </c:extLst>
        </c:ser>
        <c:ser>
          <c:idx val="1"/>
          <c:order val="1"/>
          <c:tx>
            <c:strRef>
              <c:f>'B&amp;E'!$D$360</c:f>
              <c:strCache>
                <c:ptCount val="1"/>
                <c:pt idx="0">
                  <c:v>Scottish Avg</c:v>
                </c:pt>
              </c:strCache>
            </c:strRef>
          </c:tx>
          <c:spPr>
            <a:ln w="28575" cap="rnd">
              <a:solidFill>
                <a:schemeClr val="bg1">
                  <a:lumMod val="50000"/>
                </a:schemeClr>
              </a:solidFill>
              <a:prstDash val="sysDot"/>
              <a:round/>
            </a:ln>
            <a:effectLst/>
          </c:spPr>
          <c:marker>
            <c:symbol val="circle"/>
            <c:size val="5"/>
            <c:spPr>
              <a:solidFill>
                <a:schemeClr val="bg1">
                  <a:lumMod val="50000"/>
                </a:schemeClr>
              </a:solidFill>
              <a:ln w="9525">
                <a:solidFill>
                  <a:schemeClr val="bg1">
                    <a:lumMod val="5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'B&amp;E'!$A$361:$A$364</c:f>
              <c:strCache>
                <c:ptCount val="4"/>
                <c:pt idx="0">
                  <c:v>2014/15</c:v>
                </c:pt>
                <c:pt idx="1">
                  <c:v>2015/16</c:v>
                </c:pt>
                <c:pt idx="2">
                  <c:v>2016/17</c:v>
                </c:pt>
                <c:pt idx="3">
                  <c:v>2017/18</c:v>
                </c:pt>
              </c:strCache>
            </c:strRef>
          </c:cat>
          <c:val>
            <c:numRef>
              <c:f>'B&amp;E'!$D$361:$D$364</c:f>
              <c:numCache>
                <c:formatCode>0.0</c:formatCode>
                <c:ptCount val="4"/>
                <c:pt idx="0">
                  <c:v>10.1</c:v>
                </c:pt>
                <c:pt idx="1">
                  <c:v>11.89</c:v>
                </c:pt>
                <c:pt idx="2">
                  <c:v>10.19</c:v>
                </c:pt>
                <c:pt idx="3">
                  <c:v>11.49</c:v>
                </c:pt>
              </c:numCache>
            </c:numRef>
          </c:val>
          <c:smooth val="0"/>
          <c:extLst>
            <c:ext xmlns:c16="http://schemas.microsoft.com/office/drawing/2014/chart" uri="{C3380CC4-5D6E-409C-BE32-E72D297353CC}">
              <c16:uniqueId val="{00000001-B507-4A66-BB22-7F1ACE3EA1B3}"/>
            </c:ext>
          </c:extLst>
        </c:ser>
        <c:ser>
          <c:idx val="2"/>
          <c:order val="2"/>
          <c:tx>
            <c:strRef>
              <c:f>'B&amp;E'!$E$360</c:f>
              <c:strCache>
                <c:ptCount val="1"/>
                <c:pt idx="0">
                  <c:v>Top Quartile</c:v>
                </c:pt>
              </c:strCache>
            </c:strRef>
          </c:tx>
          <c:spPr>
            <a:ln w="28575" cap="rnd">
              <a:solidFill>
                <a:schemeClr val="accent4"/>
              </a:solidFill>
              <a:prstDash val="dashDot"/>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'B&amp;E'!$A$361:$A$364</c:f>
              <c:strCache>
                <c:ptCount val="4"/>
                <c:pt idx="0">
                  <c:v>2014/15</c:v>
                </c:pt>
                <c:pt idx="1">
                  <c:v>2015/16</c:v>
                </c:pt>
                <c:pt idx="2">
                  <c:v>2016/17</c:v>
                </c:pt>
                <c:pt idx="3">
                  <c:v>2017/18</c:v>
                </c:pt>
              </c:strCache>
            </c:strRef>
          </c:cat>
          <c:val>
            <c:numRef>
              <c:f>'B&amp;E'!$E$361:$E$364</c:f>
              <c:numCache>
                <c:formatCode>0.0</c:formatCode>
                <c:ptCount val="4"/>
                <c:pt idx="0">
                  <c:v>6.22</c:v>
                </c:pt>
                <c:pt idx="1">
                  <c:v>7.26</c:v>
                </c:pt>
                <c:pt idx="2">
                  <c:v>6.94</c:v>
                </c:pt>
                <c:pt idx="3">
                  <c:v>8.83</c:v>
                </c:pt>
              </c:numCache>
            </c:numRef>
          </c:val>
          <c:smooth val="0"/>
          <c:extLst>
            <c:ext xmlns:c16="http://schemas.microsoft.com/office/drawing/2014/chart" uri="{C3380CC4-5D6E-409C-BE32-E72D297353CC}">
              <c16:uniqueId val="{00000002-B507-4A66-BB22-7F1ACE3EA1B3}"/>
            </c:ext>
          </c:extLst>
        </c:ser>
        <c:dLbls>
          <c:dLblPos val="b"/>
          <c:showLegendKey val="0"/>
          <c:showVal val="1"/>
          <c:showCatName val="0"/>
          <c:showSerName val="0"/>
          <c:showPercent val="0"/>
          <c:showBubbleSize val="0"/>
        </c:dLbls>
        <c:marker val="1"/>
        <c:smooth val="0"/>
        <c:axId val="409270624"/>
        <c:axId val="409271016"/>
      </c:lineChart>
      <c:catAx>
        <c:axId val="40927062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9271016"/>
        <c:crosses val="autoZero"/>
        <c:auto val="1"/>
        <c:lblAlgn val="ctr"/>
        <c:lblOffset val="100"/>
        <c:noMultiLvlLbl val="0"/>
      </c:catAx>
      <c:valAx>
        <c:axId val="40927101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9270624"/>
        <c:crosses val="autoZero"/>
        <c:crossBetween val="between"/>
      </c:valAx>
      <c:spPr>
        <a:noFill/>
        <a:ln>
          <a:noFill/>
        </a:ln>
        <a:effectLst/>
      </c:spPr>
    </c:plotArea>
    <c:legend>
      <c:legendPos val="b"/>
      <c:layout>
        <c:manualLayout>
          <c:xMode val="edge"/>
          <c:yMode val="edge"/>
          <c:x val="7.7771584723987208E-2"/>
          <c:y val="0.90605364280272382"/>
          <c:w val="0.84445655679228038"/>
          <c:h val="9.394635719727623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a:t>Median Weekly Earnings (£)</a:t>
            </a:r>
          </a:p>
        </c:rich>
      </c:tx>
      <c:layout>
        <c:manualLayout>
          <c:xMode val="edge"/>
          <c:yMode val="edge"/>
          <c:x val="0.29061923906836273"/>
          <c:y val="0"/>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2140505546646196"/>
          <c:y val="0.11201682583488556"/>
          <c:w val="0.841961510474869"/>
          <c:h val="0.66373649303747262"/>
        </c:manualLayout>
      </c:layout>
      <c:lineChart>
        <c:grouping val="standard"/>
        <c:varyColors val="0"/>
        <c:ser>
          <c:idx val="0"/>
          <c:order val="0"/>
          <c:tx>
            <c:strRef>
              <c:f>'B&amp;E'!$B$234</c:f>
              <c:strCache>
                <c:ptCount val="1"/>
                <c:pt idx="0">
                  <c:v>Work in Fife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0.12671517324337953"/>
                  <c:y val="-8.3574773994516231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833-4EB2-A234-8FB06BAEA9B6}"/>
                </c:ext>
              </c:extLst>
            </c:dLbl>
            <c:dLbl>
              <c:idx val="1"/>
              <c:layout>
                <c:manualLayout>
                  <c:x val="-7.3904388091197828E-2"/>
                  <c:y val="-4.162150340301462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833-4EB2-A234-8FB06BAEA9B6}"/>
                </c:ext>
              </c:extLst>
            </c:dLbl>
            <c:dLbl>
              <c:idx val="2"/>
              <c:layout>
                <c:manualLayout>
                  <c:x val="-8.0931176754719156E-2"/>
                  <c:y val="-5.825351640479622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833-4EB2-A234-8FB06BAEA9B6}"/>
                </c:ext>
              </c:extLst>
            </c:dLbl>
            <c:dLbl>
              <c:idx val="3"/>
              <c:layout>
                <c:manualLayout>
                  <c:x val="-6.3364205095915671E-2"/>
                  <c:y val="-4.7165507736941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833-4EB2-A234-8FB06BAEA9B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'B&amp;E'!$A$235:$A$238</c:f>
              <c:numCache>
                <c:formatCode>General</c:formatCode>
                <c:ptCount val="4"/>
                <c:pt idx="0">
                  <c:v>2015</c:v>
                </c:pt>
                <c:pt idx="1">
                  <c:v>2016</c:v>
                </c:pt>
                <c:pt idx="2">
                  <c:v>2017</c:v>
                </c:pt>
                <c:pt idx="3">
                  <c:v>2018</c:v>
                </c:pt>
              </c:numCache>
            </c:numRef>
          </c:cat>
          <c:val>
            <c:numRef>
              <c:f>'B&amp;E'!$B$235:$B$238</c:f>
              <c:numCache>
                <c:formatCode>#,##0.00</c:formatCode>
                <c:ptCount val="4"/>
                <c:pt idx="0">
                  <c:v>489.1</c:v>
                </c:pt>
                <c:pt idx="1">
                  <c:v>516.5</c:v>
                </c:pt>
                <c:pt idx="2">
                  <c:v>500</c:v>
                </c:pt>
                <c:pt idx="3">
                  <c:v>521.5</c:v>
                </c:pt>
              </c:numCache>
            </c:numRef>
          </c:val>
          <c:smooth val="0"/>
          <c:extLst>
            <c:ext xmlns:c16="http://schemas.microsoft.com/office/drawing/2014/chart" uri="{C3380CC4-5D6E-409C-BE32-E72D297353CC}">
              <c16:uniqueId val="{00000004-4833-4EB2-A234-8FB06BAEA9B6}"/>
            </c:ext>
          </c:extLst>
        </c:ser>
        <c:ser>
          <c:idx val="1"/>
          <c:order val="1"/>
          <c:tx>
            <c:strRef>
              <c:f>'B&amp;E'!$C$234</c:f>
              <c:strCache>
                <c:ptCount val="1"/>
                <c:pt idx="0">
                  <c:v>Work in Mid-Fife</c:v>
                </c:pt>
              </c:strCache>
            </c:strRef>
          </c:tx>
          <c:spPr>
            <a:ln w="28575" cap="rnd">
              <a:solidFill>
                <a:srgbClr val="FF0000"/>
              </a:solidFill>
              <a:prstDash val="sysDash"/>
              <a:round/>
            </a:ln>
            <a:effectLst/>
          </c:spPr>
          <c:marker>
            <c:symbol val="circle"/>
            <c:size val="5"/>
            <c:spPr>
              <a:solidFill>
                <a:srgbClr val="FF0000"/>
              </a:solidFill>
              <a:ln w="9525">
                <a:solidFill>
                  <a:srgbClr val="FF0000"/>
                </a:solidFill>
              </a:ln>
              <a:effectLst/>
            </c:spPr>
          </c:marker>
          <c:dLbls>
            <c:dLbl>
              <c:idx val="0"/>
              <c:layout>
                <c:manualLayout>
                  <c:x val="-0.11255172574056543"/>
                  <c:y val="3.59945572719657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833-4EB2-A234-8FB06BAEA9B6}"/>
                </c:ext>
              </c:extLst>
            </c:dLbl>
            <c:dLbl>
              <c:idx val="2"/>
              <c:layout>
                <c:manualLayout>
                  <c:x val="-7.0390993759437054E-2"/>
                  <c:y val="5.2626570273747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833-4EB2-A234-8FB06BAEA9B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'B&amp;E'!$A$235:$A$238</c:f>
              <c:numCache>
                <c:formatCode>General</c:formatCode>
                <c:ptCount val="4"/>
                <c:pt idx="0">
                  <c:v>2015</c:v>
                </c:pt>
                <c:pt idx="1">
                  <c:v>2016</c:v>
                </c:pt>
                <c:pt idx="2">
                  <c:v>2017</c:v>
                </c:pt>
                <c:pt idx="3">
                  <c:v>2018</c:v>
                </c:pt>
              </c:numCache>
            </c:numRef>
          </c:cat>
          <c:val>
            <c:numRef>
              <c:f>'B&amp;E'!$C$235:$C$238</c:f>
              <c:numCache>
                <c:formatCode>#,##0.00</c:formatCode>
                <c:ptCount val="4"/>
                <c:pt idx="0">
                  <c:v>486.3</c:v>
                </c:pt>
                <c:pt idx="1">
                  <c:v>497.9</c:v>
                </c:pt>
                <c:pt idx="2">
                  <c:v>499.9</c:v>
                </c:pt>
                <c:pt idx="3">
                  <c:v>518.1</c:v>
                </c:pt>
              </c:numCache>
            </c:numRef>
          </c:val>
          <c:smooth val="0"/>
          <c:extLst>
            <c:ext xmlns:c16="http://schemas.microsoft.com/office/drawing/2014/chart" uri="{C3380CC4-5D6E-409C-BE32-E72D297353CC}">
              <c16:uniqueId val="{00000007-4833-4EB2-A234-8FB06BAEA9B6}"/>
            </c:ext>
          </c:extLst>
        </c:ser>
        <c:ser>
          <c:idx val="2"/>
          <c:order val="2"/>
          <c:tx>
            <c:strRef>
              <c:f>'B&amp;E'!$D$234</c:f>
              <c:strCache>
                <c:ptCount val="1"/>
                <c:pt idx="0">
                  <c:v>Fife Residents</c:v>
                </c:pt>
              </c:strCache>
            </c:strRef>
          </c:tx>
          <c:spPr>
            <a:ln w="28575" cap="rnd">
              <a:solidFill>
                <a:schemeClr val="accent1"/>
              </a:solidFill>
              <a:prstDash val="dashDot"/>
              <a:round/>
            </a:ln>
            <a:effectLst/>
          </c:spPr>
          <c:marker>
            <c:symbol val="triang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'B&amp;E'!$A$235:$A$238</c:f>
              <c:numCache>
                <c:formatCode>General</c:formatCode>
                <c:ptCount val="4"/>
                <c:pt idx="0">
                  <c:v>2015</c:v>
                </c:pt>
                <c:pt idx="1">
                  <c:v>2016</c:v>
                </c:pt>
                <c:pt idx="2">
                  <c:v>2017</c:v>
                </c:pt>
                <c:pt idx="3">
                  <c:v>2018</c:v>
                </c:pt>
              </c:numCache>
            </c:numRef>
          </c:cat>
          <c:val>
            <c:numRef>
              <c:f>'B&amp;E'!$D$235:$D$238</c:f>
              <c:numCache>
                <c:formatCode>#,##0.00</c:formatCode>
                <c:ptCount val="4"/>
                <c:pt idx="0">
                  <c:v>517.29999999999995</c:v>
                </c:pt>
                <c:pt idx="1">
                  <c:v>532.29999999999995</c:v>
                </c:pt>
                <c:pt idx="2">
                  <c:v>530.5</c:v>
                </c:pt>
                <c:pt idx="3">
                  <c:v>543.4</c:v>
                </c:pt>
              </c:numCache>
            </c:numRef>
          </c:val>
          <c:smooth val="0"/>
          <c:extLst>
            <c:ext xmlns:c16="http://schemas.microsoft.com/office/drawing/2014/chart" uri="{C3380CC4-5D6E-409C-BE32-E72D297353CC}">
              <c16:uniqueId val="{00000008-4833-4EB2-A234-8FB06BAEA9B6}"/>
            </c:ext>
          </c:extLst>
        </c:ser>
        <c:ser>
          <c:idx val="3"/>
          <c:order val="3"/>
          <c:tx>
            <c:strRef>
              <c:f>'B&amp;E'!$E$234</c:f>
              <c:strCache>
                <c:ptCount val="1"/>
                <c:pt idx="0">
                  <c:v>Mid-Fife Residents</c:v>
                </c:pt>
              </c:strCache>
            </c:strRef>
          </c:tx>
          <c:spPr>
            <a:ln w="28575" cap="rnd">
              <a:solidFill>
                <a:srgbClr val="FF0000"/>
              </a:solidFill>
              <a:prstDash val="lgDash"/>
              <a:round/>
            </a:ln>
            <a:effectLst/>
          </c:spPr>
          <c:marker>
            <c:symbol val="triangle"/>
            <c:size val="5"/>
            <c:spPr>
              <a:solidFill>
                <a:srgbClr val="FF0000"/>
              </a:solidFill>
              <a:ln w="9525">
                <a:solidFill>
                  <a:srgbClr val="FF0000"/>
                </a:solidFill>
              </a:ln>
              <a:effectLst/>
            </c:spPr>
          </c:marker>
          <c:dLbls>
            <c:dLbl>
              <c:idx val="0"/>
              <c:layout>
                <c:manualLayout>
                  <c:x val="-8.4444571086479847E-2"/>
                  <c:y val="-4.162150340301462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833-4EB2-A234-8FB06BAEA9B6}"/>
                </c:ext>
              </c:extLst>
            </c:dLbl>
            <c:dLbl>
              <c:idx val="1"/>
              <c:layout>
                <c:manualLayout>
                  <c:x val="-8.0931176754719156E-2"/>
                  <c:y val="4.153856160589288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833-4EB2-A234-8FB06BAEA9B6}"/>
                </c:ext>
              </c:extLst>
            </c:dLbl>
            <c:dLbl>
              <c:idx val="2"/>
              <c:layout>
                <c:manualLayout>
                  <c:x val="-7.3904388091197759E-2"/>
                  <c:y val="-3.05334947351602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833-4EB2-A234-8FB06BAEA9B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'B&amp;E'!$A$235:$A$238</c:f>
              <c:numCache>
                <c:formatCode>General</c:formatCode>
                <c:ptCount val="4"/>
                <c:pt idx="0">
                  <c:v>2015</c:v>
                </c:pt>
                <c:pt idx="1">
                  <c:v>2016</c:v>
                </c:pt>
                <c:pt idx="2">
                  <c:v>2017</c:v>
                </c:pt>
                <c:pt idx="3">
                  <c:v>2018</c:v>
                </c:pt>
              </c:numCache>
            </c:numRef>
          </c:cat>
          <c:val>
            <c:numRef>
              <c:f>'B&amp;E'!$E$235:$E$238</c:f>
              <c:numCache>
                <c:formatCode>#,##0.00</c:formatCode>
                <c:ptCount val="4"/>
                <c:pt idx="0">
                  <c:v>497.1</c:v>
                </c:pt>
                <c:pt idx="1">
                  <c:v>506.7</c:v>
                </c:pt>
                <c:pt idx="2">
                  <c:v>519.4</c:v>
                </c:pt>
                <c:pt idx="3">
                  <c:v>504.85</c:v>
                </c:pt>
              </c:numCache>
            </c:numRef>
          </c:val>
          <c:smooth val="0"/>
          <c:extLst>
            <c:ext xmlns:c16="http://schemas.microsoft.com/office/drawing/2014/chart" uri="{C3380CC4-5D6E-409C-BE32-E72D297353CC}">
              <c16:uniqueId val="{0000000C-4833-4EB2-A234-8FB06BAEA9B6}"/>
            </c:ext>
          </c:extLst>
        </c:ser>
        <c:dLbls>
          <c:dLblPos val="b"/>
          <c:showLegendKey val="0"/>
          <c:showVal val="1"/>
          <c:showCatName val="0"/>
          <c:showSerName val="0"/>
          <c:showPercent val="0"/>
          <c:showBubbleSize val="0"/>
        </c:dLbls>
        <c:marker val="1"/>
        <c:smooth val="0"/>
        <c:axId val="401099272"/>
        <c:axId val="401099664"/>
      </c:lineChart>
      <c:catAx>
        <c:axId val="40109927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1099664"/>
        <c:crosses val="autoZero"/>
        <c:auto val="1"/>
        <c:lblAlgn val="ctr"/>
        <c:lblOffset val="100"/>
        <c:noMultiLvlLbl val="0"/>
      </c:catAx>
      <c:valAx>
        <c:axId val="401099664"/>
        <c:scaling>
          <c:orientation val="minMax"/>
          <c:min val="48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1099272"/>
        <c:crosses val="autoZero"/>
        <c:crossBetween val="between"/>
      </c:valAx>
      <c:spPr>
        <a:noFill/>
        <a:ln>
          <a:noFill/>
        </a:ln>
        <a:effectLst/>
      </c:spPr>
    </c:plotArea>
    <c:legend>
      <c:legendPos val="b"/>
      <c:layout>
        <c:manualLayout>
          <c:xMode val="edge"/>
          <c:yMode val="edge"/>
          <c:x val="7.131441361483867E-4"/>
          <c:y val="0.8877326026306519"/>
          <c:w val="0.99509696296413908"/>
          <c:h val="0.112267397369348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a:t>% of jobs paid less than the applicable </a:t>
            </a:r>
          </a:p>
          <a:p>
            <a:pPr>
              <a:defRPr sz="1000"/>
            </a:pPr>
            <a:r>
              <a:rPr lang="en-GB" sz="1000"/>
              <a:t>Living Wage Foundation living wage</a:t>
            </a:r>
          </a:p>
        </c:rich>
      </c:tx>
      <c:layout>
        <c:manualLayout>
          <c:xMode val="edge"/>
          <c:yMode val="edge"/>
          <c:x val="0.22102567921161573"/>
          <c:y val="5.5671525724190112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708085056057783"/>
          <c:y val="0.17486426229968113"/>
          <c:w val="0.85467491304021692"/>
          <c:h val="0.61317538985410558"/>
        </c:manualLayout>
      </c:layout>
      <c:lineChart>
        <c:grouping val="standard"/>
        <c:varyColors val="0"/>
        <c:ser>
          <c:idx val="0"/>
          <c:order val="0"/>
          <c:tx>
            <c:strRef>
              <c:f>'B&amp;E'!$B$251</c:f>
              <c:strCache>
                <c:ptCount val="1"/>
                <c:pt idx="0">
                  <c:v>Fife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'B&amp;E'!$A$252:$A$255</c:f>
              <c:numCache>
                <c:formatCode>General</c:formatCode>
                <c:ptCount val="4"/>
                <c:pt idx="0">
                  <c:v>2015</c:v>
                </c:pt>
                <c:pt idx="1">
                  <c:v>2016</c:v>
                </c:pt>
                <c:pt idx="2">
                  <c:v>2017</c:v>
                </c:pt>
                <c:pt idx="3">
                  <c:v>2018</c:v>
                </c:pt>
              </c:numCache>
            </c:numRef>
          </c:cat>
          <c:val>
            <c:numRef>
              <c:f>'B&amp;E'!$B$252:$B$255</c:f>
              <c:numCache>
                <c:formatCode>0.0</c:formatCode>
                <c:ptCount val="4"/>
                <c:pt idx="0">
                  <c:v>21.6</c:v>
                </c:pt>
                <c:pt idx="1">
                  <c:v>21.8</c:v>
                </c:pt>
                <c:pt idx="2">
                  <c:v>23</c:v>
                </c:pt>
              </c:numCache>
            </c:numRef>
          </c:val>
          <c:smooth val="0"/>
          <c:extLst>
            <c:ext xmlns:c16="http://schemas.microsoft.com/office/drawing/2014/chart" uri="{C3380CC4-5D6E-409C-BE32-E72D297353CC}">
              <c16:uniqueId val="{00000000-6EDE-4EBF-BCBD-8DF36C3F630B}"/>
            </c:ext>
          </c:extLst>
        </c:ser>
        <c:ser>
          <c:idx val="1"/>
          <c:order val="1"/>
          <c:tx>
            <c:strRef>
              <c:f>'B&amp;E'!$C$251</c:f>
              <c:strCache>
                <c:ptCount val="1"/>
                <c:pt idx="0">
                  <c:v>Mid-Fife</c:v>
                </c:pt>
              </c:strCache>
            </c:strRef>
          </c:tx>
          <c:spPr>
            <a:ln w="28575" cap="rnd">
              <a:solidFill>
                <a:srgbClr val="FF0000"/>
              </a:solidFill>
              <a:prstDash val="lgDashDotDot"/>
              <a:round/>
            </a:ln>
            <a:effectLst/>
          </c:spPr>
          <c:marker>
            <c:symbol val="circle"/>
            <c:size val="5"/>
            <c:spPr>
              <a:solidFill>
                <a:srgbClr val="FF0000"/>
              </a:solidFill>
              <a:ln w="9525">
                <a:solidFill>
                  <a:srgbClr val="FF0000"/>
                </a:solidFill>
              </a:ln>
              <a:effectLst/>
            </c:spPr>
          </c:marker>
          <c:dLbls>
            <c:dLbl>
              <c:idx val="0"/>
              <c:layout>
                <c:manualLayout>
                  <c:x val="-0.10247730668592474"/>
                  <c:y val="-2.825220340885132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EDE-4EBF-BCBD-8DF36C3F630B}"/>
                </c:ext>
              </c:extLst>
            </c:dLbl>
            <c:dLbl>
              <c:idx val="1"/>
              <c:layout>
                <c:manualLayout>
                  <c:x val="1.5732151275254957E-2"/>
                  <c:y val="1.944338994879101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EDE-4EBF-BCBD-8DF36C3F630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'B&amp;E'!$A$252:$A$255</c:f>
              <c:numCache>
                <c:formatCode>General</c:formatCode>
                <c:ptCount val="4"/>
                <c:pt idx="0">
                  <c:v>2015</c:v>
                </c:pt>
                <c:pt idx="1">
                  <c:v>2016</c:v>
                </c:pt>
                <c:pt idx="2">
                  <c:v>2017</c:v>
                </c:pt>
                <c:pt idx="3">
                  <c:v>2018</c:v>
                </c:pt>
              </c:numCache>
            </c:numRef>
          </c:cat>
          <c:val>
            <c:numRef>
              <c:f>'B&amp;E'!$C$252:$C$255</c:f>
              <c:numCache>
                <c:formatCode>0.0</c:formatCode>
                <c:ptCount val="4"/>
                <c:pt idx="0">
                  <c:v>21.1</c:v>
                </c:pt>
                <c:pt idx="1">
                  <c:v>20.6</c:v>
                </c:pt>
                <c:pt idx="2">
                  <c:v>22.4</c:v>
                </c:pt>
                <c:pt idx="3">
                  <c:v>19.8</c:v>
                </c:pt>
              </c:numCache>
            </c:numRef>
          </c:val>
          <c:smooth val="0"/>
          <c:extLst>
            <c:ext xmlns:c16="http://schemas.microsoft.com/office/drawing/2014/chart" uri="{C3380CC4-5D6E-409C-BE32-E72D297353CC}">
              <c16:uniqueId val="{00000003-6EDE-4EBF-BCBD-8DF36C3F630B}"/>
            </c:ext>
          </c:extLst>
        </c:ser>
        <c:ser>
          <c:idx val="2"/>
          <c:order val="2"/>
          <c:tx>
            <c:strRef>
              <c:f>'B&amp;E'!$D$251</c:f>
              <c:strCache>
                <c:ptCount val="1"/>
                <c:pt idx="0">
                  <c:v>Scottish Avg</c:v>
                </c:pt>
              </c:strCache>
            </c:strRef>
          </c:tx>
          <c:spPr>
            <a:ln w="28575" cap="rnd">
              <a:solidFill>
                <a:schemeClr val="accent3"/>
              </a:solidFill>
              <a:prstDash val="sysDot"/>
              <a:round/>
            </a:ln>
            <a:effectLst/>
          </c:spPr>
          <c:marker>
            <c:symbol val="circle"/>
            <c:size val="5"/>
            <c:spPr>
              <a:solidFill>
                <a:schemeClr val="accent3"/>
              </a:solidFill>
              <a:ln w="9525">
                <a:solidFill>
                  <a:schemeClr val="accent3"/>
                </a:solidFill>
              </a:ln>
              <a:effectLst/>
            </c:spPr>
          </c:marker>
          <c:dLbls>
            <c:dLbl>
              <c:idx val="1"/>
              <c:layout>
                <c:manualLayout>
                  <c:x val="-6.0756321523155424E-2"/>
                  <c:y val="3.614484766604789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EDE-4EBF-BCBD-8DF36C3F630B}"/>
                </c:ext>
              </c:extLst>
            </c:dLbl>
            <c:dLbl>
              <c:idx val="2"/>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EDE-4EBF-BCBD-8DF36C3F630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'B&amp;E'!$A$252:$A$255</c:f>
              <c:numCache>
                <c:formatCode>General</c:formatCode>
                <c:ptCount val="4"/>
                <c:pt idx="0">
                  <c:v>2015</c:v>
                </c:pt>
                <c:pt idx="1">
                  <c:v>2016</c:v>
                </c:pt>
                <c:pt idx="2">
                  <c:v>2017</c:v>
                </c:pt>
                <c:pt idx="3">
                  <c:v>2018</c:v>
                </c:pt>
              </c:numCache>
            </c:numRef>
          </c:cat>
          <c:val>
            <c:numRef>
              <c:f>'B&amp;E'!$D$252:$D$255</c:f>
              <c:numCache>
                <c:formatCode>0.0</c:formatCode>
                <c:ptCount val="4"/>
                <c:pt idx="0">
                  <c:v>19.600000000000001</c:v>
                </c:pt>
                <c:pt idx="1">
                  <c:v>20.100000000000001</c:v>
                </c:pt>
                <c:pt idx="2">
                  <c:v>18.399999999999999</c:v>
                </c:pt>
              </c:numCache>
            </c:numRef>
          </c:val>
          <c:smooth val="0"/>
          <c:extLst>
            <c:ext xmlns:c16="http://schemas.microsoft.com/office/drawing/2014/chart" uri="{C3380CC4-5D6E-409C-BE32-E72D297353CC}">
              <c16:uniqueId val="{00000006-6EDE-4EBF-BCBD-8DF36C3F630B}"/>
            </c:ext>
          </c:extLst>
        </c:ser>
        <c:ser>
          <c:idx val="3"/>
          <c:order val="3"/>
          <c:tx>
            <c:strRef>
              <c:f>'B&amp;E'!$E$251</c:f>
              <c:strCache>
                <c:ptCount val="1"/>
                <c:pt idx="0">
                  <c:v>Top Quartile</c:v>
                </c:pt>
              </c:strCache>
            </c:strRef>
          </c:tx>
          <c:spPr>
            <a:ln w="28575" cap="rnd">
              <a:solidFill>
                <a:schemeClr val="accent4"/>
              </a:solidFill>
              <a:prstDash val="dashDot"/>
              <a:round/>
            </a:ln>
            <a:effectLst/>
          </c:spPr>
          <c:marker>
            <c:symbol val="circle"/>
            <c:size val="5"/>
            <c:spPr>
              <a:solidFill>
                <a:schemeClr val="accent4"/>
              </a:solidFill>
              <a:ln w="9525">
                <a:solidFill>
                  <a:schemeClr val="accent4"/>
                </a:solidFill>
              </a:ln>
              <a:effectLst/>
            </c:spPr>
          </c:marker>
          <c:dLbls>
            <c:dLbl>
              <c:idx val="0"/>
              <c:dLblPos val="l"/>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EDE-4EBF-BCBD-8DF36C3F630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'B&amp;E'!$A$252:$A$255</c:f>
              <c:numCache>
                <c:formatCode>General</c:formatCode>
                <c:ptCount val="4"/>
                <c:pt idx="0">
                  <c:v>2015</c:v>
                </c:pt>
                <c:pt idx="1">
                  <c:v>2016</c:v>
                </c:pt>
                <c:pt idx="2">
                  <c:v>2017</c:v>
                </c:pt>
                <c:pt idx="3">
                  <c:v>2018</c:v>
                </c:pt>
              </c:numCache>
            </c:numRef>
          </c:cat>
          <c:val>
            <c:numRef>
              <c:f>'B&amp;E'!$E$252:$E$255</c:f>
              <c:numCache>
                <c:formatCode>0.0</c:formatCode>
                <c:ptCount val="4"/>
                <c:pt idx="0">
                  <c:v>19.899999999999999</c:v>
                </c:pt>
                <c:pt idx="1">
                  <c:v>19</c:v>
                </c:pt>
                <c:pt idx="2">
                  <c:v>17.2</c:v>
                </c:pt>
              </c:numCache>
            </c:numRef>
          </c:val>
          <c:smooth val="0"/>
          <c:extLst>
            <c:ext xmlns:c16="http://schemas.microsoft.com/office/drawing/2014/chart" uri="{C3380CC4-5D6E-409C-BE32-E72D297353CC}">
              <c16:uniqueId val="{00000008-6EDE-4EBF-BCBD-8DF36C3F630B}"/>
            </c:ext>
          </c:extLst>
        </c:ser>
        <c:dLbls>
          <c:dLblPos val="b"/>
          <c:showLegendKey val="0"/>
          <c:showVal val="1"/>
          <c:showCatName val="0"/>
          <c:showSerName val="0"/>
          <c:showPercent val="0"/>
          <c:showBubbleSize val="0"/>
        </c:dLbls>
        <c:marker val="1"/>
        <c:smooth val="0"/>
        <c:axId val="401412136"/>
        <c:axId val="401412528"/>
      </c:lineChart>
      <c:catAx>
        <c:axId val="40141213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1412528"/>
        <c:crosses val="autoZero"/>
        <c:auto val="1"/>
        <c:lblAlgn val="ctr"/>
        <c:lblOffset val="100"/>
        <c:noMultiLvlLbl val="0"/>
      </c:catAx>
      <c:valAx>
        <c:axId val="401412528"/>
        <c:scaling>
          <c:orientation val="minMax"/>
          <c:min val="15"/>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1412136"/>
        <c:crosses val="autoZero"/>
        <c:crossBetween val="between"/>
      </c:valAx>
      <c:spPr>
        <a:noFill/>
        <a:ln>
          <a:noFill/>
        </a:ln>
        <a:effectLst/>
      </c:spPr>
    </c:plotArea>
    <c:legend>
      <c:legendPos val="b"/>
      <c:layout>
        <c:manualLayout>
          <c:xMode val="edge"/>
          <c:yMode val="edge"/>
          <c:x val="4.9024895163705604E-3"/>
          <c:y val="0.9004864902303048"/>
          <c:w val="0.98917170703984136"/>
          <c:h val="9.951350976969522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a:t>Unemployment rate (%) - Fife</a:t>
            </a:r>
          </a:p>
        </c:rich>
      </c:tx>
      <c:layout>
        <c:manualLayout>
          <c:xMode val="edge"/>
          <c:yMode val="edge"/>
          <c:x val="0.28030424563038381"/>
          <c:y val="1.1088008667854334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1226876198725479E-2"/>
          <c:y val="0.13973684750452139"/>
          <c:w val="0.87052888740206924"/>
          <c:h val="0.66581614946635681"/>
        </c:manualLayout>
      </c:layout>
      <c:lineChart>
        <c:grouping val="standard"/>
        <c:varyColors val="0"/>
        <c:ser>
          <c:idx val="0"/>
          <c:order val="0"/>
          <c:tx>
            <c:strRef>
              <c:f>'B&amp;E'!$B$267</c:f>
              <c:strCache>
                <c:ptCount val="1"/>
                <c:pt idx="0">
                  <c:v>Fife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4.9352585578665134E-2"/>
                  <c:y val="-5.270951207086899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7F7-46EA-84A9-4326F92C6CA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'B&amp;E'!$A$268:$A$271</c:f>
              <c:numCache>
                <c:formatCode>General</c:formatCode>
                <c:ptCount val="4"/>
                <c:pt idx="0">
                  <c:v>2015</c:v>
                </c:pt>
                <c:pt idx="1">
                  <c:v>2016</c:v>
                </c:pt>
                <c:pt idx="2">
                  <c:v>2017</c:v>
                </c:pt>
                <c:pt idx="3">
                  <c:v>2018</c:v>
                </c:pt>
              </c:numCache>
            </c:numRef>
          </c:cat>
          <c:val>
            <c:numRef>
              <c:f>'B&amp;E'!$B$268:$B$271</c:f>
              <c:numCache>
                <c:formatCode>#,##0.0</c:formatCode>
                <c:ptCount val="4"/>
                <c:pt idx="0">
                  <c:v>7.4</c:v>
                </c:pt>
                <c:pt idx="1">
                  <c:v>4.4000000000000004</c:v>
                </c:pt>
                <c:pt idx="2">
                  <c:v>3.6</c:v>
                </c:pt>
                <c:pt idx="3">
                  <c:v>3.9</c:v>
                </c:pt>
              </c:numCache>
            </c:numRef>
          </c:val>
          <c:smooth val="0"/>
          <c:extLst>
            <c:ext xmlns:c16="http://schemas.microsoft.com/office/drawing/2014/chart" uri="{C3380CC4-5D6E-409C-BE32-E72D297353CC}">
              <c16:uniqueId val="{00000001-27F7-46EA-84A9-4326F92C6CA7}"/>
            </c:ext>
          </c:extLst>
        </c:ser>
        <c:ser>
          <c:idx val="1"/>
          <c:order val="1"/>
          <c:tx>
            <c:strRef>
              <c:f>'B&amp;E'!$C$267</c:f>
              <c:strCache>
                <c:ptCount val="1"/>
                <c:pt idx="0">
                  <c:v>Mid-Fife</c:v>
                </c:pt>
              </c:strCache>
            </c:strRef>
          </c:tx>
          <c:spPr>
            <a:ln w="28575" cap="rnd">
              <a:solidFill>
                <a:srgbClr val="FF0000"/>
              </a:solidFill>
              <a:prstDash val="lgDashDotDot"/>
              <a:round/>
            </a:ln>
            <a:effectLst/>
          </c:spPr>
          <c:marker>
            <c:symbol val="circle"/>
            <c:size val="5"/>
            <c:spPr>
              <a:solidFill>
                <a:srgbClr val="FF0000"/>
              </a:solidFill>
              <a:ln w="9525">
                <a:solidFill>
                  <a:srgbClr val="FF0000"/>
                </a:solidFill>
              </a:ln>
              <a:effectLst/>
            </c:spPr>
          </c:marker>
          <c:dLbls>
            <c:dLbl>
              <c:idx val="0"/>
              <c:layout>
                <c:manualLayout>
                  <c:x val="-7.0213078160049805E-2"/>
                  <c:y val="4.71655077369417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7F7-46EA-84A9-4326F92C6CA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'B&amp;E'!$A$268:$A$271</c:f>
              <c:numCache>
                <c:formatCode>General</c:formatCode>
                <c:ptCount val="4"/>
                <c:pt idx="0">
                  <c:v>2015</c:v>
                </c:pt>
                <c:pt idx="1">
                  <c:v>2016</c:v>
                </c:pt>
                <c:pt idx="2">
                  <c:v>2017</c:v>
                </c:pt>
                <c:pt idx="3">
                  <c:v>2018</c:v>
                </c:pt>
              </c:numCache>
            </c:numRef>
          </c:cat>
          <c:val>
            <c:numRef>
              <c:f>'B&amp;E'!$C$268:$C$271</c:f>
              <c:numCache>
                <c:formatCode>#,##0.0</c:formatCode>
                <c:ptCount val="4"/>
                <c:pt idx="0">
                  <c:v>7.3</c:v>
                </c:pt>
                <c:pt idx="1">
                  <c:v>5.7</c:v>
                </c:pt>
                <c:pt idx="2">
                  <c:v>5.6</c:v>
                </c:pt>
              </c:numCache>
            </c:numRef>
          </c:val>
          <c:smooth val="0"/>
          <c:extLst>
            <c:ext xmlns:c16="http://schemas.microsoft.com/office/drawing/2014/chart" uri="{C3380CC4-5D6E-409C-BE32-E72D297353CC}">
              <c16:uniqueId val="{00000003-27F7-46EA-84A9-4326F92C6CA7}"/>
            </c:ext>
          </c:extLst>
        </c:ser>
        <c:ser>
          <c:idx val="2"/>
          <c:order val="2"/>
          <c:tx>
            <c:strRef>
              <c:f>'B&amp;E'!$D$267</c:f>
              <c:strCache>
                <c:ptCount val="1"/>
                <c:pt idx="0">
                  <c:v>Scotland</c:v>
                </c:pt>
              </c:strCache>
            </c:strRef>
          </c:tx>
          <c:spPr>
            <a:ln w="28575" cap="rnd">
              <a:solidFill>
                <a:schemeClr val="accent3"/>
              </a:solidFill>
              <a:prstDash val="sysDot"/>
              <a:round/>
            </a:ln>
            <a:effectLst/>
          </c:spPr>
          <c:marker>
            <c:symbol val="circle"/>
            <c:size val="5"/>
            <c:spPr>
              <a:solidFill>
                <a:schemeClr val="accent3"/>
              </a:solidFill>
              <a:ln w="9525">
                <a:solidFill>
                  <a:schemeClr val="accent3"/>
                </a:solidFill>
              </a:ln>
              <a:effectLst/>
            </c:spPr>
          </c:marker>
          <c:dLbls>
            <c:dLbl>
              <c:idx val="1"/>
              <c:layout>
                <c:manualLayout>
                  <c:x val="-4.1548516523316941E-3"/>
                  <c:y val="-2.498949040123312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7F7-46EA-84A9-4326F92C6CA7}"/>
                </c:ext>
              </c:extLst>
            </c:dLbl>
            <c:dLbl>
              <c:idx val="2"/>
              <c:layout>
                <c:manualLayout>
                  <c:x val="-3.5445590524408696E-2"/>
                  <c:y val="-4.71655077369417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7F7-46EA-84A9-4326F92C6CA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'B&amp;E'!$A$268:$A$271</c:f>
              <c:numCache>
                <c:formatCode>General</c:formatCode>
                <c:ptCount val="4"/>
                <c:pt idx="0">
                  <c:v>2015</c:v>
                </c:pt>
                <c:pt idx="1">
                  <c:v>2016</c:v>
                </c:pt>
                <c:pt idx="2">
                  <c:v>2017</c:v>
                </c:pt>
                <c:pt idx="3">
                  <c:v>2018</c:v>
                </c:pt>
              </c:numCache>
            </c:numRef>
          </c:cat>
          <c:val>
            <c:numRef>
              <c:f>'B&amp;E'!$D$268:$D$271</c:f>
              <c:numCache>
                <c:formatCode>General</c:formatCode>
                <c:ptCount val="4"/>
                <c:pt idx="0">
                  <c:v>5.9</c:v>
                </c:pt>
                <c:pt idx="1">
                  <c:v>4.9000000000000004</c:v>
                </c:pt>
                <c:pt idx="2">
                  <c:v>4.0999999999999996</c:v>
                </c:pt>
                <c:pt idx="3">
                  <c:v>4.3</c:v>
                </c:pt>
              </c:numCache>
            </c:numRef>
          </c:val>
          <c:smooth val="0"/>
          <c:extLst>
            <c:ext xmlns:c16="http://schemas.microsoft.com/office/drawing/2014/chart" uri="{C3380CC4-5D6E-409C-BE32-E72D297353CC}">
              <c16:uniqueId val="{00000006-27F7-46EA-84A9-4326F92C6CA7}"/>
            </c:ext>
          </c:extLst>
        </c:ser>
        <c:dLbls>
          <c:dLblPos val="b"/>
          <c:showLegendKey val="0"/>
          <c:showVal val="1"/>
          <c:showCatName val="0"/>
          <c:showSerName val="0"/>
          <c:showPercent val="0"/>
          <c:showBubbleSize val="0"/>
        </c:dLbls>
        <c:marker val="1"/>
        <c:smooth val="0"/>
        <c:axId val="401098488"/>
        <c:axId val="401098880"/>
      </c:lineChart>
      <c:catAx>
        <c:axId val="40109848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1098880"/>
        <c:crosses val="autoZero"/>
        <c:auto val="1"/>
        <c:lblAlgn val="ctr"/>
        <c:lblOffset val="100"/>
        <c:noMultiLvlLbl val="0"/>
      </c:catAx>
      <c:valAx>
        <c:axId val="40109888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1098488"/>
        <c:crosses val="autoZero"/>
        <c:crossBetween val="between"/>
      </c:valAx>
      <c:spPr>
        <a:noFill/>
        <a:ln>
          <a:noFill/>
        </a:ln>
        <a:effectLst/>
      </c:spPr>
    </c:plotArea>
    <c:legend>
      <c:legendPos val="b"/>
      <c:layout>
        <c:manualLayout>
          <c:xMode val="edge"/>
          <c:yMode val="edge"/>
          <c:x val="0.14509923517002396"/>
          <c:y val="0.9009002677273904"/>
          <c:w val="0.70980125590020693"/>
          <c:h val="9.355572793868244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b="0" i="0" u="none" strike="noStrike" baseline="0">
                <a:effectLst/>
              </a:rPr>
              <a:t>Employment Rate %</a:t>
            </a:r>
            <a:r>
              <a:rPr lang="en-GB" sz="1000" b="0" i="0" u="none" strike="noStrike" baseline="0"/>
              <a:t> </a:t>
            </a:r>
            <a:endParaRPr lang="en-GB" sz="1000"/>
          </a:p>
        </c:rich>
      </c:tx>
      <c:layout>
        <c:manualLayout>
          <c:xMode val="edge"/>
          <c:yMode val="edge"/>
          <c:x val="0.33760106525392036"/>
          <c:y val="3.8970068006933076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708085056057783"/>
          <c:y val="0.18043141487210015"/>
          <c:w val="0.85467491304021692"/>
          <c:h val="0.61317538985410558"/>
        </c:manualLayout>
      </c:layout>
      <c:lineChart>
        <c:grouping val="standard"/>
        <c:varyColors val="0"/>
        <c:ser>
          <c:idx val="0"/>
          <c:order val="0"/>
          <c:tx>
            <c:strRef>
              <c:f>'B&amp;E'!$B$203</c:f>
              <c:strCache>
                <c:ptCount val="1"/>
                <c:pt idx="0">
                  <c:v>Fife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E73-4753-B8B2-86D46E72779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'B&amp;E'!$A$204:$A$207</c:f>
              <c:numCache>
                <c:formatCode>General</c:formatCode>
                <c:ptCount val="4"/>
                <c:pt idx="0">
                  <c:v>2015</c:v>
                </c:pt>
                <c:pt idx="1">
                  <c:v>2016</c:v>
                </c:pt>
                <c:pt idx="2">
                  <c:v>2017</c:v>
                </c:pt>
                <c:pt idx="3">
                  <c:v>2018</c:v>
                </c:pt>
              </c:numCache>
            </c:numRef>
          </c:cat>
          <c:val>
            <c:numRef>
              <c:f>'B&amp;E'!$B$204:$B$207</c:f>
              <c:numCache>
                <c:formatCode>0.0</c:formatCode>
                <c:ptCount val="4"/>
                <c:pt idx="0">
                  <c:v>73.2</c:v>
                </c:pt>
                <c:pt idx="1">
                  <c:v>72.3</c:v>
                </c:pt>
                <c:pt idx="2">
                  <c:v>74.8</c:v>
                </c:pt>
                <c:pt idx="3">
                  <c:v>75.2</c:v>
                </c:pt>
              </c:numCache>
            </c:numRef>
          </c:val>
          <c:smooth val="0"/>
          <c:extLst>
            <c:ext xmlns:c16="http://schemas.microsoft.com/office/drawing/2014/chart" uri="{C3380CC4-5D6E-409C-BE32-E72D297353CC}">
              <c16:uniqueId val="{00000001-3E73-4753-B8B2-86D46E72779F}"/>
            </c:ext>
          </c:extLst>
        </c:ser>
        <c:ser>
          <c:idx val="1"/>
          <c:order val="1"/>
          <c:tx>
            <c:strRef>
              <c:f>'B&amp;E'!$C$203</c:f>
              <c:strCache>
                <c:ptCount val="1"/>
                <c:pt idx="0">
                  <c:v>Mid-Fife</c:v>
                </c:pt>
              </c:strCache>
            </c:strRef>
          </c:tx>
          <c:spPr>
            <a:ln w="28575" cap="rnd">
              <a:solidFill>
                <a:srgbClr val="FF0000"/>
              </a:solidFill>
              <a:prstDash val="lgDashDotDot"/>
              <a:round/>
            </a:ln>
            <a:effectLst/>
          </c:spPr>
          <c:marker>
            <c:symbol val="circle"/>
            <c:size val="5"/>
            <c:spPr>
              <a:solidFill>
                <a:srgbClr val="FF0000"/>
              </a:solidFill>
              <a:ln w="9525">
                <a:solidFill>
                  <a:srgbClr val="FF000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'B&amp;E'!$A$204:$A$207</c:f>
              <c:numCache>
                <c:formatCode>General</c:formatCode>
                <c:ptCount val="4"/>
                <c:pt idx="0">
                  <c:v>2015</c:v>
                </c:pt>
                <c:pt idx="1">
                  <c:v>2016</c:v>
                </c:pt>
                <c:pt idx="2">
                  <c:v>2017</c:v>
                </c:pt>
                <c:pt idx="3">
                  <c:v>2018</c:v>
                </c:pt>
              </c:numCache>
            </c:numRef>
          </c:cat>
          <c:val>
            <c:numRef>
              <c:f>'B&amp;E'!$C$204:$C$207</c:f>
              <c:numCache>
                <c:formatCode>0.0</c:formatCode>
                <c:ptCount val="4"/>
                <c:pt idx="0">
                  <c:v>71.5</c:v>
                </c:pt>
                <c:pt idx="1">
                  <c:v>70.7</c:v>
                </c:pt>
                <c:pt idx="2">
                  <c:v>72.3</c:v>
                </c:pt>
                <c:pt idx="3">
                  <c:v>74.3</c:v>
                </c:pt>
              </c:numCache>
            </c:numRef>
          </c:val>
          <c:smooth val="0"/>
          <c:extLst>
            <c:ext xmlns:c16="http://schemas.microsoft.com/office/drawing/2014/chart" uri="{C3380CC4-5D6E-409C-BE32-E72D297353CC}">
              <c16:uniqueId val="{00000002-3E73-4753-B8B2-86D46E72779F}"/>
            </c:ext>
          </c:extLst>
        </c:ser>
        <c:ser>
          <c:idx val="2"/>
          <c:order val="2"/>
          <c:tx>
            <c:strRef>
              <c:f>'B&amp;E'!$D$203</c:f>
              <c:strCache>
                <c:ptCount val="1"/>
                <c:pt idx="0">
                  <c:v>Scotland</c:v>
                </c:pt>
              </c:strCache>
            </c:strRef>
          </c:tx>
          <c:spPr>
            <a:ln w="28575" cap="rnd">
              <a:solidFill>
                <a:schemeClr val="accent3"/>
              </a:solidFill>
              <a:prstDash val="sysDot"/>
              <a:round/>
            </a:ln>
            <a:effectLst/>
          </c:spPr>
          <c:marker>
            <c:symbol val="circle"/>
            <c:size val="5"/>
            <c:spPr>
              <a:solidFill>
                <a:schemeClr val="accent3"/>
              </a:solidFill>
              <a:ln w="9525">
                <a:solidFill>
                  <a:schemeClr val="accent3"/>
                </a:solidFill>
              </a:ln>
              <a:effectLst/>
            </c:spPr>
          </c:marker>
          <c:dLbls>
            <c:dLbl>
              <c:idx val="1"/>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E73-4753-B8B2-86D46E72779F}"/>
                </c:ext>
              </c:extLst>
            </c:dLbl>
            <c:dLbl>
              <c:idx val="3"/>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E73-4753-B8B2-86D46E72779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'B&amp;E'!$A$204:$A$207</c:f>
              <c:numCache>
                <c:formatCode>General</c:formatCode>
                <c:ptCount val="4"/>
                <c:pt idx="0">
                  <c:v>2015</c:v>
                </c:pt>
                <c:pt idx="1">
                  <c:v>2016</c:v>
                </c:pt>
                <c:pt idx="2">
                  <c:v>2017</c:v>
                </c:pt>
                <c:pt idx="3">
                  <c:v>2018</c:v>
                </c:pt>
              </c:numCache>
            </c:numRef>
          </c:cat>
          <c:val>
            <c:numRef>
              <c:f>'B&amp;E'!$D$204:$D$207</c:f>
              <c:numCache>
                <c:formatCode>0.0</c:formatCode>
                <c:ptCount val="4"/>
                <c:pt idx="0">
                  <c:v>73.099999999999994</c:v>
                </c:pt>
                <c:pt idx="1">
                  <c:v>73</c:v>
                </c:pt>
                <c:pt idx="2">
                  <c:v>74.3</c:v>
                </c:pt>
                <c:pt idx="3">
                  <c:v>74.099999999999994</c:v>
                </c:pt>
              </c:numCache>
            </c:numRef>
          </c:val>
          <c:smooth val="0"/>
          <c:extLst>
            <c:ext xmlns:c16="http://schemas.microsoft.com/office/drawing/2014/chart" uri="{C3380CC4-5D6E-409C-BE32-E72D297353CC}">
              <c16:uniqueId val="{00000005-3E73-4753-B8B2-86D46E72779F}"/>
            </c:ext>
          </c:extLst>
        </c:ser>
        <c:dLbls>
          <c:dLblPos val="b"/>
          <c:showLegendKey val="0"/>
          <c:showVal val="1"/>
          <c:showCatName val="0"/>
          <c:showSerName val="0"/>
          <c:showPercent val="0"/>
          <c:showBubbleSize val="0"/>
        </c:dLbls>
        <c:marker val="1"/>
        <c:smooth val="0"/>
        <c:axId val="401410960"/>
        <c:axId val="401411352"/>
      </c:lineChart>
      <c:catAx>
        <c:axId val="40141096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1411352"/>
        <c:crosses val="autoZero"/>
        <c:auto val="1"/>
        <c:lblAlgn val="ctr"/>
        <c:lblOffset val="100"/>
        <c:noMultiLvlLbl val="0"/>
      </c:catAx>
      <c:valAx>
        <c:axId val="40141135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1410960"/>
        <c:crosses val="autoZero"/>
        <c:crossBetween val="between"/>
      </c:valAx>
      <c:spPr>
        <a:noFill/>
        <a:ln>
          <a:noFill/>
        </a:ln>
        <a:effectLst/>
      </c:spPr>
    </c:plotArea>
    <c:legend>
      <c:legendPos val="b"/>
      <c:layout>
        <c:manualLayout>
          <c:xMode val="edge"/>
          <c:yMode val="edge"/>
          <c:x val="0.14447725302901471"/>
          <c:y val="0.90605364280272382"/>
          <c:w val="0.70980125590020693"/>
          <c:h val="9.394635719727623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a:t>% of working age population </a:t>
            </a:r>
          </a:p>
          <a:p>
            <a:pPr>
              <a:defRPr sz="1000"/>
            </a:pPr>
            <a:r>
              <a:rPr lang="en-GB" sz="1000"/>
              <a:t>claiming out of work benefits</a:t>
            </a:r>
          </a:p>
        </c:rich>
      </c:tx>
      <c:layout>
        <c:manualLayout>
          <c:xMode val="edge"/>
          <c:yMode val="edge"/>
          <c:x val="0.28420765586119917"/>
          <c:y val="0"/>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0871459249412007E-2"/>
          <c:y val="0.19713287258935716"/>
          <c:w val="0.87103330265534995"/>
          <c:h val="0.61317538985410558"/>
        </c:manualLayout>
      </c:layout>
      <c:lineChart>
        <c:grouping val="standard"/>
        <c:varyColors val="0"/>
        <c:ser>
          <c:idx val="1"/>
          <c:order val="1"/>
          <c:tx>
            <c:strRef>
              <c:f>'B&amp;E'!$B$281</c:f>
              <c:strCache>
                <c:ptCount val="1"/>
                <c:pt idx="0">
                  <c:v>Fife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4.6372294372294405E-2"/>
                  <c:y val="-4.45372205793520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C05-45D0-8013-23BC25314C2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'B&amp;E'!$A$282:$A$283</c:f>
              <c:numCache>
                <c:formatCode>General</c:formatCode>
                <c:ptCount val="2"/>
                <c:pt idx="0">
                  <c:v>2017</c:v>
                </c:pt>
                <c:pt idx="1">
                  <c:v>2018</c:v>
                </c:pt>
              </c:numCache>
            </c:numRef>
          </c:cat>
          <c:val>
            <c:numRef>
              <c:f>'B&amp;E'!$B$282:$B$283</c:f>
              <c:numCache>
                <c:formatCode>#,##0.0</c:formatCode>
                <c:ptCount val="2"/>
                <c:pt idx="0">
                  <c:v>2.6</c:v>
                </c:pt>
                <c:pt idx="1">
                  <c:v>3.3</c:v>
                </c:pt>
              </c:numCache>
            </c:numRef>
          </c:val>
          <c:smooth val="0"/>
          <c:extLst>
            <c:ext xmlns:c16="http://schemas.microsoft.com/office/drawing/2014/chart" uri="{C3380CC4-5D6E-409C-BE32-E72D297353CC}">
              <c16:uniqueId val="{00000001-9C05-45D0-8013-23BC25314C2F}"/>
            </c:ext>
          </c:extLst>
        </c:ser>
        <c:ser>
          <c:idx val="2"/>
          <c:order val="2"/>
          <c:tx>
            <c:strRef>
              <c:f>'B&amp;E'!$C$281</c:f>
              <c:strCache>
                <c:ptCount val="1"/>
                <c:pt idx="0">
                  <c:v>Mid-Fife</c:v>
                </c:pt>
              </c:strCache>
            </c:strRef>
          </c:tx>
          <c:spPr>
            <a:ln w="28575" cap="rnd">
              <a:solidFill>
                <a:srgbClr val="FF0000"/>
              </a:solidFill>
              <a:prstDash val="lgDashDotDot"/>
              <a:round/>
            </a:ln>
            <a:effectLst/>
          </c:spPr>
          <c:marker>
            <c:symbol val="circle"/>
            <c:size val="5"/>
            <c:spPr>
              <a:solidFill>
                <a:srgbClr val="FF0000"/>
              </a:solidFill>
              <a:ln w="9525">
                <a:solidFill>
                  <a:srgbClr val="FF000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'B&amp;E'!$A$282:$A$283</c:f>
              <c:numCache>
                <c:formatCode>General</c:formatCode>
                <c:ptCount val="2"/>
                <c:pt idx="0">
                  <c:v>2017</c:v>
                </c:pt>
                <c:pt idx="1">
                  <c:v>2018</c:v>
                </c:pt>
              </c:numCache>
            </c:numRef>
          </c:cat>
          <c:val>
            <c:numRef>
              <c:f>'B&amp;E'!$C$282:$C$283</c:f>
              <c:numCache>
                <c:formatCode>#,##0.0</c:formatCode>
                <c:ptCount val="2"/>
                <c:pt idx="0">
                  <c:v>3.4</c:v>
                </c:pt>
                <c:pt idx="1">
                  <c:v>4.4000000000000004</c:v>
                </c:pt>
              </c:numCache>
            </c:numRef>
          </c:val>
          <c:smooth val="0"/>
          <c:extLst>
            <c:ext xmlns:c16="http://schemas.microsoft.com/office/drawing/2014/chart" uri="{C3380CC4-5D6E-409C-BE32-E72D297353CC}">
              <c16:uniqueId val="{00000002-9C05-45D0-8013-23BC25314C2F}"/>
            </c:ext>
          </c:extLst>
        </c:ser>
        <c:ser>
          <c:idx val="3"/>
          <c:order val="3"/>
          <c:tx>
            <c:strRef>
              <c:f>'B&amp;E'!$D$281</c:f>
              <c:strCache>
                <c:ptCount val="1"/>
                <c:pt idx="0">
                  <c:v>Scotland</c:v>
                </c:pt>
              </c:strCache>
            </c:strRef>
          </c:tx>
          <c:spPr>
            <a:ln w="28575" cap="rnd">
              <a:solidFill>
                <a:schemeClr val="bg1">
                  <a:lumMod val="50000"/>
                </a:schemeClr>
              </a:solidFill>
              <a:prstDash val="sysDot"/>
              <a:round/>
            </a:ln>
            <a:effectLst/>
          </c:spPr>
          <c:marker>
            <c:symbol val="circle"/>
            <c:size val="5"/>
            <c:spPr>
              <a:solidFill>
                <a:schemeClr val="bg1">
                  <a:lumMod val="50000"/>
                </a:schemeClr>
              </a:solidFill>
              <a:ln w="9525">
                <a:solidFill>
                  <a:schemeClr val="bg1">
                    <a:lumMod val="5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'B&amp;E'!$A$282:$A$283</c:f>
              <c:numCache>
                <c:formatCode>General</c:formatCode>
                <c:ptCount val="2"/>
                <c:pt idx="0">
                  <c:v>2017</c:v>
                </c:pt>
                <c:pt idx="1">
                  <c:v>2018</c:v>
                </c:pt>
              </c:numCache>
            </c:numRef>
          </c:cat>
          <c:val>
            <c:numRef>
              <c:f>'B&amp;E'!$D$282:$D$283</c:f>
              <c:numCache>
                <c:formatCode>General</c:formatCode>
                <c:ptCount val="2"/>
                <c:pt idx="0">
                  <c:v>2.2999999999999998</c:v>
                </c:pt>
                <c:pt idx="1">
                  <c:v>2.6</c:v>
                </c:pt>
              </c:numCache>
            </c:numRef>
          </c:val>
          <c:smooth val="0"/>
          <c:extLst>
            <c:ext xmlns:c16="http://schemas.microsoft.com/office/drawing/2014/chart" uri="{C3380CC4-5D6E-409C-BE32-E72D297353CC}">
              <c16:uniqueId val="{00000003-9C05-45D0-8013-23BC25314C2F}"/>
            </c:ext>
          </c:extLst>
        </c:ser>
        <c:dLbls>
          <c:dLblPos val="b"/>
          <c:showLegendKey val="0"/>
          <c:showVal val="1"/>
          <c:showCatName val="0"/>
          <c:showSerName val="0"/>
          <c:showPercent val="0"/>
          <c:showBubbleSize val="0"/>
        </c:dLbls>
        <c:marker val="1"/>
        <c:smooth val="0"/>
        <c:axId val="658599080"/>
        <c:axId val="658604000"/>
        <c:extLst>
          <c:ext xmlns:c15="http://schemas.microsoft.com/office/drawing/2012/chart" uri="{02D57815-91ED-43cb-92C2-25804820EDAC}">
            <c15:filteredLineSeries>
              <c15:ser>
                <c:idx val="0"/>
                <c:order val="0"/>
                <c:tx>
                  <c:strRef>
                    <c:extLst>
                      <c:ext uri="{02D57815-91ED-43cb-92C2-25804820EDAC}">
                        <c15:formulaRef>
                          <c15:sqref>'B&amp;E'!$A$281</c15:sqref>
                        </c15:formulaRef>
                      </c:ext>
                    </c:extLst>
                    <c:strCache>
                      <c:ptCount val="1"/>
                      <c:pt idx="0">
                        <c:v>Year</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'B&amp;E'!$A$282:$A$283</c15:sqref>
                        </c15:formulaRef>
                      </c:ext>
                    </c:extLst>
                    <c:numCache>
                      <c:formatCode>General</c:formatCode>
                      <c:ptCount val="2"/>
                      <c:pt idx="0">
                        <c:v>2017</c:v>
                      </c:pt>
                      <c:pt idx="1">
                        <c:v>2018</c:v>
                      </c:pt>
                    </c:numCache>
                  </c:numRef>
                </c:cat>
                <c:val>
                  <c:numRef>
                    <c:extLst>
                      <c:ext uri="{02D57815-91ED-43cb-92C2-25804820EDAC}">
                        <c15:formulaRef>
                          <c15:sqref>'B&amp;E'!$A$282:$A$283</c15:sqref>
                        </c15:formulaRef>
                      </c:ext>
                    </c:extLst>
                    <c:numCache>
                      <c:formatCode>General</c:formatCode>
                      <c:ptCount val="2"/>
                      <c:pt idx="0">
                        <c:v>2017</c:v>
                      </c:pt>
                      <c:pt idx="1">
                        <c:v>2018</c:v>
                      </c:pt>
                    </c:numCache>
                  </c:numRef>
                </c:val>
                <c:smooth val="0"/>
                <c:extLst>
                  <c:ext xmlns:c16="http://schemas.microsoft.com/office/drawing/2014/chart" uri="{C3380CC4-5D6E-409C-BE32-E72D297353CC}">
                    <c16:uniqueId val="{00000004-9C05-45D0-8013-23BC25314C2F}"/>
                  </c:ext>
                </c:extLst>
              </c15:ser>
            </c15:filteredLineSeries>
          </c:ext>
        </c:extLst>
      </c:lineChart>
      <c:catAx>
        <c:axId val="65859908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8604000"/>
        <c:crosses val="autoZero"/>
        <c:auto val="1"/>
        <c:lblAlgn val="ctr"/>
        <c:lblOffset val="100"/>
        <c:noMultiLvlLbl val="0"/>
      </c:catAx>
      <c:valAx>
        <c:axId val="65860400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8599080"/>
        <c:crosses val="autoZero"/>
        <c:crossBetween val="between"/>
      </c:valAx>
      <c:spPr>
        <a:noFill/>
        <a:ln>
          <a:noFill/>
        </a:ln>
        <a:effectLst/>
      </c:spPr>
    </c:plotArea>
    <c:legend>
      <c:legendPos val="b"/>
      <c:layout>
        <c:manualLayout>
          <c:xMode val="edge"/>
          <c:yMode val="edge"/>
          <c:x val="0.14994525684289464"/>
          <c:y val="0.90605364280272382"/>
          <c:w val="0.70703589324061766"/>
          <c:h val="9.394635719727623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26106328265513917"/>
          <c:y val="7.1265466816647915E-2"/>
        </c:manualLayout>
      </c:layout>
      <c:overlay val="0"/>
      <c:spPr>
        <a:noFill/>
        <a:ln>
          <a:noFill/>
        </a:ln>
        <a:effectLst/>
      </c:spPr>
      <c:txPr>
        <a:bodyPr rot="0" spcFirstLastPara="1" vertOverflow="ellipsis" vert="horz" wrap="square" anchor="ctr" anchorCtr="1"/>
        <a:lstStyle/>
        <a:p>
          <a:pPr algn="ct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'B&amp;E'!$B$328</c:f>
              <c:strCache>
                <c:ptCount val="1"/>
                <c:pt idx="0">
                  <c:v>Total apprenticeship starts in Fife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'B&amp;E'!$A$329:$A$331</c:f>
              <c:strCache>
                <c:ptCount val="3"/>
                <c:pt idx="0">
                  <c:v>2016/17</c:v>
                </c:pt>
                <c:pt idx="1">
                  <c:v>2017/18</c:v>
                </c:pt>
                <c:pt idx="2">
                  <c:v>2018/19</c:v>
                </c:pt>
              </c:strCache>
            </c:strRef>
          </c:cat>
          <c:val>
            <c:numRef>
              <c:f>'B&amp;E'!$B$329:$B$331</c:f>
              <c:numCache>
                <c:formatCode>0</c:formatCode>
                <c:ptCount val="3"/>
                <c:pt idx="0">
                  <c:v>1763</c:v>
                </c:pt>
                <c:pt idx="1">
                  <c:v>2141</c:v>
                </c:pt>
                <c:pt idx="2">
                  <c:v>2063</c:v>
                </c:pt>
              </c:numCache>
            </c:numRef>
          </c:val>
          <c:smooth val="0"/>
          <c:extLst>
            <c:ext xmlns:c16="http://schemas.microsoft.com/office/drawing/2014/chart" uri="{C3380CC4-5D6E-409C-BE32-E72D297353CC}">
              <c16:uniqueId val="{00000000-D4B1-46D3-B157-60A7EA9C5844}"/>
            </c:ext>
          </c:extLst>
        </c:ser>
        <c:dLbls>
          <c:dLblPos val="b"/>
          <c:showLegendKey val="0"/>
          <c:showVal val="1"/>
          <c:showCatName val="0"/>
          <c:showSerName val="0"/>
          <c:showPercent val="0"/>
          <c:showBubbleSize val="0"/>
        </c:dLbls>
        <c:marker val="1"/>
        <c:smooth val="0"/>
        <c:axId val="634500312"/>
        <c:axId val="634492440"/>
      </c:lineChart>
      <c:catAx>
        <c:axId val="634500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4492440"/>
        <c:crosses val="autoZero"/>
        <c:auto val="1"/>
        <c:lblAlgn val="ctr"/>
        <c:lblOffset val="100"/>
        <c:noMultiLvlLbl val="0"/>
      </c:catAx>
      <c:valAx>
        <c:axId val="6344924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4500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a:t>Immediately available employment land as a % of </a:t>
            </a:r>
          </a:p>
          <a:p>
            <a:pPr>
              <a:defRPr sz="1000"/>
            </a:pPr>
            <a:r>
              <a:rPr lang="en-GB" sz="1000"/>
              <a:t>total land allocated for employment purposes</a:t>
            </a:r>
          </a:p>
        </c:rich>
      </c:tx>
      <c:layout>
        <c:manualLayout>
          <c:xMode val="edge"/>
          <c:yMode val="edge"/>
          <c:x val="0.14324204905884139"/>
          <c:y val="1.1134305144838022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708085056057783"/>
          <c:y val="0.19156572001693814"/>
          <c:w val="0.85467491304021692"/>
          <c:h val="0.63544400014378155"/>
        </c:manualLayout>
      </c:layout>
      <c:lineChart>
        <c:grouping val="standard"/>
        <c:varyColors val="0"/>
        <c:ser>
          <c:idx val="0"/>
          <c:order val="0"/>
          <c:tx>
            <c:strRef>
              <c:f>'B&amp;E'!$B$373</c:f>
              <c:strCache>
                <c:ptCount val="1"/>
                <c:pt idx="0">
                  <c:v>Fife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'B&amp;E'!$A$374:$A$377</c:f>
              <c:strCache>
                <c:ptCount val="4"/>
                <c:pt idx="0">
                  <c:v>2015/16</c:v>
                </c:pt>
                <c:pt idx="1">
                  <c:v>2016/17</c:v>
                </c:pt>
                <c:pt idx="2">
                  <c:v>2017/18</c:v>
                </c:pt>
                <c:pt idx="3">
                  <c:v>2018/19</c:v>
                </c:pt>
              </c:strCache>
            </c:strRef>
          </c:cat>
          <c:val>
            <c:numRef>
              <c:f>'B&amp;E'!$B$374:$B$377</c:f>
              <c:numCache>
                <c:formatCode>0.0</c:formatCode>
                <c:ptCount val="4"/>
                <c:pt idx="0">
                  <c:v>8.43</c:v>
                </c:pt>
                <c:pt idx="1">
                  <c:v>23.31</c:v>
                </c:pt>
                <c:pt idx="2">
                  <c:v>23.85</c:v>
                </c:pt>
                <c:pt idx="3">
                  <c:v>19.8</c:v>
                </c:pt>
              </c:numCache>
            </c:numRef>
          </c:val>
          <c:smooth val="0"/>
          <c:extLst>
            <c:ext xmlns:c16="http://schemas.microsoft.com/office/drawing/2014/chart" uri="{C3380CC4-5D6E-409C-BE32-E72D297353CC}">
              <c16:uniqueId val="{00000000-6EEF-4EA4-998A-AACCE5230CF1}"/>
            </c:ext>
          </c:extLst>
        </c:ser>
        <c:ser>
          <c:idx val="1"/>
          <c:order val="1"/>
          <c:tx>
            <c:strRef>
              <c:f>'B&amp;E'!$C$373</c:f>
              <c:strCache>
                <c:ptCount val="1"/>
                <c:pt idx="0">
                  <c:v>Top Quartile</c:v>
                </c:pt>
              </c:strCache>
            </c:strRef>
          </c:tx>
          <c:spPr>
            <a:ln w="28575" cap="rnd">
              <a:solidFill>
                <a:schemeClr val="accent4"/>
              </a:solidFill>
              <a:prstDash val="dashDot"/>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'B&amp;E'!$A$374:$A$377</c:f>
              <c:strCache>
                <c:ptCount val="4"/>
                <c:pt idx="0">
                  <c:v>2015/16</c:v>
                </c:pt>
                <c:pt idx="1">
                  <c:v>2016/17</c:v>
                </c:pt>
                <c:pt idx="2">
                  <c:v>2017/18</c:v>
                </c:pt>
                <c:pt idx="3">
                  <c:v>2018/19</c:v>
                </c:pt>
              </c:strCache>
            </c:strRef>
          </c:cat>
          <c:val>
            <c:numRef>
              <c:f>'B&amp;E'!$C$374:$C$377</c:f>
              <c:numCache>
                <c:formatCode>General</c:formatCode>
                <c:ptCount val="4"/>
                <c:pt idx="0">
                  <c:v>60.61</c:v>
                </c:pt>
                <c:pt idx="1">
                  <c:v>58.87</c:v>
                </c:pt>
                <c:pt idx="2">
                  <c:v>58.12</c:v>
                </c:pt>
              </c:numCache>
            </c:numRef>
          </c:val>
          <c:smooth val="0"/>
          <c:extLst>
            <c:ext xmlns:c16="http://schemas.microsoft.com/office/drawing/2014/chart" uri="{C3380CC4-5D6E-409C-BE32-E72D297353CC}">
              <c16:uniqueId val="{00000001-6EEF-4EA4-998A-AACCE5230CF1}"/>
            </c:ext>
          </c:extLst>
        </c:ser>
        <c:ser>
          <c:idx val="2"/>
          <c:order val="2"/>
          <c:tx>
            <c:strRef>
              <c:f>'B&amp;E'!$D$373</c:f>
              <c:strCache>
                <c:ptCount val="1"/>
                <c:pt idx="0">
                  <c:v>Scottish Avg</c:v>
                </c:pt>
              </c:strCache>
            </c:strRef>
          </c:tx>
          <c:spPr>
            <a:ln w="28575" cap="rnd">
              <a:solidFill>
                <a:schemeClr val="accent3"/>
              </a:solidFill>
              <a:prstDash val="sysDot"/>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'B&amp;E'!$A$374:$A$377</c:f>
              <c:strCache>
                <c:ptCount val="4"/>
                <c:pt idx="0">
                  <c:v>2015/16</c:v>
                </c:pt>
                <c:pt idx="1">
                  <c:v>2016/17</c:v>
                </c:pt>
                <c:pt idx="2">
                  <c:v>2017/18</c:v>
                </c:pt>
                <c:pt idx="3">
                  <c:v>2018/19</c:v>
                </c:pt>
              </c:strCache>
            </c:strRef>
          </c:cat>
          <c:val>
            <c:numRef>
              <c:f>'B&amp;E'!$D$374:$D$377</c:f>
              <c:numCache>
                <c:formatCode>General</c:formatCode>
                <c:ptCount val="4"/>
                <c:pt idx="0">
                  <c:v>27.19</c:v>
                </c:pt>
                <c:pt idx="1">
                  <c:v>38.43</c:v>
                </c:pt>
                <c:pt idx="2">
                  <c:v>40.78</c:v>
                </c:pt>
              </c:numCache>
            </c:numRef>
          </c:val>
          <c:smooth val="0"/>
          <c:extLst>
            <c:ext xmlns:c16="http://schemas.microsoft.com/office/drawing/2014/chart" uri="{C3380CC4-5D6E-409C-BE32-E72D297353CC}">
              <c16:uniqueId val="{00000002-6EEF-4EA4-998A-AACCE5230CF1}"/>
            </c:ext>
          </c:extLst>
        </c:ser>
        <c:dLbls>
          <c:dLblPos val="t"/>
          <c:showLegendKey val="0"/>
          <c:showVal val="1"/>
          <c:showCatName val="0"/>
          <c:showSerName val="0"/>
          <c:showPercent val="0"/>
          <c:showBubbleSize val="0"/>
        </c:dLbls>
        <c:marker val="1"/>
        <c:smooth val="0"/>
        <c:axId val="409268272"/>
        <c:axId val="409268664"/>
      </c:lineChart>
      <c:catAx>
        <c:axId val="40926827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9268664"/>
        <c:crosses val="autoZero"/>
        <c:auto val="1"/>
        <c:lblAlgn val="ctr"/>
        <c:lblOffset val="100"/>
        <c:noMultiLvlLbl val="0"/>
      </c:catAx>
      <c:valAx>
        <c:axId val="40926866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9268272"/>
        <c:crosses val="autoZero"/>
        <c:crossBetween val="between"/>
      </c:valAx>
      <c:spPr>
        <a:noFill/>
        <a:ln>
          <a:noFill/>
        </a:ln>
        <a:effectLst/>
      </c:spPr>
    </c:plotArea>
    <c:legend>
      <c:legendPos val="b"/>
      <c:layout>
        <c:manualLayout>
          <c:xMode val="edge"/>
          <c:yMode val="edge"/>
          <c:x val="8.6428689145261861E-2"/>
          <c:y val="0.9004864902303048"/>
          <c:w val="0.82714234794973118"/>
          <c:h val="9.394635719727623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a:t>The number of jobs</a:t>
            </a:r>
            <a:r>
              <a:rPr lang="en-US" sz="1000" baseline="0"/>
              <a:t> </a:t>
            </a:r>
            <a:r>
              <a:rPr lang="en-US" sz="1000"/>
              <a:t>in Fife based businesses</a:t>
            </a:r>
            <a:r>
              <a:rPr lang="en-US" sz="1000" baseline="0"/>
              <a:t> in the tourism sector</a:t>
            </a:r>
            <a:endParaRPr lang="en-US" sz="10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'B&amp;E'!$B$217:$B$219</c:f>
              <c:strCache>
                <c:ptCount val="3"/>
                <c:pt idx="0">
                  <c:v>The number of jobs in Fife based businesses in the tourism sector</c:v>
                </c:pt>
                <c:pt idx="2">
                  <c:v>Value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'B&amp;E'!$A$220:$A$223</c:f>
              <c:numCache>
                <c:formatCode>General</c:formatCode>
                <c:ptCount val="4"/>
                <c:pt idx="0">
                  <c:v>2014</c:v>
                </c:pt>
                <c:pt idx="1">
                  <c:v>2015</c:v>
                </c:pt>
                <c:pt idx="2">
                  <c:v>2016</c:v>
                </c:pt>
                <c:pt idx="3">
                  <c:v>2017</c:v>
                </c:pt>
              </c:numCache>
            </c:numRef>
          </c:cat>
          <c:val>
            <c:numRef>
              <c:f>'B&amp;E'!$B$220:$B$223</c:f>
              <c:numCache>
                <c:formatCode>#,##0</c:formatCode>
                <c:ptCount val="4"/>
                <c:pt idx="0">
                  <c:v>10200</c:v>
                </c:pt>
                <c:pt idx="1">
                  <c:v>11100</c:v>
                </c:pt>
                <c:pt idx="2">
                  <c:v>11200</c:v>
                </c:pt>
                <c:pt idx="3">
                  <c:v>11000</c:v>
                </c:pt>
              </c:numCache>
            </c:numRef>
          </c:val>
          <c:smooth val="0"/>
          <c:extLst>
            <c:ext xmlns:c16="http://schemas.microsoft.com/office/drawing/2014/chart" uri="{C3380CC4-5D6E-409C-BE32-E72D297353CC}">
              <c16:uniqueId val="{00000000-EC99-423F-B7FD-EED8CBB5000F}"/>
            </c:ext>
          </c:extLst>
        </c:ser>
        <c:dLbls>
          <c:dLblPos val="t"/>
          <c:showLegendKey val="0"/>
          <c:showVal val="1"/>
          <c:showCatName val="0"/>
          <c:showSerName val="0"/>
          <c:showPercent val="0"/>
          <c:showBubbleSize val="0"/>
        </c:dLbls>
        <c:marker val="1"/>
        <c:smooth val="0"/>
        <c:axId val="400186248"/>
        <c:axId val="400186640"/>
      </c:lineChart>
      <c:catAx>
        <c:axId val="40018624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0186640"/>
        <c:crosses val="autoZero"/>
        <c:auto val="1"/>
        <c:lblAlgn val="ctr"/>
        <c:lblOffset val="100"/>
        <c:noMultiLvlLbl val="0"/>
      </c:catAx>
      <c:valAx>
        <c:axId val="4001866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01862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a:t>Proportion of properties receiving </a:t>
            </a:r>
          </a:p>
          <a:p>
            <a:pPr>
              <a:defRPr sz="1000"/>
            </a:pPr>
            <a:r>
              <a:rPr lang="en-GB" sz="1000"/>
              <a:t>superfast broadband (%)</a:t>
            </a:r>
          </a:p>
        </c:rich>
      </c:tx>
      <c:layout>
        <c:manualLayout>
          <c:xMode val="edge"/>
          <c:yMode val="edge"/>
          <c:x val="0.24930889352333724"/>
          <c:y val="5.5555555555555558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2293482492243017"/>
          <c:y val="0.18561111111111109"/>
          <c:w val="0.8388209386783646"/>
          <c:h val="0.64175896762904638"/>
        </c:manualLayout>
      </c:layout>
      <c:lineChart>
        <c:grouping val="standard"/>
        <c:varyColors val="0"/>
        <c:ser>
          <c:idx val="0"/>
          <c:order val="0"/>
          <c:tx>
            <c:strRef>
              <c:f>'B&amp;E'!$C$343</c:f>
              <c:strCache>
                <c:ptCount val="1"/>
                <c:pt idx="0">
                  <c:v>Fife</c:v>
                </c:pt>
              </c:strCache>
            </c:strRef>
          </c:tx>
          <c:spPr>
            <a:ln w="28575" cap="rnd">
              <a:solidFill>
                <a:schemeClr val="accent1"/>
              </a:solidFill>
              <a:prstDash val="solid"/>
              <a:round/>
            </a:ln>
            <a:effectLst/>
          </c:spPr>
          <c:marker>
            <c:symbol val="circle"/>
            <c:size val="5"/>
            <c:spPr>
              <a:solidFill>
                <a:schemeClr val="accent1"/>
              </a:solidFill>
              <a:ln w="9525">
                <a:solidFill>
                  <a:schemeClr val="accent1"/>
                </a:solidFill>
              </a:ln>
              <a:effectLst/>
            </c:spPr>
          </c:marker>
          <c:dLbls>
            <c:dLbl>
              <c:idx val="1"/>
              <c:layout>
                <c:manualLayout>
                  <c:x val="-5.3802823996027198E-2"/>
                  <c:y val="4.72637795275590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00B-4EDD-BB2B-3FEE78EDD77A}"/>
                </c:ext>
              </c:extLst>
            </c:dLbl>
            <c:dLbl>
              <c:idx val="3"/>
              <c:layout>
                <c:manualLayout>
                  <c:x val="-5.1283413061296449E-3"/>
                  <c:y val="1.39304461942257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00B-4EDD-BB2B-3FEE78EDD77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'B&amp;E'!$A$344:$A$347</c:f>
              <c:strCache>
                <c:ptCount val="4"/>
                <c:pt idx="0">
                  <c:v>2014/15</c:v>
                </c:pt>
                <c:pt idx="1">
                  <c:v>2015/16</c:v>
                </c:pt>
                <c:pt idx="2">
                  <c:v>2016/17</c:v>
                </c:pt>
                <c:pt idx="3">
                  <c:v>2017/18</c:v>
                </c:pt>
              </c:strCache>
            </c:strRef>
          </c:cat>
          <c:val>
            <c:numRef>
              <c:f>'B&amp;E'!$C$344:$C$347</c:f>
              <c:numCache>
                <c:formatCode>0.0</c:formatCode>
                <c:ptCount val="4"/>
                <c:pt idx="0">
                  <c:v>74</c:v>
                </c:pt>
                <c:pt idx="1">
                  <c:v>88</c:v>
                </c:pt>
                <c:pt idx="2">
                  <c:v>92</c:v>
                </c:pt>
                <c:pt idx="3">
                  <c:v>94.53</c:v>
                </c:pt>
              </c:numCache>
            </c:numRef>
          </c:val>
          <c:smooth val="0"/>
          <c:extLst>
            <c:ext xmlns:c16="http://schemas.microsoft.com/office/drawing/2014/chart" uri="{C3380CC4-5D6E-409C-BE32-E72D297353CC}">
              <c16:uniqueId val="{00000002-200B-4EDD-BB2B-3FEE78EDD77A}"/>
            </c:ext>
          </c:extLst>
        </c:ser>
        <c:ser>
          <c:idx val="1"/>
          <c:order val="1"/>
          <c:tx>
            <c:strRef>
              <c:f>'B&amp;E'!$D$343</c:f>
              <c:strCache>
                <c:ptCount val="1"/>
                <c:pt idx="0">
                  <c:v>Scottish Avg</c:v>
                </c:pt>
              </c:strCache>
            </c:strRef>
          </c:tx>
          <c:spPr>
            <a:ln w="28575" cap="rnd">
              <a:solidFill>
                <a:schemeClr val="bg1">
                  <a:lumMod val="50000"/>
                </a:schemeClr>
              </a:solidFill>
              <a:prstDash val="sysDot"/>
              <a:round/>
            </a:ln>
            <a:effectLst/>
          </c:spPr>
          <c:marker>
            <c:symbol val="circle"/>
            <c:size val="5"/>
            <c:spPr>
              <a:solidFill>
                <a:schemeClr val="bg1">
                  <a:lumMod val="50000"/>
                </a:schemeClr>
              </a:solidFill>
              <a:ln w="9525">
                <a:solidFill>
                  <a:schemeClr val="bg1">
                    <a:lumMod val="50000"/>
                  </a:schemeClr>
                </a:solidFill>
              </a:ln>
              <a:effectLst/>
            </c:spPr>
          </c:marker>
          <c:dLbls>
            <c:dLbl>
              <c:idx val="0"/>
              <c:dLblPos val="l"/>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00B-4EDD-BB2B-3FEE78EDD77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'B&amp;E'!$A$344:$A$347</c:f>
              <c:strCache>
                <c:ptCount val="4"/>
                <c:pt idx="0">
                  <c:v>2014/15</c:v>
                </c:pt>
                <c:pt idx="1">
                  <c:v>2015/16</c:v>
                </c:pt>
                <c:pt idx="2">
                  <c:v>2016/17</c:v>
                </c:pt>
                <c:pt idx="3">
                  <c:v>2017/18</c:v>
                </c:pt>
              </c:strCache>
            </c:strRef>
          </c:cat>
          <c:val>
            <c:numRef>
              <c:f>'B&amp;E'!$D$344:$D$347</c:f>
              <c:numCache>
                <c:formatCode>0.0</c:formatCode>
                <c:ptCount val="4"/>
                <c:pt idx="0">
                  <c:v>67.5</c:v>
                </c:pt>
                <c:pt idx="1">
                  <c:v>78.62</c:v>
                </c:pt>
                <c:pt idx="2">
                  <c:v>85.86</c:v>
                </c:pt>
                <c:pt idx="3">
                  <c:v>91.13</c:v>
                </c:pt>
              </c:numCache>
            </c:numRef>
          </c:val>
          <c:smooth val="0"/>
          <c:extLst>
            <c:ext xmlns:c16="http://schemas.microsoft.com/office/drawing/2014/chart" uri="{C3380CC4-5D6E-409C-BE32-E72D297353CC}">
              <c16:uniqueId val="{00000004-200B-4EDD-BB2B-3FEE78EDD77A}"/>
            </c:ext>
          </c:extLst>
        </c:ser>
        <c:ser>
          <c:idx val="2"/>
          <c:order val="2"/>
          <c:tx>
            <c:strRef>
              <c:f>'B&amp;E'!$E$343</c:f>
              <c:strCache>
                <c:ptCount val="1"/>
                <c:pt idx="0">
                  <c:v>Top Quartile</c:v>
                </c:pt>
              </c:strCache>
            </c:strRef>
          </c:tx>
          <c:spPr>
            <a:ln w="28575" cap="rnd">
              <a:solidFill>
                <a:schemeClr val="accent4"/>
              </a:solidFill>
              <a:prstDash val="dashDot"/>
              <a:round/>
            </a:ln>
            <a:effectLst/>
          </c:spPr>
          <c:marker>
            <c:symbol val="circle"/>
            <c:size val="5"/>
            <c:spPr>
              <a:solidFill>
                <a:schemeClr val="accent4"/>
              </a:solidFill>
              <a:ln w="9525">
                <a:solidFill>
                  <a:schemeClr val="accent4"/>
                </a:solidFill>
              </a:ln>
              <a:effectLst/>
            </c:spPr>
          </c:marker>
          <c:dLbls>
            <c:dLbl>
              <c:idx val="3"/>
              <c:layout>
                <c:manualLayout>
                  <c:x val="-6.0756321523155424E-2"/>
                  <c:y val="-7.4958442694663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00B-4EDD-BB2B-3FEE78EDD77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'B&amp;E'!$A$344:$A$347</c:f>
              <c:strCache>
                <c:ptCount val="4"/>
                <c:pt idx="0">
                  <c:v>2014/15</c:v>
                </c:pt>
                <c:pt idx="1">
                  <c:v>2015/16</c:v>
                </c:pt>
                <c:pt idx="2">
                  <c:v>2016/17</c:v>
                </c:pt>
                <c:pt idx="3">
                  <c:v>2017/18</c:v>
                </c:pt>
              </c:strCache>
            </c:strRef>
          </c:cat>
          <c:val>
            <c:numRef>
              <c:f>'B&amp;E'!$E$344:$E$347</c:f>
              <c:numCache>
                <c:formatCode>0.0</c:formatCode>
                <c:ptCount val="4"/>
                <c:pt idx="0">
                  <c:v>83</c:v>
                </c:pt>
                <c:pt idx="1">
                  <c:v>89</c:v>
                </c:pt>
                <c:pt idx="2">
                  <c:v>92</c:v>
                </c:pt>
                <c:pt idx="3">
                  <c:v>94.81</c:v>
                </c:pt>
              </c:numCache>
            </c:numRef>
          </c:val>
          <c:smooth val="0"/>
          <c:extLst>
            <c:ext xmlns:c16="http://schemas.microsoft.com/office/drawing/2014/chart" uri="{C3380CC4-5D6E-409C-BE32-E72D297353CC}">
              <c16:uniqueId val="{00000006-200B-4EDD-BB2B-3FEE78EDD77A}"/>
            </c:ext>
          </c:extLst>
        </c:ser>
        <c:dLbls>
          <c:dLblPos val="t"/>
          <c:showLegendKey val="0"/>
          <c:showVal val="1"/>
          <c:showCatName val="0"/>
          <c:showSerName val="0"/>
          <c:showPercent val="0"/>
          <c:showBubbleSize val="0"/>
        </c:dLbls>
        <c:marker val="1"/>
        <c:smooth val="0"/>
        <c:axId val="409893464"/>
        <c:axId val="409893856"/>
      </c:lineChart>
      <c:catAx>
        <c:axId val="40989346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9893856"/>
        <c:crosses val="autoZero"/>
        <c:auto val="1"/>
        <c:lblAlgn val="ctr"/>
        <c:lblOffset val="100"/>
        <c:noMultiLvlLbl val="0"/>
      </c:catAx>
      <c:valAx>
        <c:axId val="409893856"/>
        <c:scaling>
          <c:orientation val="minMax"/>
          <c:min val="65"/>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9893464"/>
        <c:crosses val="autoZero"/>
        <c:crossBetween val="between"/>
      </c:valAx>
      <c:spPr>
        <a:noFill/>
        <a:ln>
          <a:noFill/>
        </a:ln>
        <a:effectLst/>
      </c:spPr>
    </c:plotArea>
    <c:legend>
      <c:legendPos val="b"/>
      <c:layout>
        <c:manualLayout>
          <c:xMode val="edge"/>
          <c:yMode val="edge"/>
          <c:x val="1.6928481361615282E-2"/>
          <c:y val="0.90624934383202105"/>
          <c:w val="0.96614276351702433"/>
          <c:h val="9.375065616797902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a:t>Number of business start-ups </a:t>
            </a:r>
          </a:p>
          <a:p>
            <a:pPr>
              <a:defRPr sz="1000"/>
            </a:pPr>
            <a:r>
              <a:rPr lang="en-GB" sz="1000"/>
              <a:t>per 10,000 working age adults (16-64) in Fife</a:t>
            </a:r>
          </a:p>
        </c:rich>
      </c:tx>
      <c:layout>
        <c:manualLayout>
          <c:xMode val="edge"/>
          <c:yMode val="edge"/>
          <c:x val="0.17443724577985664"/>
          <c:y val="0"/>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708085056057783"/>
          <c:y val="0.24723724574112829"/>
          <c:w val="0.85467491304021692"/>
          <c:h val="0.57977247441959145"/>
        </c:manualLayout>
      </c:layout>
      <c:lineChart>
        <c:grouping val="standard"/>
        <c:varyColors val="0"/>
        <c:ser>
          <c:idx val="1"/>
          <c:order val="1"/>
          <c:tx>
            <c:strRef>
              <c:f>'B&amp;E'!$B$188</c:f>
              <c:strCache>
                <c:ptCount val="1"/>
                <c:pt idx="0">
                  <c:v>Fife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'B&amp;E'!$A$189:$A$192</c:f>
              <c:numCache>
                <c:formatCode>General</c:formatCode>
                <c:ptCount val="4"/>
                <c:pt idx="0">
                  <c:v>2014</c:v>
                </c:pt>
                <c:pt idx="1">
                  <c:v>2015</c:v>
                </c:pt>
                <c:pt idx="2">
                  <c:v>2016</c:v>
                </c:pt>
                <c:pt idx="3">
                  <c:v>2017</c:v>
                </c:pt>
              </c:numCache>
            </c:numRef>
          </c:cat>
          <c:val>
            <c:numRef>
              <c:f>'B&amp;E'!$B$189:$B$192</c:f>
              <c:numCache>
                <c:formatCode>0.0</c:formatCode>
                <c:ptCount val="4"/>
                <c:pt idx="0">
                  <c:v>47.4</c:v>
                </c:pt>
                <c:pt idx="1">
                  <c:v>54.4</c:v>
                </c:pt>
                <c:pt idx="2">
                  <c:v>60.7</c:v>
                </c:pt>
                <c:pt idx="3">
                  <c:v>58.1</c:v>
                </c:pt>
              </c:numCache>
            </c:numRef>
          </c:val>
          <c:smooth val="0"/>
          <c:extLst>
            <c:ext xmlns:c16="http://schemas.microsoft.com/office/drawing/2014/chart" uri="{C3380CC4-5D6E-409C-BE32-E72D297353CC}">
              <c16:uniqueId val="{00000000-68FC-4CD8-8B85-0639BD07EAB2}"/>
            </c:ext>
          </c:extLst>
        </c:ser>
        <c:ser>
          <c:idx val="2"/>
          <c:order val="2"/>
          <c:tx>
            <c:strRef>
              <c:f>'B&amp;E'!$C$188</c:f>
              <c:strCache>
                <c:ptCount val="1"/>
                <c:pt idx="0">
                  <c:v>Scottish Avg</c:v>
                </c:pt>
              </c:strCache>
            </c:strRef>
          </c:tx>
          <c:spPr>
            <a:ln w="28575" cap="rnd">
              <a:solidFill>
                <a:schemeClr val="bg1">
                  <a:lumMod val="50000"/>
                </a:schemeClr>
              </a:solidFill>
              <a:prstDash val="sysDot"/>
              <a:round/>
            </a:ln>
            <a:effectLst/>
          </c:spPr>
          <c:marker>
            <c:symbol val="circle"/>
            <c:size val="5"/>
            <c:spPr>
              <a:solidFill>
                <a:schemeClr val="bg1">
                  <a:lumMod val="50000"/>
                </a:schemeClr>
              </a:solidFill>
              <a:ln w="9525">
                <a:solidFill>
                  <a:schemeClr val="bg1">
                    <a:lumMod val="5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'B&amp;E'!$A$189:$A$192</c:f>
              <c:numCache>
                <c:formatCode>General</c:formatCode>
                <c:ptCount val="4"/>
                <c:pt idx="0">
                  <c:v>2014</c:v>
                </c:pt>
                <c:pt idx="1">
                  <c:v>2015</c:v>
                </c:pt>
                <c:pt idx="2">
                  <c:v>2016</c:v>
                </c:pt>
                <c:pt idx="3">
                  <c:v>2017</c:v>
                </c:pt>
              </c:numCache>
            </c:numRef>
          </c:cat>
          <c:val>
            <c:numRef>
              <c:f>'B&amp;E'!$C$189:$C$192</c:f>
              <c:numCache>
                <c:formatCode>0.0</c:formatCode>
                <c:ptCount val="4"/>
                <c:pt idx="0">
                  <c:v>61.2</c:v>
                </c:pt>
                <c:pt idx="1">
                  <c:v>62.5</c:v>
                </c:pt>
                <c:pt idx="2">
                  <c:v>63.8</c:v>
                </c:pt>
                <c:pt idx="3">
                  <c:v>61.6</c:v>
                </c:pt>
              </c:numCache>
            </c:numRef>
          </c:val>
          <c:smooth val="0"/>
          <c:extLst>
            <c:ext xmlns:c16="http://schemas.microsoft.com/office/drawing/2014/chart" uri="{C3380CC4-5D6E-409C-BE32-E72D297353CC}">
              <c16:uniqueId val="{00000001-68FC-4CD8-8B85-0639BD07EAB2}"/>
            </c:ext>
          </c:extLst>
        </c:ser>
        <c:dLbls>
          <c:dLblPos val="t"/>
          <c:showLegendKey val="0"/>
          <c:showVal val="1"/>
          <c:showCatName val="0"/>
          <c:showSerName val="0"/>
          <c:showPercent val="0"/>
          <c:showBubbleSize val="0"/>
        </c:dLbls>
        <c:marker val="1"/>
        <c:smooth val="0"/>
        <c:axId val="502062576"/>
        <c:axId val="502062904"/>
        <c:extLst>
          <c:ext xmlns:c15="http://schemas.microsoft.com/office/drawing/2012/chart" uri="{02D57815-91ED-43cb-92C2-25804820EDAC}">
            <c15:filteredLineSeries>
              <c15:ser>
                <c:idx val="0"/>
                <c:order val="0"/>
                <c:tx>
                  <c:strRef>
                    <c:extLst>
                      <c:ext uri="{02D57815-91ED-43cb-92C2-25804820EDAC}">
                        <c15:formulaRef>
                          <c15:sqref>'B&amp;E'!$A$188</c15:sqref>
                        </c15:formulaRef>
                      </c:ext>
                    </c:extLst>
                    <c:strCache>
                      <c:ptCount val="1"/>
                      <c:pt idx="0">
                        <c:v>Year</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'B&amp;E'!$A$189:$A$192</c15:sqref>
                        </c15:formulaRef>
                      </c:ext>
                    </c:extLst>
                    <c:numCache>
                      <c:formatCode>General</c:formatCode>
                      <c:ptCount val="4"/>
                      <c:pt idx="0">
                        <c:v>2014</c:v>
                      </c:pt>
                      <c:pt idx="1">
                        <c:v>2015</c:v>
                      </c:pt>
                      <c:pt idx="2">
                        <c:v>2016</c:v>
                      </c:pt>
                      <c:pt idx="3">
                        <c:v>2017</c:v>
                      </c:pt>
                    </c:numCache>
                  </c:numRef>
                </c:cat>
                <c:val>
                  <c:numRef>
                    <c:extLst>
                      <c:ext uri="{02D57815-91ED-43cb-92C2-25804820EDAC}">
                        <c15:formulaRef>
                          <c15:sqref>'B&amp;E'!$A$189:$A$192</c15:sqref>
                        </c15:formulaRef>
                      </c:ext>
                    </c:extLst>
                    <c:numCache>
                      <c:formatCode>General</c:formatCode>
                      <c:ptCount val="4"/>
                      <c:pt idx="0">
                        <c:v>2014</c:v>
                      </c:pt>
                      <c:pt idx="1">
                        <c:v>2015</c:v>
                      </c:pt>
                      <c:pt idx="2">
                        <c:v>2016</c:v>
                      </c:pt>
                      <c:pt idx="3">
                        <c:v>2017</c:v>
                      </c:pt>
                    </c:numCache>
                  </c:numRef>
                </c:val>
                <c:smooth val="0"/>
                <c:extLst>
                  <c:ext xmlns:c16="http://schemas.microsoft.com/office/drawing/2014/chart" uri="{C3380CC4-5D6E-409C-BE32-E72D297353CC}">
                    <c16:uniqueId val="{00000002-68FC-4CD8-8B85-0639BD07EAB2}"/>
                  </c:ext>
                </c:extLst>
              </c15:ser>
            </c15:filteredLineSeries>
          </c:ext>
        </c:extLst>
      </c:lineChart>
      <c:catAx>
        <c:axId val="50206257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2062904"/>
        <c:crosses val="autoZero"/>
        <c:auto val="1"/>
        <c:lblAlgn val="ctr"/>
        <c:lblOffset val="100"/>
        <c:noMultiLvlLbl val="0"/>
      </c:catAx>
      <c:valAx>
        <c:axId val="502062904"/>
        <c:scaling>
          <c:orientation val="minMax"/>
          <c:min val="3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2062576"/>
        <c:crosses val="autoZero"/>
        <c:crossBetween val="between"/>
      </c:valAx>
      <c:spPr>
        <a:noFill/>
        <a:ln>
          <a:noFill/>
        </a:ln>
        <a:effectLst/>
      </c:spPr>
    </c:plotArea>
    <c:legend>
      <c:legendPos val="b"/>
      <c:layout>
        <c:manualLayout>
          <c:xMode val="edge"/>
          <c:yMode val="edge"/>
          <c:x val="0.14328448181934156"/>
          <c:y val="0.90605364280272382"/>
          <c:w val="0.7099540138380076"/>
          <c:h val="9.394635719727621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a:t>Value of Fife Council supported inward investment (£m)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'B&amp;E'!$B$4</c:f>
              <c:strCache>
                <c:ptCount val="1"/>
                <c:pt idx="0">
                  <c:v>Value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'B&amp;E'!$A$5:$A$8</c:f>
              <c:strCache>
                <c:ptCount val="4"/>
                <c:pt idx="0">
                  <c:v>2015/16</c:v>
                </c:pt>
                <c:pt idx="1">
                  <c:v>2016/17</c:v>
                </c:pt>
                <c:pt idx="2">
                  <c:v>2017/18</c:v>
                </c:pt>
                <c:pt idx="3">
                  <c:v>2018/19</c:v>
                </c:pt>
              </c:strCache>
            </c:strRef>
          </c:cat>
          <c:val>
            <c:numRef>
              <c:f>'B&amp;E'!$B$5:$B$8</c:f>
              <c:numCache>
                <c:formatCode>#,##0</c:formatCode>
                <c:ptCount val="4"/>
                <c:pt idx="0">
                  <c:v>7100000</c:v>
                </c:pt>
                <c:pt idx="1">
                  <c:v>2518000</c:v>
                </c:pt>
                <c:pt idx="2">
                  <c:v>150000</c:v>
                </c:pt>
                <c:pt idx="3">
                  <c:v>50920000</c:v>
                </c:pt>
              </c:numCache>
            </c:numRef>
          </c:val>
          <c:smooth val="0"/>
          <c:extLst>
            <c:ext xmlns:c16="http://schemas.microsoft.com/office/drawing/2014/chart" uri="{C3380CC4-5D6E-409C-BE32-E72D297353CC}">
              <c16:uniqueId val="{00000000-732C-40EE-8211-DE6F7E1BFB22}"/>
            </c:ext>
          </c:extLst>
        </c:ser>
        <c:dLbls>
          <c:dLblPos val="t"/>
          <c:showLegendKey val="0"/>
          <c:showVal val="1"/>
          <c:showCatName val="0"/>
          <c:showSerName val="0"/>
          <c:showPercent val="0"/>
          <c:showBubbleSize val="0"/>
        </c:dLbls>
        <c:marker val="1"/>
        <c:smooth val="0"/>
        <c:axId val="187558512"/>
        <c:axId val="187558904"/>
      </c:lineChart>
      <c:catAx>
        <c:axId val="18755851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558904"/>
        <c:crosses val="autoZero"/>
        <c:auto val="1"/>
        <c:lblAlgn val="ctr"/>
        <c:lblOffset val="100"/>
        <c:noMultiLvlLbl val="0"/>
      </c:catAx>
      <c:valAx>
        <c:axId val="1875589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5585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a:t>Leverage of external funding (£)</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'B&amp;E'!$B$22</c:f>
              <c:strCache>
                <c:ptCount val="1"/>
                <c:pt idx="0">
                  <c:v>Fife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'B&amp;E'!$A$23:$A$26</c:f>
              <c:strCache>
                <c:ptCount val="4"/>
                <c:pt idx="0">
                  <c:v>2015/16</c:v>
                </c:pt>
                <c:pt idx="1">
                  <c:v>2016/17</c:v>
                </c:pt>
                <c:pt idx="2">
                  <c:v>201718</c:v>
                </c:pt>
                <c:pt idx="3">
                  <c:v>2018/19</c:v>
                </c:pt>
              </c:strCache>
            </c:strRef>
          </c:cat>
          <c:val>
            <c:numRef>
              <c:f>'B&amp;E'!$B$23:$B$26</c:f>
              <c:numCache>
                <c:formatCode>0.00</c:formatCode>
                <c:ptCount val="4"/>
                <c:pt idx="0">
                  <c:v>1.91</c:v>
                </c:pt>
                <c:pt idx="1">
                  <c:v>1.35</c:v>
                </c:pt>
                <c:pt idx="2">
                  <c:v>10.19</c:v>
                </c:pt>
                <c:pt idx="3">
                  <c:v>2.09</c:v>
                </c:pt>
              </c:numCache>
            </c:numRef>
          </c:val>
          <c:smooth val="0"/>
          <c:extLst>
            <c:ext xmlns:c16="http://schemas.microsoft.com/office/drawing/2014/chart" uri="{C3380CC4-5D6E-409C-BE32-E72D297353CC}">
              <c16:uniqueId val="{00000000-981E-4FCE-A497-7910EC5FC6A6}"/>
            </c:ext>
          </c:extLst>
        </c:ser>
        <c:ser>
          <c:idx val="1"/>
          <c:order val="1"/>
          <c:tx>
            <c:strRef>
              <c:f>'B&amp;E'!$C$22</c:f>
              <c:strCache>
                <c:ptCount val="1"/>
                <c:pt idx="0">
                  <c:v>Scottish</c:v>
                </c:pt>
              </c:strCache>
            </c:strRef>
          </c:tx>
          <c:spPr>
            <a:ln w="28575" cap="rnd">
              <a:solidFill>
                <a:schemeClr val="bg1">
                  <a:lumMod val="50000"/>
                </a:schemeClr>
              </a:solidFill>
              <a:prstDash val="sysDot"/>
              <a:round/>
            </a:ln>
            <a:effectLst/>
          </c:spPr>
          <c:marker>
            <c:symbol val="circle"/>
            <c:size val="5"/>
            <c:spPr>
              <a:solidFill>
                <a:schemeClr val="bg1">
                  <a:lumMod val="50000"/>
                </a:schemeClr>
              </a:solidFill>
              <a:ln w="9525">
                <a:solidFill>
                  <a:schemeClr val="bg1">
                    <a:lumMod val="50000"/>
                  </a:schemeClr>
                </a:solidFill>
              </a:ln>
              <a:effectLst/>
            </c:spPr>
          </c:marker>
          <c:dLbls>
            <c:dLbl>
              <c:idx val="0"/>
              <c:layout>
                <c:manualLayout>
                  <c:x val="-5.7354358120378555E-2"/>
                  <c:y val="4.145239106522473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81E-4FCE-A497-7910EC5FC6A6}"/>
                </c:ext>
              </c:extLst>
            </c:dLbl>
            <c:dLbl>
              <c:idx val="1"/>
              <c:layout>
                <c:manualLayout>
                  <c:x val="-5.7354358120378555E-2"/>
                  <c:y val="3.591988760740996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81E-4FCE-A497-7910EC5FC6A6}"/>
                </c:ext>
              </c:extLst>
            </c:dLbl>
            <c:dLbl>
              <c:idx val="2"/>
              <c:layout>
                <c:manualLayout>
                  <c:x val="-5.735435812037868E-2"/>
                  <c:y val="3.591988760741007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81E-4FCE-A497-7910EC5FC6A6}"/>
                </c:ext>
              </c:extLst>
            </c:dLbl>
            <c:dLbl>
              <c:idx val="3"/>
              <c:layout>
                <c:manualLayout>
                  <c:x val="-5.735435812037868E-2"/>
                  <c:y val="3.591988760740996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81E-4FCE-A497-7910EC5FC6A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'B&amp;E'!$A$23:$A$26</c:f>
              <c:strCache>
                <c:ptCount val="4"/>
                <c:pt idx="0">
                  <c:v>2015/16</c:v>
                </c:pt>
                <c:pt idx="1">
                  <c:v>2016/17</c:v>
                </c:pt>
                <c:pt idx="2">
                  <c:v>201718</c:v>
                </c:pt>
                <c:pt idx="3">
                  <c:v>2018/19</c:v>
                </c:pt>
              </c:strCache>
            </c:strRef>
          </c:cat>
          <c:val>
            <c:numRef>
              <c:f>'B&amp;E'!$C$23:$C$26</c:f>
              <c:numCache>
                <c:formatCode>0.00</c:formatCode>
                <c:ptCount val="4"/>
                <c:pt idx="0">
                  <c:v>1.62</c:v>
                </c:pt>
                <c:pt idx="1">
                  <c:v>1.54</c:v>
                </c:pt>
                <c:pt idx="2">
                  <c:v>1.71</c:v>
                </c:pt>
                <c:pt idx="3">
                  <c:v>1.83</c:v>
                </c:pt>
              </c:numCache>
            </c:numRef>
          </c:val>
          <c:smooth val="0"/>
          <c:extLst>
            <c:ext xmlns:c16="http://schemas.microsoft.com/office/drawing/2014/chart" uri="{C3380CC4-5D6E-409C-BE32-E72D297353CC}">
              <c16:uniqueId val="{00000005-981E-4FCE-A497-7910EC5FC6A6}"/>
            </c:ext>
          </c:extLst>
        </c:ser>
        <c:dLbls>
          <c:dLblPos val="b"/>
          <c:showLegendKey val="0"/>
          <c:showVal val="1"/>
          <c:showCatName val="0"/>
          <c:showSerName val="0"/>
          <c:showPercent val="0"/>
          <c:showBubbleSize val="0"/>
        </c:dLbls>
        <c:marker val="1"/>
        <c:smooth val="0"/>
        <c:axId val="634557712"/>
        <c:axId val="634556072"/>
      </c:lineChart>
      <c:catAx>
        <c:axId val="63455771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4556072"/>
        <c:crosses val="autoZero"/>
        <c:auto val="1"/>
        <c:lblAlgn val="ctr"/>
        <c:lblOffset val="100"/>
        <c:noMultiLvlLbl val="0"/>
      </c:catAx>
      <c:valAx>
        <c:axId val="63455607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4557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a:t>Fife's total tourism value (£m)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'B&amp;E'!$B$51:$B$53</c:f>
              <c:strCache>
                <c:ptCount val="3"/>
                <c:pt idx="0">
                  <c:v>Fife's total tourism value (£m)</c:v>
                </c:pt>
                <c:pt idx="2">
                  <c:v>Value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2"/>
              <c:layout>
                <c:manualLayout>
                  <c:x val="-3.3915821068440481E-2"/>
                  <c:y val="4.171200023846700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203-41C8-A60E-20C812AFF34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'B&amp;E'!$A$54:$A$56</c:f>
              <c:numCache>
                <c:formatCode>General</c:formatCode>
                <c:ptCount val="3"/>
                <c:pt idx="0">
                  <c:v>2015</c:v>
                </c:pt>
                <c:pt idx="1">
                  <c:v>2016</c:v>
                </c:pt>
                <c:pt idx="2">
                  <c:v>2017</c:v>
                </c:pt>
              </c:numCache>
            </c:numRef>
          </c:cat>
          <c:val>
            <c:numRef>
              <c:f>'B&amp;E'!$B$54:$B$56</c:f>
              <c:numCache>
                <c:formatCode>0.00</c:formatCode>
                <c:ptCount val="3"/>
                <c:pt idx="0">
                  <c:v>570</c:v>
                </c:pt>
                <c:pt idx="1">
                  <c:v>566</c:v>
                </c:pt>
                <c:pt idx="2">
                  <c:v>588.5</c:v>
                </c:pt>
              </c:numCache>
            </c:numRef>
          </c:val>
          <c:smooth val="0"/>
          <c:extLst>
            <c:ext xmlns:c16="http://schemas.microsoft.com/office/drawing/2014/chart" uri="{C3380CC4-5D6E-409C-BE32-E72D297353CC}">
              <c16:uniqueId val="{00000001-5203-41C8-A60E-20C812AFF349}"/>
            </c:ext>
          </c:extLst>
        </c:ser>
        <c:dLbls>
          <c:dLblPos val="t"/>
          <c:showLegendKey val="0"/>
          <c:showVal val="1"/>
          <c:showCatName val="0"/>
          <c:showSerName val="0"/>
          <c:showPercent val="0"/>
          <c:showBubbleSize val="0"/>
        </c:dLbls>
        <c:marker val="1"/>
        <c:smooth val="0"/>
        <c:axId val="407561584"/>
        <c:axId val="407561976"/>
      </c:lineChart>
      <c:catAx>
        <c:axId val="40756158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7561976"/>
        <c:crosses val="autoZero"/>
        <c:auto val="1"/>
        <c:lblAlgn val="ctr"/>
        <c:lblOffset val="100"/>
        <c:noMultiLvlLbl val="0"/>
      </c:catAx>
      <c:valAx>
        <c:axId val="40756197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75615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a:t>Cost of Economic Development &amp; Tourism </a:t>
            </a:r>
          </a:p>
          <a:p>
            <a:pPr>
              <a:defRPr sz="1000"/>
            </a:pPr>
            <a:r>
              <a:rPr lang="en-GB" sz="1000"/>
              <a:t>per 1,000 population (£)</a:t>
            </a:r>
          </a:p>
        </c:rich>
      </c:tx>
      <c:layout>
        <c:manualLayout>
          <c:xMode val="edge"/>
          <c:yMode val="edge"/>
          <c:x val="0.19084749994387926"/>
          <c:y val="0"/>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8966978552019"/>
          <c:y val="0.16929710972726211"/>
          <c:w val="0.81364927763016048"/>
          <c:h val="0.65214545786103861"/>
        </c:manualLayout>
      </c:layout>
      <c:lineChart>
        <c:grouping val="standard"/>
        <c:varyColors val="0"/>
        <c:ser>
          <c:idx val="0"/>
          <c:order val="0"/>
          <c:tx>
            <c:strRef>
              <c:f>'B&amp;E'!$C$38</c:f>
              <c:strCache>
                <c:ptCount val="1"/>
                <c:pt idx="0">
                  <c:v>Fife</c:v>
                </c:pt>
              </c:strCache>
            </c:strRef>
          </c:tx>
          <c:spPr>
            <a:ln w="28575" cap="rnd">
              <a:solidFill>
                <a:srgbClr val="00B050"/>
              </a:solidFill>
              <a:prstDash val="lgDash"/>
              <a:round/>
            </a:ln>
            <a:effectLst/>
          </c:spPr>
          <c:marker>
            <c:symbol val="circle"/>
            <c:size val="5"/>
            <c:spPr>
              <a:solidFill>
                <a:srgbClr val="00B050"/>
              </a:solidFill>
              <a:ln w="9525">
                <a:solidFill>
                  <a:srgbClr val="00B050"/>
                </a:solidFill>
              </a:ln>
              <a:effectLst/>
            </c:spPr>
          </c:marker>
          <c:dLbls>
            <c:dLbl>
              <c:idx val="0"/>
              <c:layout>
                <c:manualLayout>
                  <c:x val="-9.9417767773988364E-2"/>
                  <c:y val="6.406389863749410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198-414B-B155-FB930B9DF7C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'B&amp;E'!$A$39:$A$42</c:f>
              <c:strCache>
                <c:ptCount val="4"/>
                <c:pt idx="0">
                  <c:v>2014/15</c:v>
                </c:pt>
                <c:pt idx="1">
                  <c:v>2015/16</c:v>
                </c:pt>
                <c:pt idx="2">
                  <c:v>2016/17</c:v>
                </c:pt>
                <c:pt idx="3">
                  <c:v>2017/18</c:v>
                </c:pt>
              </c:strCache>
            </c:strRef>
          </c:cat>
          <c:val>
            <c:numRef>
              <c:f>'B&amp;E'!$C$39:$C$42</c:f>
              <c:numCache>
                <c:formatCode>#,##0</c:formatCode>
                <c:ptCount val="4"/>
                <c:pt idx="0">
                  <c:v>37803.47</c:v>
                </c:pt>
                <c:pt idx="1">
                  <c:v>47231.58</c:v>
                </c:pt>
                <c:pt idx="2">
                  <c:v>40890.559999999998</c:v>
                </c:pt>
                <c:pt idx="3">
                  <c:v>44497.99</c:v>
                </c:pt>
              </c:numCache>
            </c:numRef>
          </c:val>
          <c:smooth val="0"/>
          <c:extLst>
            <c:ext xmlns:c16="http://schemas.microsoft.com/office/drawing/2014/chart" uri="{C3380CC4-5D6E-409C-BE32-E72D297353CC}">
              <c16:uniqueId val="{00000001-3198-414B-B155-FB930B9DF7CF}"/>
            </c:ext>
          </c:extLst>
        </c:ser>
        <c:ser>
          <c:idx val="1"/>
          <c:order val="1"/>
          <c:tx>
            <c:strRef>
              <c:f>'B&amp;E'!$D$38</c:f>
              <c:strCache>
                <c:ptCount val="1"/>
                <c:pt idx="0">
                  <c:v>Scottish Avg</c:v>
                </c:pt>
              </c:strCache>
            </c:strRef>
          </c:tx>
          <c:spPr>
            <a:ln w="28575" cap="rnd">
              <a:solidFill>
                <a:schemeClr val="bg1">
                  <a:lumMod val="50000"/>
                </a:schemeClr>
              </a:solidFill>
              <a:prstDash val="sysDot"/>
              <a:round/>
            </a:ln>
            <a:effectLst/>
          </c:spPr>
          <c:marker>
            <c:symbol val="circle"/>
            <c:size val="5"/>
            <c:spPr>
              <a:solidFill>
                <a:schemeClr val="bg1">
                  <a:lumMod val="50000"/>
                </a:schemeClr>
              </a:solidFill>
              <a:ln w="9525">
                <a:solidFill>
                  <a:schemeClr val="bg1">
                    <a:lumMod val="5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'B&amp;E'!$A$39:$A$42</c:f>
              <c:strCache>
                <c:ptCount val="4"/>
                <c:pt idx="0">
                  <c:v>2014/15</c:v>
                </c:pt>
                <c:pt idx="1">
                  <c:v>2015/16</c:v>
                </c:pt>
                <c:pt idx="2">
                  <c:v>2016/17</c:v>
                </c:pt>
                <c:pt idx="3">
                  <c:v>2017/18</c:v>
                </c:pt>
              </c:strCache>
            </c:strRef>
          </c:cat>
          <c:val>
            <c:numRef>
              <c:f>'B&amp;E'!$D$39:$D$42</c:f>
              <c:numCache>
                <c:formatCode>#,##0</c:formatCode>
                <c:ptCount val="4"/>
                <c:pt idx="0">
                  <c:v>70060.91</c:v>
                </c:pt>
                <c:pt idx="1">
                  <c:v>64704.82</c:v>
                </c:pt>
                <c:pt idx="2">
                  <c:v>80934.929999999993</c:v>
                </c:pt>
                <c:pt idx="3">
                  <c:v>91806.15</c:v>
                </c:pt>
              </c:numCache>
            </c:numRef>
          </c:val>
          <c:smooth val="0"/>
          <c:extLst>
            <c:ext xmlns:c16="http://schemas.microsoft.com/office/drawing/2014/chart" uri="{C3380CC4-5D6E-409C-BE32-E72D297353CC}">
              <c16:uniqueId val="{00000002-3198-414B-B155-FB930B9DF7CF}"/>
            </c:ext>
          </c:extLst>
        </c:ser>
        <c:ser>
          <c:idx val="2"/>
          <c:order val="2"/>
          <c:tx>
            <c:strRef>
              <c:f>'B&amp;E'!$E$38</c:f>
              <c:strCache>
                <c:ptCount val="1"/>
                <c:pt idx="0">
                  <c:v>Top Quartile</c:v>
                </c:pt>
              </c:strCache>
            </c:strRef>
          </c:tx>
          <c:spPr>
            <a:ln w="28575" cap="rnd">
              <a:solidFill>
                <a:schemeClr val="accent4"/>
              </a:solidFill>
              <a:prstDash val="dashDot"/>
              <a:round/>
            </a:ln>
            <a:effectLst/>
          </c:spPr>
          <c:marker>
            <c:symbol val="circle"/>
            <c:size val="5"/>
            <c:spPr>
              <a:solidFill>
                <a:schemeClr val="accent4"/>
              </a:solidFill>
              <a:ln w="9525">
                <a:solidFill>
                  <a:schemeClr val="accent4"/>
                </a:solidFill>
              </a:ln>
              <a:effectLst/>
            </c:spPr>
          </c:marker>
          <c:dLbls>
            <c:dLbl>
              <c:idx val="0"/>
              <c:layout>
                <c:manualLayout>
                  <c:x val="-0.10637126530111655"/>
                  <c:y val="-6.406389863749420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198-414B-B155-FB930B9DF7CF}"/>
                </c:ext>
              </c:extLst>
            </c:dLbl>
            <c:dLbl>
              <c:idx val="1"/>
              <c:layout>
                <c:manualLayout>
                  <c:x val="-8.8987521483296E-2"/>
                  <c:y val="5.841345795572404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198-414B-B155-FB930B9DF7CF}"/>
                </c:ext>
              </c:extLst>
            </c:dLbl>
            <c:dLbl>
              <c:idx val="2"/>
              <c:layout>
                <c:manualLayout>
                  <c:x val="-0.10637126530111655"/>
                  <c:y val="4.72791528108860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198-414B-B155-FB930B9DF7CF}"/>
                </c:ext>
              </c:extLst>
            </c:dLbl>
            <c:dLbl>
              <c:idx val="3"/>
              <c:layout>
                <c:manualLayout>
                  <c:x val="-4.9224739777674234E-2"/>
                  <c:y val="7.51149156729810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198-414B-B155-FB930B9DF7C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'B&amp;E'!$A$39:$A$42</c:f>
              <c:strCache>
                <c:ptCount val="4"/>
                <c:pt idx="0">
                  <c:v>2014/15</c:v>
                </c:pt>
                <c:pt idx="1">
                  <c:v>2015/16</c:v>
                </c:pt>
                <c:pt idx="2">
                  <c:v>2016/17</c:v>
                </c:pt>
                <c:pt idx="3">
                  <c:v>2017/18</c:v>
                </c:pt>
              </c:strCache>
            </c:strRef>
          </c:cat>
          <c:val>
            <c:numRef>
              <c:f>'B&amp;E'!$E$39:$E$42</c:f>
              <c:numCache>
                <c:formatCode>#,##0</c:formatCode>
                <c:ptCount val="4"/>
                <c:pt idx="0">
                  <c:v>38414.5</c:v>
                </c:pt>
                <c:pt idx="1">
                  <c:v>36490.36</c:v>
                </c:pt>
                <c:pt idx="2">
                  <c:v>39939.629999999997</c:v>
                </c:pt>
                <c:pt idx="3">
                  <c:v>44497.99</c:v>
                </c:pt>
              </c:numCache>
            </c:numRef>
          </c:val>
          <c:smooth val="0"/>
          <c:extLst>
            <c:ext xmlns:c16="http://schemas.microsoft.com/office/drawing/2014/chart" uri="{C3380CC4-5D6E-409C-BE32-E72D297353CC}">
              <c16:uniqueId val="{00000007-3198-414B-B155-FB930B9DF7CF}"/>
            </c:ext>
          </c:extLst>
        </c:ser>
        <c:dLbls>
          <c:dLblPos val="t"/>
          <c:showLegendKey val="0"/>
          <c:showVal val="1"/>
          <c:showCatName val="0"/>
          <c:showSerName val="0"/>
          <c:showPercent val="0"/>
          <c:showBubbleSize val="0"/>
        </c:dLbls>
        <c:marker val="1"/>
        <c:smooth val="0"/>
        <c:axId val="409001000"/>
        <c:axId val="409001392"/>
      </c:lineChart>
      <c:catAx>
        <c:axId val="40900100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9001392"/>
        <c:crosses val="autoZero"/>
        <c:auto val="1"/>
        <c:lblAlgn val="ctr"/>
        <c:lblOffset val="100"/>
        <c:noMultiLvlLbl val="0"/>
      </c:catAx>
      <c:valAx>
        <c:axId val="409001392"/>
        <c:scaling>
          <c:orientation val="minMax"/>
          <c:min val="20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9001000"/>
        <c:crosses val="autoZero"/>
        <c:crossBetween val="between"/>
      </c:valAx>
      <c:spPr>
        <a:noFill/>
        <a:ln>
          <a:noFill/>
        </a:ln>
        <a:effectLst/>
      </c:spPr>
    </c:plotArea>
    <c:legend>
      <c:legendPos val="b"/>
      <c:layout>
        <c:manualLayout>
          <c:xMode val="edge"/>
          <c:yMode val="edge"/>
          <c:x val="8.1248333487551325E-2"/>
          <c:y val="0.90605364280272382"/>
          <c:w val="0.84445655679228038"/>
          <c:h val="9.394635719727621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a:t>Cost per planning application (£)</a:t>
            </a:r>
          </a:p>
        </c:rich>
      </c:tx>
      <c:layout>
        <c:manualLayout>
          <c:xMode val="edge"/>
          <c:yMode val="edge"/>
          <c:x val="0.2576811929384647"/>
          <c:y val="1.6666710411313415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1625517534050878"/>
          <c:y val="0.14558393416605642"/>
          <c:w val="0.84509748701012355"/>
          <c:h val="0.65400784079048324"/>
        </c:manualLayout>
      </c:layout>
      <c:lineChart>
        <c:grouping val="standard"/>
        <c:varyColors val="0"/>
        <c:ser>
          <c:idx val="0"/>
          <c:order val="0"/>
          <c:tx>
            <c:strRef>
              <c:f>Planning!$C$6</c:f>
              <c:strCache>
                <c:ptCount val="1"/>
                <c:pt idx="0">
                  <c:v>Fife</c:v>
                </c:pt>
              </c:strCache>
            </c:strRef>
          </c:tx>
          <c:spPr>
            <a:ln w="28575" cap="rnd">
              <a:solidFill>
                <a:schemeClr val="accent1"/>
              </a:solidFill>
              <a:prstDash val="solid"/>
              <a:round/>
            </a:ln>
            <a:effectLst/>
          </c:spPr>
          <c:marker>
            <c:symbol val="circle"/>
            <c:size val="5"/>
            <c:spPr>
              <a:solidFill>
                <a:schemeClr val="accent1"/>
              </a:solidFill>
              <a:ln w="9525">
                <a:solidFill>
                  <a:schemeClr val="accent1"/>
                </a:solidFill>
              </a:ln>
              <a:effectLst/>
            </c:spPr>
          </c:marker>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Planning!$A$7:$A$10</c:f>
              <c:strCache>
                <c:ptCount val="4"/>
                <c:pt idx="0">
                  <c:v>2014/15</c:v>
                </c:pt>
                <c:pt idx="1">
                  <c:v>2015/16</c:v>
                </c:pt>
                <c:pt idx="2">
                  <c:v>2016/17</c:v>
                </c:pt>
                <c:pt idx="3">
                  <c:v>2017/18</c:v>
                </c:pt>
              </c:strCache>
            </c:strRef>
          </c:cat>
          <c:val>
            <c:numRef>
              <c:f>Planning!$C$7:$C$10</c:f>
              <c:numCache>
                <c:formatCode>#,##0</c:formatCode>
                <c:ptCount val="4"/>
                <c:pt idx="0">
                  <c:v>4317.45</c:v>
                </c:pt>
                <c:pt idx="1">
                  <c:v>4348.21</c:v>
                </c:pt>
                <c:pt idx="2">
                  <c:v>3966.18</c:v>
                </c:pt>
                <c:pt idx="3">
                  <c:v>3799.53</c:v>
                </c:pt>
              </c:numCache>
            </c:numRef>
          </c:val>
          <c:smooth val="0"/>
          <c:extLst>
            <c:ext xmlns:c16="http://schemas.microsoft.com/office/drawing/2014/chart" uri="{C3380CC4-5D6E-409C-BE32-E72D297353CC}">
              <c16:uniqueId val="{00000000-71E3-4B72-A400-36C0B868B4F1}"/>
            </c:ext>
          </c:extLst>
        </c:ser>
        <c:ser>
          <c:idx val="1"/>
          <c:order val="1"/>
          <c:tx>
            <c:strRef>
              <c:f>Planning!$D$6</c:f>
              <c:strCache>
                <c:ptCount val="1"/>
                <c:pt idx="0">
                  <c:v>Top Quartile</c:v>
                </c:pt>
              </c:strCache>
            </c:strRef>
          </c:tx>
          <c:spPr>
            <a:ln w="28575" cap="rnd">
              <a:solidFill>
                <a:schemeClr val="accent4"/>
              </a:solidFill>
              <a:prstDash val="dashDot"/>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Planning!$A$7:$A$10</c:f>
              <c:strCache>
                <c:ptCount val="4"/>
                <c:pt idx="0">
                  <c:v>2014/15</c:v>
                </c:pt>
                <c:pt idx="1">
                  <c:v>2015/16</c:v>
                </c:pt>
                <c:pt idx="2">
                  <c:v>2016/17</c:v>
                </c:pt>
                <c:pt idx="3">
                  <c:v>2017/18</c:v>
                </c:pt>
              </c:strCache>
            </c:strRef>
          </c:cat>
          <c:val>
            <c:numRef>
              <c:f>Planning!$D$7:$D$10</c:f>
              <c:numCache>
                <c:formatCode>#,##0</c:formatCode>
                <c:ptCount val="4"/>
                <c:pt idx="0">
                  <c:v>3345.11</c:v>
                </c:pt>
                <c:pt idx="1">
                  <c:v>3499.81</c:v>
                </c:pt>
                <c:pt idx="2">
                  <c:v>3787.11</c:v>
                </c:pt>
                <c:pt idx="3">
                  <c:v>3732.42</c:v>
                </c:pt>
              </c:numCache>
            </c:numRef>
          </c:val>
          <c:smooth val="0"/>
          <c:extLst>
            <c:ext xmlns:c16="http://schemas.microsoft.com/office/drawing/2014/chart" uri="{C3380CC4-5D6E-409C-BE32-E72D297353CC}">
              <c16:uniqueId val="{00000001-71E3-4B72-A400-36C0B868B4F1}"/>
            </c:ext>
          </c:extLst>
        </c:ser>
        <c:ser>
          <c:idx val="2"/>
          <c:order val="2"/>
          <c:tx>
            <c:strRef>
              <c:f>Planning!$E$6</c:f>
              <c:strCache>
                <c:ptCount val="1"/>
                <c:pt idx="0">
                  <c:v>Scottish Avg</c:v>
                </c:pt>
              </c:strCache>
            </c:strRef>
          </c:tx>
          <c:spPr>
            <a:ln w="28575" cap="rnd">
              <a:solidFill>
                <a:schemeClr val="accent3"/>
              </a:solidFill>
              <a:prstDash val="sysDot"/>
              <a:round/>
            </a:ln>
            <a:effectLst/>
          </c:spPr>
          <c:marker>
            <c:symbol val="circle"/>
            <c:size val="5"/>
            <c:spPr>
              <a:solidFill>
                <a:schemeClr val="accent3"/>
              </a:solidFill>
              <a:ln w="9525">
                <a:solidFill>
                  <a:schemeClr val="accent3"/>
                </a:solidFill>
              </a:ln>
              <a:effectLst/>
            </c:spPr>
          </c:marker>
          <c:dLbls>
            <c:dLbl>
              <c:idx val="0"/>
              <c:layout>
                <c:manualLayout>
                  <c:x val="-0.11353547615345842"/>
                  <c:y val="5.28194737169038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1E3-4B72-A400-36C0B868B4F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Planning!$A$7:$A$10</c:f>
              <c:strCache>
                <c:ptCount val="4"/>
                <c:pt idx="0">
                  <c:v>2014/15</c:v>
                </c:pt>
                <c:pt idx="1">
                  <c:v>2015/16</c:v>
                </c:pt>
                <c:pt idx="2">
                  <c:v>2016/17</c:v>
                </c:pt>
                <c:pt idx="3">
                  <c:v>2017/18</c:v>
                </c:pt>
              </c:strCache>
            </c:strRef>
          </c:cat>
          <c:val>
            <c:numRef>
              <c:f>Planning!$E$7:$E$10</c:f>
              <c:numCache>
                <c:formatCode>#,##0</c:formatCode>
                <c:ptCount val="4"/>
                <c:pt idx="0">
                  <c:v>4250.9399999999996</c:v>
                </c:pt>
                <c:pt idx="1">
                  <c:v>4798.78</c:v>
                </c:pt>
                <c:pt idx="2">
                  <c:v>4564.87</c:v>
                </c:pt>
                <c:pt idx="3">
                  <c:v>4819.34</c:v>
                </c:pt>
              </c:numCache>
            </c:numRef>
          </c:val>
          <c:smooth val="0"/>
          <c:extLst>
            <c:ext xmlns:c16="http://schemas.microsoft.com/office/drawing/2014/chart" uri="{C3380CC4-5D6E-409C-BE32-E72D297353CC}">
              <c16:uniqueId val="{00000003-71E3-4B72-A400-36C0B868B4F1}"/>
            </c:ext>
          </c:extLst>
        </c:ser>
        <c:dLbls>
          <c:dLblPos val="t"/>
          <c:showLegendKey val="0"/>
          <c:showVal val="1"/>
          <c:showCatName val="0"/>
          <c:showSerName val="0"/>
          <c:showPercent val="0"/>
          <c:showBubbleSize val="0"/>
        </c:dLbls>
        <c:marker val="1"/>
        <c:smooth val="0"/>
        <c:axId val="410811824"/>
        <c:axId val="410812216"/>
      </c:lineChart>
      <c:catAx>
        <c:axId val="41081182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0812216"/>
        <c:crosses val="autoZero"/>
        <c:auto val="1"/>
        <c:lblAlgn val="ctr"/>
        <c:lblOffset val="100"/>
        <c:noMultiLvlLbl val="0"/>
      </c:catAx>
      <c:valAx>
        <c:axId val="410812216"/>
        <c:scaling>
          <c:orientation val="minMax"/>
          <c:min val="3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0811824"/>
        <c:crosses val="autoZero"/>
        <c:crossBetween val="between"/>
      </c:valAx>
      <c:spPr>
        <a:noFill/>
        <a:ln>
          <a:noFill/>
        </a:ln>
        <a:effectLst/>
      </c:spPr>
    </c:plotArea>
    <c:legend>
      <c:legendPos val="b"/>
      <c:layout>
        <c:manualLayout>
          <c:xMode val="edge"/>
          <c:yMode val="edge"/>
          <c:x val="0.11591407178058272"/>
          <c:y val="0.89513795749245184"/>
          <c:w val="0.85335728343243689"/>
          <c:h val="9.375090223333920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000"/>
              <a:t>Stage 1 Complaints dealt with within 5 days (%) </a:t>
            </a:r>
          </a:p>
          <a:p>
            <a:pPr>
              <a:defRPr/>
            </a:pPr>
            <a:r>
              <a:rPr lang="en-GB" sz="1000"/>
              <a:t>Roads</a:t>
            </a:r>
            <a:r>
              <a:rPr lang="en-GB" sz="1000" baseline="0"/>
              <a:t> &amp; Transportation</a:t>
            </a:r>
            <a:endParaRPr lang="en-GB" sz="10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3469214785651789E-2"/>
          <c:y val="0.20270002516177618"/>
          <c:w val="0.86833634076990374"/>
          <c:h val="0.5338421506217238"/>
        </c:manualLayout>
      </c:layout>
      <c:lineChart>
        <c:grouping val="standard"/>
        <c:varyColors val="0"/>
        <c:ser>
          <c:idx val="0"/>
          <c:order val="0"/>
          <c:tx>
            <c:strRef>
              <c:f>'Roads &amp; Tranportation'!$B$4</c:f>
              <c:strCache>
                <c:ptCount val="1"/>
                <c:pt idx="0">
                  <c:v>Fife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Tranportation'!$A$5:$A$7</c:f>
              <c:strCache>
                <c:ptCount val="3"/>
                <c:pt idx="0">
                  <c:v>2016/17</c:v>
                </c:pt>
                <c:pt idx="1">
                  <c:v>2017/18</c:v>
                </c:pt>
                <c:pt idx="2">
                  <c:v>2018/19</c:v>
                </c:pt>
              </c:strCache>
            </c:strRef>
          </c:cat>
          <c:val>
            <c:numRef>
              <c:f>'Roads &amp; Tranportation'!$B$5:$B$7</c:f>
              <c:numCache>
                <c:formatCode>0.00</c:formatCode>
                <c:ptCount val="3"/>
                <c:pt idx="0">
                  <c:v>91.81</c:v>
                </c:pt>
                <c:pt idx="1">
                  <c:v>88.28</c:v>
                </c:pt>
                <c:pt idx="2">
                  <c:v>90.18</c:v>
                </c:pt>
              </c:numCache>
            </c:numRef>
          </c:val>
          <c:smooth val="0"/>
          <c:extLst>
            <c:ext xmlns:c16="http://schemas.microsoft.com/office/drawing/2014/chart" uri="{C3380CC4-5D6E-409C-BE32-E72D297353CC}">
              <c16:uniqueId val="{00000000-1871-4270-9660-59F3734F6C01}"/>
            </c:ext>
          </c:extLst>
        </c:ser>
        <c:ser>
          <c:idx val="1"/>
          <c:order val="1"/>
          <c:tx>
            <c:strRef>
              <c:f>'Roads &amp; Tranportation'!$C$4</c:f>
              <c:strCache>
                <c:ptCount val="1"/>
                <c:pt idx="0">
                  <c:v>Roads &amp; Transportation</c:v>
                </c:pt>
              </c:strCache>
            </c:strRef>
          </c:tx>
          <c:spPr>
            <a:ln w="28575" cap="rnd">
              <a:solidFill>
                <a:srgbClr val="00B050"/>
              </a:solidFill>
              <a:prstDash val="lgDash"/>
              <a:round/>
            </a:ln>
            <a:effectLst/>
          </c:spPr>
          <c:marker>
            <c:symbol val="circle"/>
            <c:size val="5"/>
            <c:spPr>
              <a:solidFill>
                <a:srgbClr val="00B050"/>
              </a:solidFill>
              <a:ln w="9525">
                <a:solidFill>
                  <a:srgbClr val="00B05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Tranportation'!$A$5:$A$7</c:f>
              <c:strCache>
                <c:ptCount val="3"/>
                <c:pt idx="0">
                  <c:v>2016/17</c:v>
                </c:pt>
                <c:pt idx="1">
                  <c:v>2017/18</c:v>
                </c:pt>
                <c:pt idx="2">
                  <c:v>2018/19</c:v>
                </c:pt>
              </c:strCache>
            </c:strRef>
          </c:cat>
          <c:val>
            <c:numRef>
              <c:f>'Roads &amp; Tranportation'!$C$5:$C$7</c:f>
              <c:numCache>
                <c:formatCode>0.00</c:formatCode>
                <c:ptCount val="3"/>
                <c:pt idx="0">
                  <c:v>94.51</c:v>
                </c:pt>
                <c:pt idx="1">
                  <c:v>89.13</c:v>
                </c:pt>
                <c:pt idx="2">
                  <c:v>91.67</c:v>
                </c:pt>
              </c:numCache>
            </c:numRef>
          </c:val>
          <c:smooth val="0"/>
          <c:extLst>
            <c:ext xmlns:c16="http://schemas.microsoft.com/office/drawing/2014/chart" uri="{C3380CC4-5D6E-409C-BE32-E72D297353CC}">
              <c16:uniqueId val="{00000001-1871-4270-9660-59F3734F6C01}"/>
            </c:ext>
          </c:extLst>
        </c:ser>
        <c:dLbls>
          <c:dLblPos val="b"/>
          <c:showLegendKey val="0"/>
          <c:showVal val="1"/>
          <c:showCatName val="0"/>
          <c:showSerName val="0"/>
          <c:showPercent val="0"/>
          <c:showBubbleSize val="0"/>
        </c:dLbls>
        <c:marker val="1"/>
        <c:smooth val="0"/>
        <c:axId val="428871408"/>
        <c:axId val="296912592"/>
      </c:lineChart>
      <c:catAx>
        <c:axId val="42887140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6912592"/>
        <c:crosses val="autoZero"/>
        <c:auto val="1"/>
        <c:lblAlgn val="ctr"/>
        <c:lblOffset val="100"/>
        <c:noMultiLvlLbl val="0"/>
      </c:catAx>
      <c:valAx>
        <c:axId val="296912592"/>
        <c:scaling>
          <c:orientation val="minMax"/>
          <c:max val="100"/>
          <c:min val="6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8871408"/>
        <c:crosses val="autoZero"/>
        <c:crossBetween val="between"/>
      </c:valAx>
      <c:spPr>
        <a:noFill/>
        <a:ln>
          <a:noFill/>
        </a:ln>
        <a:effectLst/>
      </c:spPr>
    </c:plotArea>
    <c:legend>
      <c:legendPos val="b"/>
      <c:layout>
        <c:manualLayout>
          <c:xMode val="edge"/>
          <c:yMode val="edge"/>
          <c:x val="7.1613353018372711E-2"/>
          <c:y val="0.84898901386001824"/>
          <c:w val="0.88107857611548557"/>
          <c:h val="0.1176080707054677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000"/>
              <a:t>Stage 2 Complaints dealt with within 20 days (%) </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r>
              <a:rPr lang="en-GB" sz="1000" b="0" i="0" baseline="0">
                <a:effectLst/>
              </a:rPr>
              <a:t>Roads &amp; Transportation</a:t>
            </a:r>
            <a:endParaRPr lang="en-GB" sz="1000">
              <a:effectLst/>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GB" sz="1000"/>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manualLayout>
          <c:layoutTarget val="inner"/>
          <c:xMode val="edge"/>
          <c:yMode val="edge"/>
          <c:x val="9.9059492563429566E-2"/>
          <c:y val="0.25394588377012833"/>
          <c:w val="0.86274606299212597"/>
          <c:h val="0.51182515809398232"/>
        </c:manualLayout>
      </c:layout>
      <c:lineChart>
        <c:grouping val="standard"/>
        <c:varyColors val="0"/>
        <c:ser>
          <c:idx val="0"/>
          <c:order val="0"/>
          <c:tx>
            <c:strRef>
              <c:f>'Roads &amp; Tranportation'!$B$19</c:f>
              <c:strCache>
                <c:ptCount val="1"/>
                <c:pt idx="0">
                  <c:v>Fife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7.5538331146106738E-2"/>
                  <c:y val="-5.292959349265618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3E7-4795-8B6F-81FDCF0283F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Tranportation'!$A$20:$A$22</c:f>
              <c:strCache>
                <c:ptCount val="3"/>
                <c:pt idx="0">
                  <c:v>2016/17</c:v>
                </c:pt>
                <c:pt idx="1">
                  <c:v>2017/18</c:v>
                </c:pt>
                <c:pt idx="2">
                  <c:v>2018/19</c:v>
                </c:pt>
              </c:strCache>
            </c:strRef>
          </c:cat>
          <c:val>
            <c:numRef>
              <c:f>'Roads &amp; Tranportation'!$B$20:$B$22</c:f>
              <c:numCache>
                <c:formatCode>0.00</c:formatCode>
                <c:ptCount val="3"/>
                <c:pt idx="0">
                  <c:v>75.680000000000007</c:v>
                </c:pt>
                <c:pt idx="1">
                  <c:v>86.59</c:v>
                </c:pt>
                <c:pt idx="2">
                  <c:v>81.91</c:v>
                </c:pt>
              </c:numCache>
            </c:numRef>
          </c:val>
          <c:smooth val="0"/>
          <c:extLst>
            <c:ext xmlns:c16="http://schemas.microsoft.com/office/drawing/2014/chart" uri="{C3380CC4-5D6E-409C-BE32-E72D297353CC}">
              <c16:uniqueId val="{00000001-83E7-4795-8B6F-81FDCF0283FF}"/>
            </c:ext>
          </c:extLst>
        </c:ser>
        <c:ser>
          <c:idx val="1"/>
          <c:order val="1"/>
          <c:tx>
            <c:strRef>
              <c:f>'Roads &amp; Tranportation'!$C$19</c:f>
              <c:strCache>
                <c:ptCount val="1"/>
                <c:pt idx="0">
                  <c:v>Roads &amp; Transportation</c:v>
                </c:pt>
              </c:strCache>
            </c:strRef>
          </c:tx>
          <c:spPr>
            <a:ln w="28575" cap="rnd">
              <a:solidFill>
                <a:srgbClr val="00B050"/>
              </a:solidFill>
              <a:prstDash val="lgDash"/>
              <a:round/>
            </a:ln>
            <a:effectLst/>
          </c:spPr>
          <c:marker>
            <c:symbol val="circle"/>
            <c:size val="5"/>
            <c:spPr>
              <a:solidFill>
                <a:srgbClr val="00B050"/>
              </a:solidFill>
              <a:ln w="9525">
                <a:solidFill>
                  <a:srgbClr val="00B050"/>
                </a:solidFill>
              </a:ln>
              <a:effectLst/>
            </c:spPr>
          </c:marker>
          <c:dLbls>
            <c:dLbl>
              <c:idx val="1"/>
              <c:layout>
                <c:manualLayout>
                  <c:x val="-7.3038331146106805E-2"/>
                  <c:y val="-5.849674606507519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3E7-4795-8B6F-81FDCF0283FF}"/>
                </c:ext>
              </c:extLst>
            </c:dLbl>
            <c:dLbl>
              <c:idx val="2"/>
              <c:layout>
                <c:manualLayout>
                  <c:x val="-5.4704997812773402E-2"/>
                  <c:y val="-5.292959349265618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3E7-4795-8B6F-81FDCF0283F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Tranportation'!$A$20:$A$22</c:f>
              <c:strCache>
                <c:ptCount val="3"/>
                <c:pt idx="0">
                  <c:v>2016/17</c:v>
                </c:pt>
                <c:pt idx="1">
                  <c:v>2017/18</c:v>
                </c:pt>
                <c:pt idx="2">
                  <c:v>2018/19</c:v>
                </c:pt>
              </c:strCache>
            </c:strRef>
          </c:cat>
          <c:val>
            <c:numRef>
              <c:f>'Roads &amp; Tranportation'!$C$20:$C$22</c:f>
              <c:numCache>
                <c:formatCode>0.00</c:formatCode>
                <c:ptCount val="3"/>
                <c:pt idx="0">
                  <c:v>66.67</c:v>
                </c:pt>
                <c:pt idx="1">
                  <c:v>100</c:v>
                </c:pt>
                <c:pt idx="2">
                  <c:v>85.71</c:v>
                </c:pt>
              </c:numCache>
            </c:numRef>
          </c:val>
          <c:smooth val="0"/>
          <c:extLst>
            <c:ext xmlns:c16="http://schemas.microsoft.com/office/drawing/2014/chart" uri="{C3380CC4-5D6E-409C-BE32-E72D297353CC}">
              <c16:uniqueId val="{00000004-83E7-4795-8B6F-81FDCF0283FF}"/>
            </c:ext>
          </c:extLst>
        </c:ser>
        <c:dLbls>
          <c:dLblPos val="b"/>
          <c:showLegendKey val="0"/>
          <c:showVal val="1"/>
          <c:showCatName val="0"/>
          <c:showSerName val="0"/>
          <c:showPercent val="0"/>
          <c:showBubbleSize val="0"/>
        </c:dLbls>
        <c:marker val="1"/>
        <c:smooth val="0"/>
        <c:axId val="296913376"/>
        <c:axId val="296913768"/>
      </c:lineChart>
      <c:catAx>
        <c:axId val="29691337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6913768"/>
        <c:crosses val="autoZero"/>
        <c:auto val="1"/>
        <c:lblAlgn val="ctr"/>
        <c:lblOffset val="100"/>
        <c:noMultiLvlLbl val="0"/>
      </c:catAx>
      <c:valAx>
        <c:axId val="296913768"/>
        <c:scaling>
          <c:orientation val="minMax"/>
          <c:max val="100"/>
          <c:min val="6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6913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000"/>
              <a:t>Compliments - Roads &amp; Transportation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'Roads &amp; Tranportation'!$C$34</c:f>
              <c:strCache>
                <c:ptCount val="1"/>
                <c:pt idx="0">
                  <c:v>Roads &amp; Transportation</c:v>
                </c:pt>
              </c:strCache>
            </c:strRef>
          </c:tx>
          <c:spPr>
            <a:ln w="28575" cap="rnd">
              <a:solidFill>
                <a:srgbClr val="00B050"/>
              </a:solidFill>
              <a:prstDash val="lgDash"/>
              <a:round/>
            </a:ln>
            <a:effectLst/>
          </c:spPr>
          <c:marker>
            <c:symbol val="circle"/>
            <c:size val="5"/>
            <c:spPr>
              <a:solidFill>
                <a:srgbClr val="00B050"/>
              </a:solidFill>
              <a:ln w="9525">
                <a:solidFill>
                  <a:srgbClr val="00B05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Tranportation'!$A$35:$A$37</c:f>
              <c:strCache>
                <c:ptCount val="3"/>
                <c:pt idx="0">
                  <c:v>2016/17</c:v>
                </c:pt>
                <c:pt idx="1">
                  <c:v>2017/18</c:v>
                </c:pt>
                <c:pt idx="2">
                  <c:v>2018/19</c:v>
                </c:pt>
              </c:strCache>
            </c:strRef>
          </c:cat>
          <c:val>
            <c:numRef>
              <c:f>'Roads &amp; Tranportation'!$C$35:$C$37</c:f>
              <c:numCache>
                <c:formatCode>0</c:formatCode>
                <c:ptCount val="3"/>
                <c:pt idx="0">
                  <c:v>57</c:v>
                </c:pt>
                <c:pt idx="1">
                  <c:v>78</c:v>
                </c:pt>
                <c:pt idx="2">
                  <c:v>43</c:v>
                </c:pt>
              </c:numCache>
            </c:numRef>
          </c:val>
          <c:smooth val="0"/>
          <c:extLst>
            <c:ext xmlns:c16="http://schemas.microsoft.com/office/drawing/2014/chart" uri="{C3380CC4-5D6E-409C-BE32-E72D297353CC}">
              <c16:uniqueId val="{00000000-98DD-4101-85A6-C3428212AEC9}"/>
            </c:ext>
          </c:extLst>
        </c:ser>
        <c:dLbls>
          <c:dLblPos val="b"/>
          <c:showLegendKey val="0"/>
          <c:showVal val="1"/>
          <c:showCatName val="0"/>
          <c:showSerName val="0"/>
          <c:showPercent val="0"/>
          <c:showBubbleSize val="0"/>
        </c:dLbls>
        <c:marker val="1"/>
        <c:smooth val="0"/>
        <c:axId val="123139360"/>
        <c:axId val="123303624"/>
      </c:lineChart>
      <c:catAx>
        <c:axId val="12313936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3303624"/>
        <c:crosses val="autoZero"/>
        <c:auto val="1"/>
        <c:lblAlgn val="ctr"/>
        <c:lblOffset val="100"/>
        <c:noMultiLvlLbl val="0"/>
      </c:catAx>
      <c:valAx>
        <c:axId val="123303624"/>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31393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000"/>
              <a:t>Average WDL per FTE </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r>
              <a:rPr lang="en-GB" sz="1000" b="0" i="0" baseline="0">
                <a:effectLst/>
              </a:rPr>
              <a:t>Roads &amp; Transportation</a:t>
            </a:r>
            <a:endParaRPr lang="en-GB" sz="1000">
              <a:effectLst/>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GB" sz="1000"/>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manualLayout>
          <c:layoutTarget val="inner"/>
          <c:xMode val="edge"/>
          <c:yMode val="edge"/>
          <c:x val="8.3226159230096242E-2"/>
          <c:y val="0.22054296833561426"/>
          <c:w val="0.87857939632545934"/>
          <c:h val="0.52295946323882037"/>
        </c:manualLayout>
      </c:layout>
      <c:lineChart>
        <c:grouping val="standard"/>
        <c:varyColors val="0"/>
        <c:ser>
          <c:idx val="0"/>
          <c:order val="0"/>
          <c:tx>
            <c:strRef>
              <c:f>'Roads &amp; Tranportation'!$B$49</c:f>
              <c:strCache>
                <c:ptCount val="1"/>
                <c:pt idx="0">
                  <c:v>Fife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Tranportation'!$A$50:$A$52</c:f>
              <c:strCache>
                <c:ptCount val="3"/>
                <c:pt idx="0">
                  <c:v>2016/17</c:v>
                </c:pt>
                <c:pt idx="1">
                  <c:v>2017/18</c:v>
                </c:pt>
                <c:pt idx="2">
                  <c:v>2018/19</c:v>
                </c:pt>
              </c:strCache>
            </c:strRef>
          </c:cat>
          <c:val>
            <c:numRef>
              <c:f>'Roads &amp; Tranportation'!$B$50:$B$52</c:f>
              <c:numCache>
                <c:formatCode>0.00</c:formatCode>
                <c:ptCount val="3"/>
                <c:pt idx="0">
                  <c:v>10.130000000000001</c:v>
                </c:pt>
                <c:pt idx="1">
                  <c:v>11.78</c:v>
                </c:pt>
                <c:pt idx="2">
                  <c:v>11.59</c:v>
                </c:pt>
              </c:numCache>
            </c:numRef>
          </c:val>
          <c:smooth val="0"/>
          <c:extLst>
            <c:ext xmlns:c16="http://schemas.microsoft.com/office/drawing/2014/chart" uri="{C3380CC4-5D6E-409C-BE32-E72D297353CC}">
              <c16:uniqueId val="{00000000-3DB8-4039-9093-D8875BD2A7C2}"/>
            </c:ext>
          </c:extLst>
        </c:ser>
        <c:ser>
          <c:idx val="1"/>
          <c:order val="1"/>
          <c:tx>
            <c:strRef>
              <c:f>'Roads &amp; Tranportation'!$C$49</c:f>
              <c:strCache>
                <c:ptCount val="1"/>
                <c:pt idx="0">
                  <c:v>Roads &amp; Transportation</c:v>
                </c:pt>
              </c:strCache>
            </c:strRef>
          </c:tx>
          <c:spPr>
            <a:ln w="28575" cap="rnd">
              <a:solidFill>
                <a:srgbClr val="00B050"/>
              </a:solidFill>
              <a:prstDash val="lgDash"/>
              <a:round/>
            </a:ln>
            <a:effectLst/>
          </c:spPr>
          <c:marker>
            <c:symbol val="circle"/>
            <c:size val="5"/>
            <c:spPr>
              <a:solidFill>
                <a:srgbClr val="00B050"/>
              </a:solidFill>
              <a:ln w="9525">
                <a:solidFill>
                  <a:srgbClr val="00B05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Tranportation'!$A$50:$A$52</c:f>
              <c:strCache>
                <c:ptCount val="3"/>
                <c:pt idx="0">
                  <c:v>2016/17</c:v>
                </c:pt>
                <c:pt idx="1">
                  <c:v>2017/18</c:v>
                </c:pt>
                <c:pt idx="2">
                  <c:v>2018/19</c:v>
                </c:pt>
              </c:strCache>
            </c:strRef>
          </c:cat>
          <c:val>
            <c:numRef>
              <c:f>'Roads &amp; Tranportation'!$C$50:$C$52</c:f>
              <c:numCache>
                <c:formatCode>0.00</c:formatCode>
                <c:ptCount val="3"/>
                <c:pt idx="1">
                  <c:v>16.399999999999999</c:v>
                </c:pt>
                <c:pt idx="2" formatCode="General">
                  <c:v>17.93</c:v>
                </c:pt>
              </c:numCache>
            </c:numRef>
          </c:val>
          <c:smooth val="0"/>
          <c:extLst>
            <c:ext xmlns:c16="http://schemas.microsoft.com/office/drawing/2014/chart" uri="{C3380CC4-5D6E-409C-BE32-E72D297353CC}">
              <c16:uniqueId val="{00000001-3DB8-4039-9093-D8875BD2A7C2}"/>
            </c:ext>
          </c:extLst>
        </c:ser>
        <c:dLbls>
          <c:dLblPos val="b"/>
          <c:showLegendKey val="0"/>
          <c:showVal val="1"/>
          <c:showCatName val="0"/>
          <c:showSerName val="0"/>
          <c:showPercent val="0"/>
          <c:showBubbleSize val="0"/>
        </c:dLbls>
        <c:marker val="1"/>
        <c:smooth val="0"/>
        <c:axId val="123944544"/>
        <c:axId val="123319832"/>
      </c:lineChart>
      <c:catAx>
        <c:axId val="12394454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3319832"/>
        <c:crosses val="autoZero"/>
        <c:auto val="1"/>
        <c:lblAlgn val="ctr"/>
        <c:lblOffset val="100"/>
        <c:noMultiLvlLbl val="0"/>
      </c:catAx>
      <c:valAx>
        <c:axId val="123319832"/>
        <c:scaling>
          <c:orientation val="minMax"/>
          <c:max val="2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3944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000"/>
              <a:t>LT WDL per FTE </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r>
              <a:rPr lang="en-GB" sz="1000" b="0" i="0" baseline="0">
                <a:effectLst/>
              </a:rPr>
              <a:t>Roads &amp; Transportation</a:t>
            </a:r>
            <a:endParaRPr lang="en-GB" sz="1000">
              <a:effectLst/>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GB" sz="1000"/>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manualLayout>
          <c:layoutTarget val="inner"/>
          <c:xMode val="edge"/>
          <c:yMode val="edge"/>
          <c:x val="7.9753937007874018E-2"/>
          <c:y val="0.20940866319077622"/>
          <c:w val="0.88205161854768155"/>
          <c:h val="0.5340937683836583"/>
        </c:manualLayout>
      </c:layout>
      <c:lineChart>
        <c:grouping val="standard"/>
        <c:varyColors val="0"/>
        <c:ser>
          <c:idx val="0"/>
          <c:order val="0"/>
          <c:tx>
            <c:strRef>
              <c:f>'Roads &amp; Tranportation'!$B$64</c:f>
              <c:strCache>
                <c:ptCount val="1"/>
                <c:pt idx="0">
                  <c:v>Fife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Tranportation'!$A$65:$A$67</c:f>
              <c:strCache>
                <c:ptCount val="3"/>
                <c:pt idx="0">
                  <c:v>2016/17</c:v>
                </c:pt>
                <c:pt idx="1">
                  <c:v>2017/18</c:v>
                </c:pt>
                <c:pt idx="2">
                  <c:v>2018/19</c:v>
                </c:pt>
              </c:strCache>
            </c:strRef>
          </c:cat>
          <c:val>
            <c:numRef>
              <c:f>'Roads &amp; Tranportation'!$B$65:$B$67</c:f>
              <c:numCache>
                <c:formatCode>0.00</c:formatCode>
                <c:ptCount val="3"/>
                <c:pt idx="0">
                  <c:v>6.88</c:v>
                </c:pt>
                <c:pt idx="1">
                  <c:v>7.79</c:v>
                </c:pt>
                <c:pt idx="2">
                  <c:v>7.76</c:v>
                </c:pt>
              </c:numCache>
            </c:numRef>
          </c:val>
          <c:smooth val="0"/>
          <c:extLst>
            <c:ext xmlns:c16="http://schemas.microsoft.com/office/drawing/2014/chart" uri="{C3380CC4-5D6E-409C-BE32-E72D297353CC}">
              <c16:uniqueId val="{00000000-BE82-4B48-81E6-8A38D40AD7DE}"/>
            </c:ext>
          </c:extLst>
        </c:ser>
        <c:ser>
          <c:idx val="1"/>
          <c:order val="1"/>
          <c:tx>
            <c:strRef>
              <c:f>'Roads &amp; Tranportation'!$C$64</c:f>
              <c:strCache>
                <c:ptCount val="1"/>
                <c:pt idx="0">
                  <c:v>Roads &amp; Transportation</c:v>
                </c:pt>
              </c:strCache>
            </c:strRef>
          </c:tx>
          <c:spPr>
            <a:ln w="28575" cap="rnd">
              <a:solidFill>
                <a:srgbClr val="00B050"/>
              </a:solidFill>
              <a:prstDash val="lgDash"/>
              <a:round/>
            </a:ln>
            <a:effectLst/>
          </c:spPr>
          <c:marker>
            <c:symbol val="circle"/>
            <c:size val="5"/>
            <c:spPr>
              <a:solidFill>
                <a:srgbClr val="00B050"/>
              </a:solidFill>
              <a:ln w="9525">
                <a:solidFill>
                  <a:srgbClr val="00B05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Tranportation'!$A$65:$A$67</c:f>
              <c:strCache>
                <c:ptCount val="3"/>
                <c:pt idx="0">
                  <c:v>2016/17</c:v>
                </c:pt>
                <c:pt idx="1">
                  <c:v>2017/18</c:v>
                </c:pt>
                <c:pt idx="2">
                  <c:v>2018/19</c:v>
                </c:pt>
              </c:strCache>
            </c:strRef>
          </c:cat>
          <c:val>
            <c:numRef>
              <c:f>'Roads &amp; Tranportation'!$C$65:$C$67</c:f>
              <c:numCache>
                <c:formatCode>0.00</c:formatCode>
                <c:ptCount val="3"/>
                <c:pt idx="1">
                  <c:v>11.7</c:v>
                </c:pt>
                <c:pt idx="2" formatCode="General">
                  <c:v>13.12</c:v>
                </c:pt>
              </c:numCache>
            </c:numRef>
          </c:val>
          <c:smooth val="0"/>
          <c:extLst>
            <c:ext xmlns:c16="http://schemas.microsoft.com/office/drawing/2014/chart" uri="{C3380CC4-5D6E-409C-BE32-E72D297353CC}">
              <c16:uniqueId val="{00000001-BE82-4B48-81E6-8A38D40AD7DE}"/>
            </c:ext>
          </c:extLst>
        </c:ser>
        <c:dLbls>
          <c:dLblPos val="b"/>
          <c:showLegendKey val="0"/>
          <c:showVal val="1"/>
          <c:showCatName val="0"/>
          <c:showSerName val="0"/>
          <c:showPercent val="0"/>
          <c:showBubbleSize val="0"/>
        </c:dLbls>
        <c:marker val="1"/>
        <c:smooth val="0"/>
        <c:axId val="123341152"/>
        <c:axId val="123348448"/>
      </c:lineChart>
      <c:catAx>
        <c:axId val="12334115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3348448"/>
        <c:crosses val="autoZero"/>
        <c:auto val="1"/>
        <c:lblAlgn val="ctr"/>
        <c:lblOffset val="100"/>
        <c:noMultiLvlLbl val="0"/>
      </c:catAx>
      <c:valAx>
        <c:axId val="123348448"/>
        <c:scaling>
          <c:orientation val="minMax"/>
          <c:max val="2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3341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a:t>Percentage of new businesses surviving at least 3 years</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694143700787402"/>
          <c:y val="0.17929036777398938"/>
          <c:w val="0.85486411854768152"/>
          <c:h val="0.63658504724189235"/>
        </c:manualLayout>
      </c:layout>
      <c:lineChart>
        <c:grouping val="standard"/>
        <c:varyColors val="0"/>
        <c:ser>
          <c:idx val="0"/>
          <c:order val="0"/>
          <c:tx>
            <c:strRef>
              <c:f>'B&amp;E'!$B$129</c:f>
              <c:strCache>
                <c:ptCount val="1"/>
                <c:pt idx="0">
                  <c:v>Fife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'B&amp;E'!$A$130:$A$133</c:f>
              <c:numCache>
                <c:formatCode>General</c:formatCode>
                <c:ptCount val="4"/>
                <c:pt idx="0">
                  <c:v>2014</c:v>
                </c:pt>
                <c:pt idx="1">
                  <c:v>2015</c:v>
                </c:pt>
                <c:pt idx="2">
                  <c:v>2016</c:v>
                </c:pt>
                <c:pt idx="3">
                  <c:v>2017</c:v>
                </c:pt>
              </c:numCache>
            </c:numRef>
          </c:cat>
          <c:val>
            <c:numRef>
              <c:f>'B&amp;E'!$B$130:$B$133</c:f>
              <c:numCache>
                <c:formatCode>0.0</c:formatCode>
                <c:ptCount val="4"/>
                <c:pt idx="0">
                  <c:v>63.4</c:v>
                </c:pt>
                <c:pt idx="1">
                  <c:v>63</c:v>
                </c:pt>
                <c:pt idx="2">
                  <c:v>62</c:v>
                </c:pt>
                <c:pt idx="3">
                  <c:v>62</c:v>
                </c:pt>
              </c:numCache>
            </c:numRef>
          </c:val>
          <c:smooth val="0"/>
          <c:extLst>
            <c:ext xmlns:c16="http://schemas.microsoft.com/office/drawing/2014/chart" uri="{C3380CC4-5D6E-409C-BE32-E72D297353CC}">
              <c16:uniqueId val="{00000000-2CF2-4850-B2FD-E9197B624D38}"/>
            </c:ext>
          </c:extLst>
        </c:ser>
        <c:ser>
          <c:idx val="1"/>
          <c:order val="1"/>
          <c:tx>
            <c:strRef>
              <c:f>'B&amp;E'!$C$129</c:f>
              <c:strCache>
                <c:ptCount val="1"/>
                <c:pt idx="0">
                  <c:v>Scotland</c:v>
                </c:pt>
              </c:strCache>
            </c:strRef>
          </c:tx>
          <c:spPr>
            <a:ln w="28575" cap="rnd">
              <a:solidFill>
                <a:schemeClr val="bg1">
                  <a:lumMod val="50000"/>
                </a:schemeClr>
              </a:solidFill>
              <a:prstDash val="sysDot"/>
              <a:round/>
            </a:ln>
            <a:effectLst/>
          </c:spPr>
          <c:marker>
            <c:symbol val="circle"/>
            <c:size val="5"/>
            <c:spPr>
              <a:solidFill>
                <a:schemeClr val="bg1">
                  <a:lumMod val="50000"/>
                </a:schemeClr>
              </a:solidFill>
              <a:ln w="9525">
                <a:solidFill>
                  <a:schemeClr val="bg1">
                    <a:lumMod val="5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'B&amp;E'!$A$130:$A$133</c:f>
              <c:numCache>
                <c:formatCode>General</c:formatCode>
                <c:ptCount val="4"/>
                <c:pt idx="0">
                  <c:v>2014</c:v>
                </c:pt>
                <c:pt idx="1">
                  <c:v>2015</c:v>
                </c:pt>
                <c:pt idx="2">
                  <c:v>2016</c:v>
                </c:pt>
                <c:pt idx="3">
                  <c:v>2017</c:v>
                </c:pt>
              </c:numCache>
            </c:numRef>
          </c:cat>
          <c:val>
            <c:numRef>
              <c:f>'B&amp;E'!$C$130:$C$133</c:f>
              <c:numCache>
                <c:formatCode>0.0</c:formatCode>
                <c:ptCount val="4"/>
                <c:pt idx="0">
                  <c:v>62.8</c:v>
                </c:pt>
                <c:pt idx="1">
                  <c:v>62</c:v>
                </c:pt>
                <c:pt idx="2">
                  <c:v>62.1</c:v>
                </c:pt>
                <c:pt idx="3">
                  <c:v>60</c:v>
                </c:pt>
              </c:numCache>
            </c:numRef>
          </c:val>
          <c:smooth val="0"/>
          <c:extLst>
            <c:ext xmlns:c16="http://schemas.microsoft.com/office/drawing/2014/chart" uri="{C3380CC4-5D6E-409C-BE32-E72D297353CC}">
              <c16:uniqueId val="{00000001-2CF2-4850-B2FD-E9197B624D38}"/>
            </c:ext>
          </c:extLst>
        </c:ser>
        <c:dLbls>
          <c:dLblPos val="t"/>
          <c:showLegendKey val="0"/>
          <c:showVal val="1"/>
          <c:showCatName val="0"/>
          <c:showSerName val="0"/>
          <c:showPercent val="0"/>
          <c:showBubbleSize val="0"/>
        </c:dLbls>
        <c:marker val="1"/>
        <c:smooth val="0"/>
        <c:axId val="408998648"/>
        <c:axId val="408999040"/>
      </c:lineChart>
      <c:catAx>
        <c:axId val="40899864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8999040"/>
        <c:crosses val="autoZero"/>
        <c:auto val="1"/>
        <c:lblAlgn val="ctr"/>
        <c:lblOffset val="100"/>
        <c:noMultiLvlLbl val="0"/>
      </c:catAx>
      <c:valAx>
        <c:axId val="4089990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8998648"/>
        <c:crosses val="autoZero"/>
        <c:crossBetween val="between"/>
      </c:valAx>
      <c:spPr>
        <a:noFill/>
        <a:ln>
          <a:noFill/>
        </a:ln>
        <a:effectLst/>
      </c:spPr>
    </c:plotArea>
    <c:legend>
      <c:legendPos val="b"/>
      <c:layout>
        <c:manualLayout>
          <c:xMode val="edge"/>
          <c:yMode val="edge"/>
          <c:x val="0.28202701224846893"/>
          <c:y val="0.90605364280272382"/>
          <c:w val="0.44983459098862638"/>
          <c:h val="9.394635719727623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000"/>
              <a:t>% Absence Rate</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r>
              <a:rPr lang="en-GB" sz="1000" b="0" i="0" baseline="0">
                <a:effectLst/>
              </a:rPr>
              <a:t>Roads &amp; Transportation</a:t>
            </a:r>
            <a:endParaRPr lang="en-GB" sz="1000">
              <a:effectLst/>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GB" sz="1000"/>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manualLayout>
          <c:layoutTarget val="inner"/>
          <c:xMode val="edge"/>
          <c:yMode val="edge"/>
          <c:x val="8.3226159230096242E-2"/>
          <c:y val="0.22611012090803329"/>
          <c:w val="0.87857939632545934"/>
          <c:h val="0.51739231066640146"/>
        </c:manualLayout>
      </c:layout>
      <c:lineChart>
        <c:grouping val="standard"/>
        <c:varyColors val="0"/>
        <c:ser>
          <c:idx val="0"/>
          <c:order val="0"/>
          <c:tx>
            <c:strRef>
              <c:f>'Roads &amp; Tranportation'!$B$79</c:f>
              <c:strCache>
                <c:ptCount val="1"/>
                <c:pt idx="0">
                  <c:v>Fife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Tranportation'!$A$80:$A$82</c:f>
              <c:strCache>
                <c:ptCount val="3"/>
                <c:pt idx="0">
                  <c:v>2016/17</c:v>
                </c:pt>
                <c:pt idx="1">
                  <c:v>2017/18</c:v>
                </c:pt>
                <c:pt idx="2">
                  <c:v>2018/19</c:v>
                </c:pt>
              </c:strCache>
            </c:strRef>
          </c:cat>
          <c:val>
            <c:numRef>
              <c:f>'Roads &amp; Tranportation'!$B$80:$B$82</c:f>
              <c:numCache>
                <c:formatCode>0.00</c:formatCode>
                <c:ptCount val="3"/>
                <c:pt idx="0">
                  <c:v>4.67</c:v>
                </c:pt>
                <c:pt idx="1">
                  <c:v>5.43</c:v>
                </c:pt>
                <c:pt idx="2">
                  <c:v>5.3</c:v>
                </c:pt>
              </c:numCache>
            </c:numRef>
          </c:val>
          <c:smooth val="0"/>
          <c:extLst>
            <c:ext xmlns:c16="http://schemas.microsoft.com/office/drawing/2014/chart" uri="{C3380CC4-5D6E-409C-BE32-E72D297353CC}">
              <c16:uniqueId val="{00000000-DA8D-4869-9116-33ABF6C10280}"/>
            </c:ext>
          </c:extLst>
        </c:ser>
        <c:ser>
          <c:idx val="1"/>
          <c:order val="1"/>
          <c:tx>
            <c:strRef>
              <c:f>'Roads &amp; Tranportation'!$C$79</c:f>
              <c:strCache>
                <c:ptCount val="1"/>
                <c:pt idx="0">
                  <c:v>Roads &amp; Transportation</c:v>
                </c:pt>
              </c:strCache>
            </c:strRef>
          </c:tx>
          <c:spPr>
            <a:ln w="28575" cap="rnd">
              <a:solidFill>
                <a:srgbClr val="00B050"/>
              </a:solidFill>
              <a:prstDash val="lgDash"/>
              <a:round/>
            </a:ln>
            <a:effectLst/>
          </c:spPr>
          <c:marker>
            <c:symbol val="circle"/>
            <c:size val="5"/>
            <c:spPr>
              <a:solidFill>
                <a:srgbClr val="00B050"/>
              </a:solidFill>
              <a:ln w="9525">
                <a:solidFill>
                  <a:srgbClr val="00B050"/>
                </a:solidFill>
                <a:prstDash val="lgDash"/>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Tranportation'!$A$80:$A$82</c:f>
              <c:strCache>
                <c:ptCount val="3"/>
                <c:pt idx="0">
                  <c:v>2016/17</c:v>
                </c:pt>
                <c:pt idx="1">
                  <c:v>2017/18</c:v>
                </c:pt>
                <c:pt idx="2">
                  <c:v>2018/19</c:v>
                </c:pt>
              </c:strCache>
            </c:strRef>
          </c:cat>
          <c:val>
            <c:numRef>
              <c:f>'Roads &amp; Tranportation'!$C$80:$C$82</c:f>
              <c:numCache>
                <c:formatCode>0.00</c:formatCode>
                <c:ptCount val="3"/>
                <c:pt idx="1">
                  <c:v>7.36</c:v>
                </c:pt>
                <c:pt idx="2" formatCode="General">
                  <c:v>8.02</c:v>
                </c:pt>
              </c:numCache>
            </c:numRef>
          </c:val>
          <c:smooth val="0"/>
          <c:extLst>
            <c:ext xmlns:c16="http://schemas.microsoft.com/office/drawing/2014/chart" uri="{C3380CC4-5D6E-409C-BE32-E72D297353CC}">
              <c16:uniqueId val="{00000001-DA8D-4869-9116-33ABF6C10280}"/>
            </c:ext>
          </c:extLst>
        </c:ser>
        <c:dLbls>
          <c:dLblPos val="b"/>
          <c:showLegendKey val="0"/>
          <c:showVal val="1"/>
          <c:showCatName val="0"/>
          <c:showSerName val="0"/>
          <c:showPercent val="0"/>
          <c:showBubbleSize val="0"/>
        </c:dLbls>
        <c:marker val="1"/>
        <c:smooth val="0"/>
        <c:axId val="122189280"/>
        <c:axId val="122189672"/>
      </c:lineChart>
      <c:catAx>
        <c:axId val="12218928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189672"/>
        <c:crosses val="autoZero"/>
        <c:auto val="1"/>
        <c:lblAlgn val="ctr"/>
        <c:lblOffset val="100"/>
        <c:noMultiLvlLbl val="0"/>
      </c:catAx>
      <c:valAx>
        <c:axId val="122189672"/>
        <c:scaling>
          <c:orientation val="minMax"/>
          <c:max val="2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189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a:t>Percentage of Road Safety Defect Repairs - Category A </a:t>
            </a:r>
          </a:p>
          <a:p>
            <a:pPr>
              <a:defRPr sz="1000"/>
            </a:pPr>
            <a:r>
              <a:rPr lang="en-GB" sz="1000"/>
              <a:t>(same day repair) (Fife-wide)</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'Roads &amp; Tranportation'!$B$94</c:f>
              <c:strCache>
                <c:ptCount val="1"/>
                <c:pt idx="0">
                  <c:v>Category 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Tranportation'!$A$96:$A$99</c:f>
              <c:strCache>
                <c:ptCount val="4"/>
                <c:pt idx="0">
                  <c:v>2015/16</c:v>
                </c:pt>
                <c:pt idx="1">
                  <c:v>2016/17</c:v>
                </c:pt>
                <c:pt idx="2">
                  <c:v>2017/18</c:v>
                </c:pt>
                <c:pt idx="3">
                  <c:v>2018/19</c:v>
                </c:pt>
              </c:strCache>
            </c:strRef>
          </c:cat>
          <c:val>
            <c:numRef>
              <c:f>'Roads &amp; Tranportation'!$B$96:$B$99</c:f>
              <c:numCache>
                <c:formatCode>0.0</c:formatCode>
                <c:ptCount val="4"/>
                <c:pt idx="0">
                  <c:v>98.9</c:v>
                </c:pt>
                <c:pt idx="1">
                  <c:v>94.5</c:v>
                </c:pt>
                <c:pt idx="2">
                  <c:v>76.3</c:v>
                </c:pt>
                <c:pt idx="3">
                  <c:v>77.099999999999994</c:v>
                </c:pt>
              </c:numCache>
            </c:numRef>
          </c:val>
          <c:smooth val="0"/>
          <c:extLst>
            <c:ext xmlns:c16="http://schemas.microsoft.com/office/drawing/2014/chart" uri="{C3380CC4-5D6E-409C-BE32-E72D297353CC}">
              <c16:uniqueId val="{00000000-6F29-4C9D-9369-D18D1B339159}"/>
            </c:ext>
          </c:extLst>
        </c:ser>
        <c:dLbls>
          <c:dLblPos val="t"/>
          <c:showLegendKey val="0"/>
          <c:showVal val="1"/>
          <c:showCatName val="0"/>
          <c:showSerName val="0"/>
          <c:showPercent val="0"/>
          <c:showBubbleSize val="0"/>
        </c:dLbls>
        <c:marker val="1"/>
        <c:smooth val="0"/>
        <c:axId val="296919256"/>
        <c:axId val="296919648"/>
      </c:lineChart>
      <c:catAx>
        <c:axId val="29691925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6919648"/>
        <c:crosses val="autoZero"/>
        <c:auto val="1"/>
        <c:lblAlgn val="ctr"/>
        <c:lblOffset val="100"/>
        <c:noMultiLvlLbl val="0"/>
      </c:catAx>
      <c:valAx>
        <c:axId val="296919648"/>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69192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000"/>
              <a:t>Percentage of Road Safety Defect Repairs - Category B (Repair within 5 elapsed days) (Fife-wide)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'Roads &amp; Tranportation'!$C$109</c:f>
              <c:strCache>
                <c:ptCount val="1"/>
                <c:pt idx="0">
                  <c:v>Category B</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Tranportation'!$A$111:$A$114</c:f>
              <c:strCache>
                <c:ptCount val="4"/>
                <c:pt idx="0">
                  <c:v>2015/16</c:v>
                </c:pt>
                <c:pt idx="1">
                  <c:v>2016/17</c:v>
                </c:pt>
                <c:pt idx="2">
                  <c:v>2017/18</c:v>
                </c:pt>
                <c:pt idx="3">
                  <c:v>2018/19</c:v>
                </c:pt>
              </c:strCache>
            </c:strRef>
          </c:cat>
          <c:val>
            <c:numRef>
              <c:f>'Roads &amp; Tranportation'!$C$111:$C$114</c:f>
              <c:numCache>
                <c:formatCode>0.0</c:formatCode>
                <c:ptCount val="4"/>
                <c:pt idx="0">
                  <c:v>91.1</c:v>
                </c:pt>
                <c:pt idx="1">
                  <c:v>79.5</c:v>
                </c:pt>
                <c:pt idx="2">
                  <c:v>66.2</c:v>
                </c:pt>
                <c:pt idx="3">
                  <c:v>57.2</c:v>
                </c:pt>
              </c:numCache>
            </c:numRef>
          </c:val>
          <c:smooth val="0"/>
          <c:extLst>
            <c:ext xmlns:c16="http://schemas.microsoft.com/office/drawing/2014/chart" uri="{C3380CC4-5D6E-409C-BE32-E72D297353CC}">
              <c16:uniqueId val="{00000000-0D9C-4C76-9956-23F657D21625}"/>
            </c:ext>
          </c:extLst>
        </c:ser>
        <c:dLbls>
          <c:dLblPos val="t"/>
          <c:showLegendKey val="0"/>
          <c:showVal val="1"/>
          <c:showCatName val="0"/>
          <c:showSerName val="0"/>
          <c:showPercent val="0"/>
          <c:showBubbleSize val="0"/>
        </c:dLbls>
        <c:marker val="1"/>
        <c:smooth val="0"/>
        <c:axId val="296920432"/>
        <c:axId val="296920824"/>
      </c:lineChart>
      <c:catAx>
        <c:axId val="29692043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6920824"/>
        <c:crosses val="autoZero"/>
        <c:auto val="1"/>
        <c:lblAlgn val="ctr"/>
        <c:lblOffset val="100"/>
        <c:noMultiLvlLbl val="0"/>
      </c:catAx>
      <c:valAx>
        <c:axId val="296920824"/>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69204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000"/>
              <a:t>Percentage of Roads Lighting Repairs completed within 7 elapsed days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'Roads &amp; Tranportation'!$C$124</c:f>
              <c:strCache>
                <c:ptCount val="1"/>
                <c:pt idx="0">
                  <c:v>Roads &amp; Transportation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Tranportation'!$A$125:$A$128</c:f>
              <c:strCache>
                <c:ptCount val="4"/>
                <c:pt idx="0">
                  <c:v>2015/16</c:v>
                </c:pt>
                <c:pt idx="1">
                  <c:v>2016/17</c:v>
                </c:pt>
                <c:pt idx="2">
                  <c:v>2017/18</c:v>
                </c:pt>
                <c:pt idx="3">
                  <c:v>2018/19</c:v>
                </c:pt>
              </c:strCache>
            </c:strRef>
          </c:cat>
          <c:val>
            <c:numRef>
              <c:f>'Roads &amp; Tranportation'!$C$125:$C$128</c:f>
              <c:numCache>
                <c:formatCode>0.0</c:formatCode>
                <c:ptCount val="4"/>
                <c:pt idx="0">
                  <c:v>97.8</c:v>
                </c:pt>
                <c:pt idx="1">
                  <c:v>96.8</c:v>
                </c:pt>
                <c:pt idx="2">
                  <c:v>93.9</c:v>
                </c:pt>
                <c:pt idx="3">
                  <c:v>93.8</c:v>
                </c:pt>
              </c:numCache>
            </c:numRef>
          </c:val>
          <c:smooth val="0"/>
          <c:extLst>
            <c:ext xmlns:c16="http://schemas.microsoft.com/office/drawing/2014/chart" uri="{C3380CC4-5D6E-409C-BE32-E72D297353CC}">
              <c16:uniqueId val="{00000000-9D24-4628-9197-7056CE2A4555}"/>
            </c:ext>
          </c:extLst>
        </c:ser>
        <c:dLbls>
          <c:dLblPos val="t"/>
          <c:showLegendKey val="0"/>
          <c:showVal val="1"/>
          <c:showCatName val="0"/>
          <c:showSerName val="0"/>
          <c:showPercent val="0"/>
          <c:showBubbleSize val="0"/>
        </c:dLbls>
        <c:marker val="1"/>
        <c:smooth val="0"/>
        <c:axId val="296922784"/>
        <c:axId val="296923176"/>
      </c:lineChart>
      <c:catAx>
        <c:axId val="29692278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6923176"/>
        <c:crosses val="autoZero"/>
        <c:auto val="1"/>
        <c:lblAlgn val="ctr"/>
        <c:lblOffset val="100"/>
        <c:noMultiLvlLbl val="0"/>
      </c:catAx>
      <c:valAx>
        <c:axId val="296923176"/>
        <c:scaling>
          <c:orientation val="minMax"/>
          <c:max val="100"/>
          <c:min val="8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69227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000"/>
              <a:t>Percentage of Traffic Signal Repairs completed within 48 elapsed hours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'Roads &amp; Tranportation'!$C$139</c:f>
              <c:strCache>
                <c:ptCount val="1"/>
                <c:pt idx="0">
                  <c:v>Roads &amp; Transportation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Tranportation'!$A$140:$A$143</c:f>
              <c:strCache>
                <c:ptCount val="4"/>
                <c:pt idx="0">
                  <c:v>2015/16</c:v>
                </c:pt>
                <c:pt idx="1">
                  <c:v>2016/17</c:v>
                </c:pt>
                <c:pt idx="2">
                  <c:v>2017/18</c:v>
                </c:pt>
                <c:pt idx="3">
                  <c:v>2018/19</c:v>
                </c:pt>
              </c:strCache>
            </c:strRef>
          </c:cat>
          <c:val>
            <c:numRef>
              <c:f>'Roads &amp; Tranportation'!$C$140:$C$143</c:f>
              <c:numCache>
                <c:formatCode>0.0</c:formatCode>
                <c:ptCount val="4"/>
                <c:pt idx="0">
                  <c:v>100</c:v>
                </c:pt>
                <c:pt idx="1">
                  <c:v>99.7</c:v>
                </c:pt>
                <c:pt idx="2">
                  <c:v>99.5</c:v>
                </c:pt>
                <c:pt idx="3">
                  <c:v>97.5</c:v>
                </c:pt>
              </c:numCache>
            </c:numRef>
          </c:val>
          <c:smooth val="0"/>
          <c:extLst>
            <c:ext xmlns:c16="http://schemas.microsoft.com/office/drawing/2014/chart" uri="{C3380CC4-5D6E-409C-BE32-E72D297353CC}">
              <c16:uniqueId val="{00000000-24EC-4C9D-B01F-B1ED9A23C1C6}"/>
            </c:ext>
          </c:extLst>
        </c:ser>
        <c:dLbls>
          <c:dLblPos val="b"/>
          <c:showLegendKey val="0"/>
          <c:showVal val="1"/>
          <c:showCatName val="0"/>
          <c:showSerName val="0"/>
          <c:showPercent val="0"/>
          <c:showBubbleSize val="0"/>
        </c:dLbls>
        <c:marker val="1"/>
        <c:smooth val="0"/>
        <c:axId val="296923960"/>
        <c:axId val="296924352"/>
      </c:lineChart>
      <c:catAx>
        <c:axId val="29692396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6924352"/>
        <c:crosses val="autoZero"/>
        <c:auto val="1"/>
        <c:lblAlgn val="ctr"/>
        <c:lblOffset val="100"/>
        <c:noMultiLvlLbl val="0"/>
      </c:catAx>
      <c:valAx>
        <c:axId val="296924352"/>
        <c:scaling>
          <c:orientation val="minMax"/>
          <c:max val="100"/>
          <c:min val="8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69239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000"/>
              <a:t>Percentage of Traffic Regulation Orders implemented within 6 months for routine work</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'Roads &amp; Tranportation'!$C$154</c:f>
              <c:strCache>
                <c:ptCount val="1"/>
                <c:pt idx="0">
                  <c:v>Roads &amp; Transportation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Tranportation'!$A$156:$A$159</c:f>
              <c:strCache>
                <c:ptCount val="4"/>
                <c:pt idx="0">
                  <c:v>2015/16</c:v>
                </c:pt>
                <c:pt idx="1">
                  <c:v>2016/17</c:v>
                </c:pt>
                <c:pt idx="2">
                  <c:v>2017/18</c:v>
                </c:pt>
                <c:pt idx="3">
                  <c:v>2018/19</c:v>
                </c:pt>
              </c:strCache>
            </c:strRef>
          </c:cat>
          <c:val>
            <c:numRef>
              <c:f>'Roads &amp; Tranportation'!$C$156:$C$159</c:f>
              <c:numCache>
                <c:formatCode>0.0</c:formatCode>
                <c:ptCount val="4"/>
                <c:pt idx="0">
                  <c:v>88.6</c:v>
                </c:pt>
                <c:pt idx="1">
                  <c:v>82.9</c:v>
                </c:pt>
                <c:pt idx="2">
                  <c:v>85.7</c:v>
                </c:pt>
                <c:pt idx="3">
                  <c:v>87</c:v>
                </c:pt>
              </c:numCache>
            </c:numRef>
          </c:val>
          <c:smooth val="0"/>
          <c:extLst>
            <c:ext xmlns:c16="http://schemas.microsoft.com/office/drawing/2014/chart" uri="{C3380CC4-5D6E-409C-BE32-E72D297353CC}">
              <c16:uniqueId val="{00000000-B700-4EEA-A157-20020EEF1A2A}"/>
            </c:ext>
          </c:extLst>
        </c:ser>
        <c:dLbls>
          <c:dLblPos val="t"/>
          <c:showLegendKey val="0"/>
          <c:showVal val="1"/>
          <c:showCatName val="0"/>
          <c:showSerName val="0"/>
          <c:showPercent val="0"/>
          <c:showBubbleSize val="0"/>
        </c:dLbls>
        <c:marker val="1"/>
        <c:smooth val="0"/>
        <c:axId val="296925136"/>
        <c:axId val="296925528"/>
      </c:lineChart>
      <c:catAx>
        <c:axId val="29692513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6925528"/>
        <c:crosses val="autoZero"/>
        <c:auto val="1"/>
        <c:lblAlgn val="ctr"/>
        <c:lblOffset val="100"/>
        <c:noMultiLvlLbl val="0"/>
      </c:catAx>
      <c:valAx>
        <c:axId val="296925528"/>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69251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000"/>
              <a:t>Scottish Road Works Register Noticing Failures - </a:t>
            </a:r>
          </a:p>
          <a:p>
            <a:pPr>
              <a:defRPr/>
            </a:pPr>
            <a:r>
              <a:rPr lang="en-GB" sz="1000"/>
              <a:t>as a percentage of works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'Roads &amp; Tranportation'!$C$169</c:f>
              <c:strCache>
                <c:ptCount val="1"/>
                <c:pt idx="0">
                  <c:v>Roads &amp; Transportation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Tranportation'!$A$170:$A$173</c:f>
              <c:strCache>
                <c:ptCount val="4"/>
                <c:pt idx="0">
                  <c:v>2015/16</c:v>
                </c:pt>
                <c:pt idx="1">
                  <c:v>2016/17</c:v>
                </c:pt>
                <c:pt idx="2">
                  <c:v>2017/18</c:v>
                </c:pt>
                <c:pt idx="3">
                  <c:v>2018/19</c:v>
                </c:pt>
              </c:strCache>
            </c:strRef>
          </c:cat>
          <c:val>
            <c:numRef>
              <c:f>'Roads &amp; Tranportation'!$C$170:$C$173</c:f>
              <c:numCache>
                <c:formatCode>0.0</c:formatCode>
                <c:ptCount val="4"/>
                <c:pt idx="0">
                  <c:v>7</c:v>
                </c:pt>
                <c:pt idx="1">
                  <c:v>13.8</c:v>
                </c:pt>
                <c:pt idx="2">
                  <c:v>19.2</c:v>
                </c:pt>
                <c:pt idx="3">
                  <c:v>8.6</c:v>
                </c:pt>
              </c:numCache>
            </c:numRef>
          </c:val>
          <c:smooth val="0"/>
          <c:extLst>
            <c:ext xmlns:c16="http://schemas.microsoft.com/office/drawing/2014/chart" uri="{C3380CC4-5D6E-409C-BE32-E72D297353CC}">
              <c16:uniqueId val="{00000000-3FC7-4E8B-9D14-CABB9EFB4F0D}"/>
            </c:ext>
          </c:extLst>
        </c:ser>
        <c:dLbls>
          <c:dLblPos val="t"/>
          <c:showLegendKey val="0"/>
          <c:showVal val="1"/>
          <c:showCatName val="0"/>
          <c:showSerName val="0"/>
          <c:showPercent val="0"/>
          <c:showBubbleSize val="0"/>
        </c:dLbls>
        <c:marker val="1"/>
        <c:smooth val="0"/>
        <c:axId val="296927488"/>
        <c:axId val="296927880"/>
      </c:lineChart>
      <c:catAx>
        <c:axId val="29692748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6927880"/>
        <c:crosses val="autoZero"/>
        <c:auto val="1"/>
        <c:lblAlgn val="ctr"/>
        <c:lblOffset val="100"/>
        <c:noMultiLvlLbl val="0"/>
      </c:catAx>
      <c:valAx>
        <c:axId val="296927880"/>
        <c:scaling>
          <c:orientation val="minMax"/>
          <c:max val="25"/>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69274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000"/>
              <a:t>Percentage of pre-grits completed </a:t>
            </a:r>
          </a:p>
          <a:p>
            <a:pPr>
              <a:defRPr/>
            </a:pPr>
            <a:r>
              <a:rPr lang="en-GB" sz="1000"/>
              <a:t>within 3 hours of operations starting</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'Roads &amp; Tranportation'!$C$184</c:f>
              <c:strCache>
                <c:ptCount val="1"/>
                <c:pt idx="0">
                  <c:v>Roads &amp; Transportation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Tranportation'!$A$186:$A$189</c:f>
              <c:strCache>
                <c:ptCount val="4"/>
                <c:pt idx="0">
                  <c:v>2015/16</c:v>
                </c:pt>
                <c:pt idx="1">
                  <c:v>2016/17</c:v>
                </c:pt>
                <c:pt idx="2">
                  <c:v>2017/18</c:v>
                </c:pt>
                <c:pt idx="3">
                  <c:v>2018/19</c:v>
                </c:pt>
              </c:strCache>
            </c:strRef>
          </c:cat>
          <c:val>
            <c:numRef>
              <c:f>'Roads &amp; Tranportation'!$C$186:$C$189</c:f>
              <c:numCache>
                <c:formatCode>General</c:formatCode>
                <c:ptCount val="4"/>
                <c:pt idx="0">
                  <c:v>95.05</c:v>
                </c:pt>
                <c:pt idx="1">
                  <c:v>94.33</c:v>
                </c:pt>
                <c:pt idx="2" formatCode="0.00">
                  <c:v>87.46</c:v>
                </c:pt>
                <c:pt idx="3" formatCode="0.00">
                  <c:v>90.7</c:v>
                </c:pt>
              </c:numCache>
            </c:numRef>
          </c:val>
          <c:smooth val="0"/>
          <c:extLst>
            <c:ext xmlns:c16="http://schemas.microsoft.com/office/drawing/2014/chart" uri="{C3380CC4-5D6E-409C-BE32-E72D297353CC}">
              <c16:uniqueId val="{00000000-20E3-4639-9655-72BE484E7585}"/>
            </c:ext>
          </c:extLst>
        </c:ser>
        <c:dLbls>
          <c:dLblPos val="t"/>
          <c:showLegendKey val="0"/>
          <c:showVal val="1"/>
          <c:showCatName val="0"/>
          <c:showSerName val="0"/>
          <c:showPercent val="0"/>
          <c:showBubbleSize val="0"/>
        </c:dLbls>
        <c:marker val="1"/>
        <c:smooth val="0"/>
        <c:axId val="296921608"/>
        <c:axId val="296922000"/>
      </c:lineChart>
      <c:catAx>
        <c:axId val="29692160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6922000"/>
        <c:crosses val="autoZero"/>
        <c:auto val="1"/>
        <c:lblAlgn val="ctr"/>
        <c:lblOffset val="100"/>
        <c:noMultiLvlLbl val="0"/>
      </c:catAx>
      <c:valAx>
        <c:axId val="296922000"/>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69216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000"/>
              <a:t>Proportion of street lighting columns that are </a:t>
            </a:r>
          </a:p>
          <a:p>
            <a:pPr>
              <a:defRPr/>
            </a:pPr>
            <a:r>
              <a:rPr lang="en-GB" sz="1000"/>
              <a:t>over 30 years old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'Roads &amp; Tranportation'!$B$199</c:f>
              <c:strCache>
                <c:ptCount val="1"/>
                <c:pt idx="0">
                  <c:v>Fife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'Roads &amp; Tranportation'!$A$200:$A$203</c:f>
              <c:strCache>
                <c:ptCount val="4"/>
                <c:pt idx="0">
                  <c:v>2015/16</c:v>
                </c:pt>
                <c:pt idx="1">
                  <c:v>2016/17</c:v>
                </c:pt>
                <c:pt idx="2">
                  <c:v>2017/18</c:v>
                </c:pt>
                <c:pt idx="3">
                  <c:v>2018/19</c:v>
                </c:pt>
              </c:strCache>
            </c:strRef>
          </c:cat>
          <c:val>
            <c:numRef>
              <c:f>'Roads &amp; Tranportation'!$B$200:$B$203</c:f>
              <c:numCache>
                <c:formatCode>General</c:formatCode>
                <c:ptCount val="4"/>
              </c:numCache>
            </c:numRef>
          </c:val>
          <c:smooth val="0"/>
          <c:extLst>
            <c:ext xmlns:c16="http://schemas.microsoft.com/office/drawing/2014/chart" uri="{C3380CC4-5D6E-409C-BE32-E72D297353CC}">
              <c16:uniqueId val="{00000000-F5D9-49DC-957A-B6102E621C10}"/>
            </c:ext>
          </c:extLst>
        </c:ser>
        <c:ser>
          <c:idx val="1"/>
          <c:order val="1"/>
          <c:tx>
            <c:strRef>
              <c:f>'Roads &amp; Tranportation'!$C$199</c:f>
              <c:strCache>
                <c:ptCount val="1"/>
                <c:pt idx="0">
                  <c:v>Roads &amp; Transportation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Tranportation'!$A$200:$A$203</c:f>
              <c:strCache>
                <c:ptCount val="4"/>
                <c:pt idx="0">
                  <c:v>2015/16</c:v>
                </c:pt>
                <c:pt idx="1">
                  <c:v>2016/17</c:v>
                </c:pt>
                <c:pt idx="2">
                  <c:v>2017/18</c:v>
                </c:pt>
                <c:pt idx="3">
                  <c:v>2018/19</c:v>
                </c:pt>
              </c:strCache>
            </c:strRef>
          </c:cat>
          <c:val>
            <c:numRef>
              <c:f>'Roads &amp; Tranportation'!$C$200:$C$203</c:f>
              <c:numCache>
                <c:formatCode>0.0</c:formatCode>
                <c:ptCount val="4"/>
                <c:pt idx="0">
                  <c:v>34.14</c:v>
                </c:pt>
                <c:pt idx="1">
                  <c:v>32.96</c:v>
                </c:pt>
                <c:pt idx="2">
                  <c:v>32.049999999999997</c:v>
                </c:pt>
                <c:pt idx="3">
                  <c:v>31.16</c:v>
                </c:pt>
              </c:numCache>
            </c:numRef>
          </c:val>
          <c:smooth val="0"/>
          <c:extLst>
            <c:ext xmlns:c16="http://schemas.microsoft.com/office/drawing/2014/chart" uri="{C3380CC4-5D6E-409C-BE32-E72D297353CC}">
              <c16:uniqueId val="{00000001-F5D9-49DC-957A-B6102E621C10}"/>
            </c:ext>
          </c:extLst>
        </c:ser>
        <c:dLbls>
          <c:showLegendKey val="0"/>
          <c:showVal val="0"/>
          <c:showCatName val="0"/>
          <c:showSerName val="0"/>
          <c:showPercent val="0"/>
          <c:showBubbleSize val="0"/>
        </c:dLbls>
        <c:marker val="1"/>
        <c:smooth val="0"/>
        <c:axId val="431315008"/>
        <c:axId val="431315400"/>
      </c:lineChart>
      <c:catAx>
        <c:axId val="43131500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1315400"/>
        <c:crosses val="autoZero"/>
        <c:auto val="1"/>
        <c:lblAlgn val="ctr"/>
        <c:lblOffset val="100"/>
        <c:noMultiLvlLbl val="0"/>
      </c:catAx>
      <c:valAx>
        <c:axId val="431315400"/>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13150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a:t>Road cost per kilometre (£/km)</a:t>
            </a:r>
          </a:p>
        </c:rich>
      </c:tx>
      <c:layout>
        <c:manualLayout>
          <c:xMode val="edge"/>
          <c:yMode val="edge"/>
          <c:x val="0.30137329843505306"/>
          <c:y val="5.5555555555555558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2182226531808966"/>
          <c:y val="0.14002799650043743"/>
          <c:w val="0.83993349828270514"/>
          <c:h val="0.68178652668416451"/>
        </c:manualLayout>
      </c:layout>
      <c:lineChart>
        <c:grouping val="standard"/>
        <c:varyColors val="0"/>
        <c:ser>
          <c:idx val="0"/>
          <c:order val="0"/>
          <c:tx>
            <c:strRef>
              <c:f>'Roads &amp; Tranportation'!$B$229</c:f>
              <c:strCache>
                <c:ptCount val="1"/>
                <c:pt idx="0">
                  <c:v>Fife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Tranportation'!$A$230:$A$233</c:f>
              <c:strCache>
                <c:ptCount val="4"/>
                <c:pt idx="0">
                  <c:v>2014/15</c:v>
                </c:pt>
                <c:pt idx="1">
                  <c:v>2015/16</c:v>
                </c:pt>
                <c:pt idx="2">
                  <c:v>2016/17</c:v>
                </c:pt>
                <c:pt idx="3">
                  <c:v>2017/18</c:v>
                </c:pt>
              </c:strCache>
            </c:strRef>
          </c:cat>
          <c:val>
            <c:numRef>
              <c:f>'Roads &amp; Tranportation'!$B$230:$B$233</c:f>
              <c:numCache>
                <c:formatCode>_(* #,##0.00_);_(* \(#,##0.00\);_(* "-"??_);_(@_)</c:formatCode>
                <c:ptCount val="4"/>
                <c:pt idx="0">
                  <c:v>14901.62</c:v>
                </c:pt>
                <c:pt idx="1">
                  <c:v>11599.25</c:v>
                </c:pt>
                <c:pt idx="2">
                  <c:v>11230.58</c:v>
                </c:pt>
                <c:pt idx="3">
                  <c:v>11690.15</c:v>
                </c:pt>
              </c:numCache>
            </c:numRef>
          </c:val>
          <c:smooth val="0"/>
          <c:extLst>
            <c:ext xmlns:c16="http://schemas.microsoft.com/office/drawing/2014/chart" uri="{C3380CC4-5D6E-409C-BE32-E72D297353CC}">
              <c16:uniqueId val="{00000000-D310-42E5-8E7F-5C7C9C538868}"/>
            </c:ext>
          </c:extLst>
        </c:ser>
        <c:ser>
          <c:idx val="1"/>
          <c:order val="1"/>
          <c:tx>
            <c:strRef>
              <c:f>'Roads &amp; Tranportation'!$D$229</c:f>
              <c:strCache>
                <c:ptCount val="1"/>
                <c:pt idx="0">
                  <c:v>TQ</c:v>
                </c:pt>
              </c:strCache>
            </c:strRef>
          </c:tx>
          <c:spPr>
            <a:ln w="28575" cap="rnd">
              <a:solidFill>
                <a:schemeClr val="accent4"/>
              </a:solidFill>
              <a:prstDash val="dashDot"/>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Tranportation'!$A$230:$A$233</c:f>
              <c:strCache>
                <c:ptCount val="4"/>
                <c:pt idx="0">
                  <c:v>2014/15</c:v>
                </c:pt>
                <c:pt idx="1">
                  <c:v>2015/16</c:v>
                </c:pt>
                <c:pt idx="2">
                  <c:v>2016/17</c:v>
                </c:pt>
                <c:pt idx="3">
                  <c:v>2017/18</c:v>
                </c:pt>
              </c:strCache>
            </c:strRef>
          </c:cat>
          <c:val>
            <c:numRef>
              <c:f>'Roads &amp; Tranportation'!$D$230:$D$233</c:f>
              <c:numCache>
                <c:formatCode>_(* #,##0.00_);_(* \(#,##0.00\);_(* "-"??_);_(@_)</c:formatCode>
                <c:ptCount val="4"/>
                <c:pt idx="0">
                  <c:v>6450.56</c:v>
                </c:pt>
                <c:pt idx="1">
                  <c:v>6200.86</c:v>
                </c:pt>
                <c:pt idx="2">
                  <c:v>7636.57</c:v>
                </c:pt>
                <c:pt idx="3">
                  <c:v>7111.07</c:v>
                </c:pt>
              </c:numCache>
            </c:numRef>
          </c:val>
          <c:smooth val="0"/>
          <c:extLst>
            <c:ext xmlns:c16="http://schemas.microsoft.com/office/drawing/2014/chart" uri="{C3380CC4-5D6E-409C-BE32-E72D297353CC}">
              <c16:uniqueId val="{00000001-D310-42E5-8E7F-5C7C9C538868}"/>
            </c:ext>
          </c:extLst>
        </c:ser>
        <c:ser>
          <c:idx val="2"/>
          <c:order val="2"/>
          <c:tx>
            <c:strRef>
              <c:f>'Roads &amp; Tranportation'!$E$229</c:f>
              <c:strCache>
                <c:ptCount val="1"/>
                <c:pt idx="0">
                  <c:v>Scottish Avg</c:v>
                </c:pt>
              </c:strCache>
            </c:strRef>
          </c:tx>
          <c:spPr>
            <a:ln w="28575" cap="rnd">
              <a:solidFill>
                <a:schemeClr val="accent3"/>
              </a:solidFill>
              <a:prstDash val="sysDot"/>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Tranportation'!$A$230:$A$233</c:f>
              <c:strCache>
                <c:ptCount val="4"/>
                <c:pt idx="0">
                  <c:v>2014/15</c:v>
                </c:pt>
                <c:pt idx="1">
                  <c:v>2015/16</c:v>
                </c:pt>
                <c:pt idx="2">
                  <c:v>2016/17</c:v>
                </c:pt>
                <c:pt idx="3">
                  <c:v>2017/18</c:v>
                </c:pt>
              </c:strCache>
            </c:strRef>
          </c:cat>
          <c:val>
            <c:numRef>
              <c:f>'Roads &amp; Tranportation'!$E$230:$E$233</c:f>
              <c:numCache>
                <c:formatCode>_(* #,##0.00_);_(* \(#,##0.00\);_(* "-"??_);_(@_)</c:formatCode>
                <c:ptCount val="4"/>
                <c:pt idx="0">
                  <c:v>9898.5400000000009</c:v>
                </c:pt>
                <c:pt idx="1">
                  <c:v>10282.129999999999</c:v>
                </c:pt>
                <c:pt idx="2">
                  <c:v>10338.35</c:v>
                </c:pt>
                <c:pt idx="3">
                  <c:v>10546.64</c:v>
                </c:pt>
              </c:numCache>
            </c:numRef>
          </c:val>
          <c:smooth val="0"/>
          <c:extLst>
            <c:ext xmlns:c16="http://schemas.microsoft.com/office/drawing/2014/chart" uri="{C3380CC4-5D6E-409C-BE32-E72D297353CC}">
              <c16:uniqueId val="{00000002-D310-42E5-8E7F-5C7C9C538868}"/>
            </c:ext>
          </c:extLst>
        </c:ser>
        <c:dLbls>
          <c:dLblPos val="t"/>
          <c:showLegendKey val="0"/>
          <c:showVal val="1"/>
          <c:showCatName val="0"/>
          <c:showSerName val="0"/>
          <c:showPercent val="0"/>
          <c:showBubbleSize val="0"/>
        </c:dLbls>
        <c:marker val="1"/>
        <c:smooth val="0"/>
        <c:axId val="123840640"/>
        <c:axId val="123841032"/>
      </c:lineChart>
      <c:catAx>
        <c:axId val="12384064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3841032"/>
        <c:crosses val="autoZero"/>
        <c:auto val="1"/>
        <c:lblAlgn val="ctr"/>
        <c:lblOffset val="100"/>
        <c:noMultiLvlLbl val="0"/>
      </c:catAx>
      <c:valAx>
        <c:axId val="1238410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3840640"/>
        <c:crosses val="autoZero"/>
        <c:crossBetween val="between"/>
      </c:valAx>
      <c:spPr>
        <a:noFill/>
        <a:ln>
          <a:noFill/>
        </a:ln>
        <a:effectLst/>
      </c:spPr>
    </c:plotArea>
    <c:legend>
      <c:legendPos val="b"/>
      <c:layout>
        <c:manualLayout>
          <c:xMode val="edge"/>
          <c:yMode val="edge"/>
          <c:x val="1.5812910400077967E-2"/>
          <c:y val="0.89513823272090975"/>
          <c:w val="0.96837417919984403"/>
          <c:h val="9.375065616797900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a:t>Number of businesses supported by </a:t>
            </a:r>
          </a:p>
          <a:p>
            <a:pPr>
              <a:defRPr/>
            </a:pPr>
            <a:r>
              <a:rPr lang="en-US" sz="1000"/>
              <a:t>Council Economic Development activities - Fife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'B&amp;E'!$B$112:$B$114</c:f>
              <c:strCache>
                <c:ptCount val="3"/>
                <c:pt idx="0">
                  <c:v>Number of businesses supported by Council Economic Development activities - Fife</c:v>
                </c:pt>
                <c:pt idx="2">
                  <c:v>Fife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'B&amp;E'!$A$115:$A$118</c:f>
              <c:strCache>
                <c:ptCount val="4"/>
                <c:pt idx="0">
                  <c:v>2015/16</c:v>
                </c:pt>
                <c:pt idx="1">
                  <c:v>2016/17</c:v>
                </c:pt>
                <c:pt idx="2">
                  <c:v>2017/18</c:v>
                </c:pt>
                <c:pt idx="3">
                  <c:v>2018/19</c:v>
                </c:pt>
              </c:strCache>
            </c:strRef>
          </c:cat>
          <c:val>
            <c:numRef>
              <c:f>'B&amp;E'!$B$115:$B$118</c:f>
              <c:numCache>
                <c:formatCode>#,##0</c:formatCode>
                <c:ptCount val="4"/>
                <c:pt idx="0">
                  <c:v>2300</c:v>
                </c:pt>
                <c:pt idx="1">
                  <c:v>1247</c:v>
                </c:pt>
                <c:pt idx="2">
                  <c:v>1201</c:v>
                </c:pt>
                <c:pt idx="3">
                  <c:v>979</c:v>
                </c:pt>
              </c:numCache>
            </c:numRef>
          </c:val>
          <c:smooth val="0"/>
          <c:extLst>
            <c:ext xmlns:c16="http://schemas.microsoft.com/office/drawing/2014/chart" uri="{C3380CC4-5D6E-409C-BE32-E72D297353CC}">
              <c16:uniqueId val="{00000000-34DF-4685-8D8E-47A5E506355E}"/>
            </c:ext>
          </c:extLst>
        </c:ser>
        <c:dLbls>
          <c:dLblPos val="b"/>
          <c:showLegendKey val="0"/>
          <c:showVal val="1"/>
          <c:showCatName val="0"/>
          <c:showSerName val="0"/>
          <c:showPercent val="0"/>
          <c:showBubbleSize val="0"/>
        </c:dLbls>
        <c:marker val="1"/>
        <c:smooth val="0"/>
        <c:axId val="400053656"/>
        <c:axId val="400184288"/>
      </c:lineChart>
      <c:catAx>
        <c:axId val="40005365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0184288"/>
        <c:crosses val="autoZero"/>
        <c:auto val="1"/>
        <c:lblAlgn val="ctr"/>
        <c:lblOffset val="100"/>
        <c:noMultiLvlLbl val="0"/>
      </c:catAx>
      <c:valAx>
        <c:axId val="4001842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00536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000"/>
              <a:t>The percentage of the road network that should be considered for maintenance treatment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'Roads &amp; Tranportation'!$B$229</c:f>
              <c:strCache>
                <c:ptCount val="1"/>
                <c:pt idx="0">
                  <c:v>Fife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'Roads &amp; Tranportation'!$A$231:$A$234</c:f>
              <c:strCache>
                <c:ptCount val="4"/>
                <c:pt idx="0">
                  <c:v>2015/16</c:v>
                </c:pt>
                <c:pt idx="1">
                  <c:v>2016/17</c:v>
                </c:pt>
                <c:pt idx="2">
                  <c:v>2017/18</c:v>
                </c:pt>
                <c:pt idx="3">
                  <c:v>2018/19</c:v>
                </c:pt>
              </c:strCache>
            </c:strRef>
          </c:cat>
          <c:val>
            <c:numRef>
              <c:f>'Roads &amp; Tranportation'!$B$231:$B$234</c:f>
              <c:numCache>
                <c:formatCode>General</c:formatCode>
                <c:ptCount val="4"/>
              </c:numCache>
            </c:numRef>
          </c:val>
          <c:smooth val="0"/>
          <c:extLst>
            <c:ext xmlns:c16="http://schemas.microsoft.com/office/drawing/2014/chart" uri="{C3380CC4-5D6E-409C-BE32-E72D297353CC}">
              <c16:uniqueId val="{00000000-F4C6-47F6-A8BC-4558F65D59D4}"/>
            </c:ext>
          </c:extLst>
        </c:ser>
        <c:ser>
          <c:idx val="1"/>
          <c:order val="1"/>
          <c:tx>
            <c:strRef>
              <c:f>'Roads &amp; Tranportation'!$C$229</c:f>
              <c:strCache>
                <c:ptCount val="1"/>
                <c:pt idx="0">
                  <c:v>Roads &amp; Transportation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Tranportation'!$A$231:$A$234</c:f>
              <c:strCache>
                <c:ptCount val="4"/>
                <c:pt idx="0">
                  <c:v>2015/16</c:v>
                </c:pt>
                <c:pt idx="1">
                  <c:v>2016/17</c:v>
                </c:pt>
                <c:pt idx="2">
                  <c:v>2017/18</c:v>
                </c:pt>
                <c:pt idx="3">
                  <c:v>2018/19</c:v>
                </c:pt>
              </c:strCache>
            </c:strRef>
          </c:cat>
          <c:val>
            <c:numRef>
              <c:f>'Roads &amp; Tranportation'!$C$231:$C$234</c:f>
              <c:numCache>
                <c:formatCode>0.00</c:formatCode>
                <c:ptCount val="4"/>
                <c:pt idx="0">
                  <c:v>32.6</c:v>
                </c:pt>
                <c:pt idx="1">
                  <c:v>32.6</c:v>
                </c:pt>
                <c:pt idx="2">
                  <c:v>31.8</c:v>
                </c:pt>
                <c:pt idx="3">
                  <c:v>31.9</c:v>
                </c:pt>
              </c:numCache>
            </c:numRef>
          </c:val>
          <c:smooth val="0"/>
          <c:extLst>
            <c:ext xmlns:c16="http://schemas.microsoft.com/office/drawing/2014/chart" uri="{C3380CC4-5D6E-409C-BE32-E72D297353CC}">
              <c16:uniqueId val="{00000001-F4C6-47F6-A8BC-4558F65D59D4}"/>
            </c:ext>
          </c:extLst>
        </c:ser>
        <c:dLbls>
          <c:showLegendKey val="0"/>
          <c:showVal val="0"/>
          <c:showCatName val="0"/>
          <c:showSerName val="0"/>
          <c:showPercent val="0"/>
          <c:showBubbleSize val="0"/>
        </c:dLbls>
        <c:marker val="1"/>
        <c:smooth val="0"/>
        <c:axId val="431316184"/>
        <c:axId val="431316576"/>
      </c:lineChart>
      <c:catAx>
        <c:axId val="43131618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1316576"/>
        <c:crosses val="autoZero"/>
        <c:auto val="1"/>
        <c:lblAlgn val="ctr"/>
        <c:lblOffset val="100"/>
        <c:noMultiLvlLbl val="0"/>
      </c:catAx>
      <c:valAx>
        <c:axId val="431316576"/>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13161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000"/>
              <a:t>Percentage of Class A roads that should be considered for maintenance treatment</a:t>
            </a:r>
          </a:p>
        </c:rich>
      </c:tx>
      <c:layout>
        <c:manualLayout>
          <c:xMode val="edge"/>
          <c:yMode val="edge"/>
          <c:x val="0.10682296888063472"/>
          <c:y val="1.666666666666666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3334656505434951E-2"/>
          <c:y val="0.18561111111111109"/>
          <c:w val="0.87842110709535981"/>
          <c:h val="0.62509230096237967"/>
        </c:manualLayout>
      </c:layout>
      <c:lineChart>
        <c:grouping val="standard"/>
        <c:varyColors val="0"/>
        <c:ser>
          <c:idx val="0"/>
          <c:order val="0"/>
          <c:tx>
            <c:strRef>
              <c:f>'Roads &amp; Tranportation'!$C$244</c:f>
              <c:strCache>
                <c:ptCount val="1"/>
                <c:pt idx="0">
                  <c:v>Fife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Tranportation'!$A$246:$A$249</c:f>
              <c:strCache>
                <c:ptCount val="4"/>
                <c:pt idx="0">
                  <c:v>2015/16</c:v>
                </c:pt>
                <c:pt idx="1">
                  <c:v>2016/17</c:v>
                </c:pt>
                <c:pt idx="2">
                  <c:v>2017/18</c:v>
                </c:pt>
                <c:pt idx="3">
                  <c:v>2018/19</c:v>
                </c:pt>
              </c:strCache>
            </c:strRef>
          </c:cat>
          <c:val>
            <c:numRef>
              <c:f>'Roads &amp; Tranportation'!$C$246:$C$249</c:f>
              <c:numCache>
                <c:formatCode>0.00</c:formatCode>
                <c:ptCount val="4"/>
                <c:pt idx="0">
                  <c:v>26.8</c:v>
                </c:pt>
                <c:pt idx="1">
                  <c:v>27.41</c:v>
                </c:pt>
                <c:pt idx="2">
                  <c:v>29.9</c:v>
                </c:pt>
                <c:pt idx="3">
                  <c:v>30.74</c:v>
                </c:pt>
              </c:numCache>
            </c:numRef>
          </c:val>
          <c:smooth val="0"/>
          <c:extLst>
            <c:ext xmlns:c16="http://schemas.microsoft.com/office/drawing/2014/chart" uri="{C3380CC4-5D6E-409C-BE32-E72D297353CC}">
              <c16:uniqueId val="{00000000-57B7-49AE-8BEB-1F0C14136755}"/>
            </c:ext>
          </c:extLst>
        </c:ser>
        <c:ser>
          <c:idx val="1"/>
          <c:order val="1"/>
          <c:tx>
            <c:strRef>
              <c:f>'Roads &amp; Tranportation'!$D$244</c:f>
              <c:strCache>
                <c:ptCount val="1"/>
                <c:pt idx="0">
                  <c:v>Top Quartile</c:v>
                </c:pt>
              </c:strCache>
            </c:strRef>
          </c:tx>
          <c:spPr>
            <a:ln w="28575" cap="rnd">
              <a:solidFill>
                <a:schemeClr val="accent4"/>
              </a:solidFill>
              <a:prstDash val="dashDot"/>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Tranportation'!$A$246:$A$249</c:f>
              <c:strCache>
                <c:ptCount val="4"/>
                <c:pt idx="0">
                  <c:v>2015/16</c:v>
                </c:pt>
                <c:pt idx="1">
                  <c:v>2016/17</c:v>
                </c:pt>
                <c:pt idx="2">
                  <c:v>2017/18</c:v>
                </c:pt>
                <c:pt idx="3">
                  <c:v>2018/19</c:v>
                </c:pt>
              </c:strCache>
            </c:strRef>
          </c:cat>
          <c:val>
            <c:numRef>
              <c:f>'Roads &amp; Tranportation'!$D$246:$D$249</c:f>
              <c:numCache>
                <c:formatCode>0.00</c:formatCode>
                <c:ptCount val="4"/>
                <c:pt idx="0">
                  <c:v>20.74</c:v>
                </c:pt>
                <c:pt idx="1">
                  <c:v>21.2</c:v>
                </c:pt>
                <c:pt idx="2">
                  <c:v>22.64</c:v>
                </c:pt>
              </c:numCache>
            </c:numRef>
          </c:val>
          <c:smooth val="0"/>
          <c:extLst>
            <c:ext xmlns:c16="http://schemas.microsoft.com/office/drawing/2014/chart" uri="{C3380CC4-5D6E-409C-BE32-E72D297353CC}">
              <c16:uniqueId val="{00000001-57B7-49AE-8BEB-1F0C14136755}"/>
            </c:ext>
          </c:extLst>
        </c:ser>
        <c:ser>
          <c:idx val="2"/>
          <c:order val="2"/>
          <c:tx>
            <c:strRef>
              <c:f>'Roads &amp; Tranportation'!$E$244</c:f>
              <c:strCache>
                <c:ptCount val="1"/>
                <c:pt idx="0">
                  <c:v>Scottish Avg</c:v>
                </c:pt>
              </c:strCache>
            </c:strRef>
          </c:tx>
          <c:spPr>
            <a:ln w="28575" cap="rnd">
              <a:solidFill>
                <a:schemeClr val="bg1">
                  <a:lumMod val="50000"/>
                </a:schemeClr>
              </a:solidFill>
              <a:prstDash val="sysDot"/>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Tranportation'!$A$246:$A$249</c:f>
              <c:strCache>
                <c:ptCount val="4"/>
                <c:pt idx="0">
                  <c:v>2015/16</c:v>
                </c:pt>
                <c:pt idx="1">
                  <c:v>2016/17</c:v>
                </c:pt>
                <c:pt idx="2">
                  <c:v>2017/18</c:v>
                </c:pt>
                <c:pt idx="3">
                  <c:v>2018/19</c:v>
                </c:pt>
              </c:strCache>
            </c:strRef>
          </c:cat>
          <c:val>
            <c:numRef>
              <c:f>'Roads &amp; Tranportation'!$E$246:$E$249</c:f>
              <c:numCache>
                <c:formatCode>0.00</c:formatCode>
                <c:ptCount val="4"/>
                <c:pt idx="0">
                  <c:v>28.95</c:v>
                </c:pt>
                <c:pt idx="1">
                  <c:v>29.54</c:v>
                </c:pt>
                <c:pt idx="2">
                  <c:v>30.16</c:v>
                </c:pt>
              </c:numCache>
            </c:numRef>
          </c:val>
          <c:smooth val="0"/>
          <c:extLst>
            <c:ext xmlns:c16="http://schemas.microsoft.com/office/drawing/2014/chart" uri="{C3380CC4-5D6E-409C-BE32-E72D297353CC}">
              <c16:uniqueId val="{00000002-57B7-49AE-8BEB-1F0C14136755}"/>
            </c:ext>
          </c:extLst>
        </c:ser>
        <c:dLbls>
          <c:dLblPos val="t"/>
          <c:showLegendKey val="0"/>
          <c:showVal val="1"/>
          <c:showCatName val="0"/>
          <c:showSerName val="0"/>
          <c:showPercent val="0"/>
          <c:showBubbleSize val="0"/>
        </c:dLbls>
        <c:marker val="1"/>
        <c:smooth val="0"/>
        <c:axId val="431317360"/>
        <c:axId val="431317752"/>
      </c:lineChart>
      <c:catAx>
        <c:axId val="43131736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1317752"/>
        <c:crosses val="autoZero"/>
        <c:auto val="1"/>
        <c:lblAlgn val="ctr"/>
        <c:lblOffset val="100"/>
        <c:noMultiLvlLbl val="0"/>
      </c:catAx>
      <c:valAx>
        <c:axId val="431317752"/>
        <c:scaling>
          <c:orientation val="minMax"/>
          <c:max val="40"/>
          <c:min val="15"/>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1317360"/>
        <c:crosses val="autoZero"/>
        <c:crossBetween val="between"/>
      </c:valAx>
      <c:spPr>
        <a:noFill/>
        <a:ln>
          <a:noFill/>
        </a:ln>
        <a:effectLst/>
      </c:spPr>
    </c:plotArea>
    <c:legend>
      <c:legendPos val="b"/>
      <c:layout>
        <c:manualLayout>
          <c:xMode val="edge"/>
          <c:yMode val="edge"/>
          <c:x val="1.0597787254731801E-2"/>
          <c:y val="0.90624934383202105"/>
          <c:w val="0.97532767672697229"/>
          <c:h val="9.375065616797900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a:t>Percentage of Class B roads that should be considered for maintenance treatment</a:t>
            </a:r>
          </a:p>
        </c:rich>
      </c:tx>
      <c:layout>
        <c:manualLayout>
          <c:xMode val="edge"/>
          <c:yMode val="edge"/>
          <c:x val="0.10742277648228583"/>
          <c:y val="5.5788005578800556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9697106742757271E-2"/>
          <c:y val="0.18638772663877265"/>
          <c:w val="0.87205865685803752"/>
          <c:h val="0.62352364950197126"/>
        </c:manualLayout>
      </c:layout>
      <c:lineChart>
        <c:grouping val="standard"/>
        <c:varyColors val="0"/>
        <c:ser>
          <c:idx val="0"/>
          <c:order val="0"/>
          <c:tx>
            <c:strRef>
              <c:f>'Roads &amp; Tranportation'!$C$259</c:f>
              <c:strCache>
                <c:ptCount val="1"/>
                <c:pt idx="0">
                  <c:v>Fife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Tranportation'!$A$261:$A$264</c:f>
              <c:strCache>
                <c:ptCount val="4"/>
                <c:pt idx="0">
                  <c:v>2015/16</c:v>
                </c:pt>
                <c:pt idx="1">
                  <c:v>2016/17</c:v>
                </c:pt>
                <c:pt idx="2">
                  <c:v>2017/18</c:v>
                </c:pt>
                <c:pt idx="3">
                  <c:v>2018/19</c:v>
                </c:pt>
              </c:strCache>
            </c:strRef>
          </c:cat>
          <c:val>
            <c:numRef>
              <c:f>'Roads &amp; Tranportation'!$C$261:$C$264</c:f>
              <c:numCache>
                <c:formatCode>0.00</c:formatCode>
                <c:ptCount val="4"/>
                <c:pt idx="0">
                  <c:v>33.6</c:v>
                </c:pt>
                <c:pt idx="1">
                  <c:v>33.1</c:v>
                </c:pt>
                <c:pt idx="2">
                  <c:v>33.799999999999997</c:v>
                </c:pt>
                <c:pt idx="3">
                  <c:v>34.83</c:v>
                </c:pt>
              </c:numCache>
            </c:numRef>
          </c:val>
          <c:smooth val="0"/>
          <c:extLst>
            <c:ext xmlns:c16="http://schemas.microsoft.com/office/drawing/2014/chart" uri="{C3380CC4-5D6E-409C-BE32-E72D297353CC}">
              <c16:uniqueId val="{00000000-0D4B-4D62-92A3-9A46C706144D}"/>
            </c:ext>
          </c:extLst>
        </c:ser>
        <c:ser>
          <c:idx val="1"/>
          <c:order val="1"/>
          <c:tx>
            <c:strRef>
              <c:f>'Roads &amp; Tranportation'!$D$259</c:f>
              <c:strCache>
                <c:ptCount val="1"/>
                <c:pt idx="0">
                  <c:v>Top Quartile</c:v>
                </c:pt>
              </c:strCache>
            </c:strRef>
          </c:tx>
          <c:spPr>
            <a:ln w="28575" cap="rnd">
              <a:solidFill>
                <a:schemeClr val="accent4"/>
              </a:solidFill>
              <a:prstDash val="dashDot"/>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Tranportation'!$A$261:$A$264</c:f>
              <c:strCache>
                <c:ptCount val="4"/>
                <c:pt idx="0">
                  <c:v>2015/16</c:v>
                </c:pt>
                <c:pt idx="1">
                  <c:v>2016/17</c:v>
                </c:pt>
                <c:pt idx="2">
                  <c:v>2017/18</c:v>
                </c:pt>
                <c:pt idx="3">
                  <c:v>2018/19</c:v>
                </c:pt>
              </c:strCache>
            </c:strRef>
          </c:cat>
          <c:val>
            <c:numRef>
              <c:f>'Roads &amp; Tranportation'!$D$261:$D$264</c:f>
              <c:numCache>
                <c:formatCode>0.00</c:formatCode>
                <c:ptCount val="4"/>
                <c:pt idx="0">
                  <c:v>23.97</c:v>
                </c:pt>
                <c:pt idx="1">
                  <c:v>22.85</c:v>
                </c:pt>
                <c:pt idx="2">
                  <c:v>24.04</c:v>
                </c:pt>
              </c:numCache>
            </c:numRef>
          </c:val>
          <c:smooth val="0"/>
          <c:extLst>
            <c:ext xmlns:c16="http://schemas.microsoft.com/office/drawing/2014/chart" uri="{C3380CC4-5D6E-409C-BE32-E72D297353CC}">
              <c16:uniqueId val="{00000001-0D4B-4D62-92A3-9A46C706144D}"/>
            </c:ext>
          </c:extLst>
        </c:ser>
        <c:ser>
          <c:idx val="2"/>
          <c:order val="2"/>
          <c:tx>
            <c:strRef>
              <c:f>'Roads &amp; Tranportation'!$E$259</c:f>
              <c:strCache>
                <c:ptCount val="1"/>
                <c:pt idx="0">
                  <c:v>Scottish Avg</c:v>
                </c:pt>
              </c:strCache>
            </c:strRef>
          </c:tx>
          <c:spPr>
            <a:ln w="28575" cap="rnd">
              <a:solidFill>
                <a:schemeClr val="accent3"/>
              </a:solidFill>
              <a:prstDash val="sysDot"/>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Tranportation'!$A$261:$A$264</c:f>
              <c:strCache>
                <c:ptCount val="4"/>
                <c:pt idx="0">
                  <c:v>2015/16</c:v>
                </c:pt>
                <c:pt idx="1">
                  <c:v>2016/17</c:v>
                </c:pt>
                <c:pt idx="2">
                  <c:v>2017/18</c:v>
                </c:pt>
                <c:pt idx="3">
                  <c:v>2018/19</c:v>
                </c:pt>
              </c:strCache>
            </c:strRef>
          </c:cat>
          <c:val>
            <c:numRef>
              <c:f>'Roads &amp; Tranportation'!$E$261:$E$264</c:f>
              <c:numCache>
                <c:formatCode>0.00</c:formatCode>
                <c:ptCount val="4"/>
                <c:pt idx="0">
                  <c:v>34.799999999999997</c:v>
                </c:pt>
                <c:pt idx="1">
                  <c:v>34.76</c:v>
                </c:pt>
                <c:pt idx="2">
                  <c:v>35.9</c:v>
                </c:pt>
              </c:numCache>
            </c:numRef>
          </c:val>
          <c:smooth val="0"/>
          <c:extLst>
            <c:ext xmlns:c16="http://schemas.microsoft.com/office/drawing/2014/chart" uri="{C3380CC4-5D6E-409C-BE32-E72D297353CC}">
              <c16:uniqueId val="{00000002-0D4B-4D62-92A3-9A46C706144D}"/>
            </c:ext>
          </c:extLst>
        </c:ser>
        <c:dLbls>
          <c:dLblPos val="b"/>
          <c:showLegendKey val="0"/>
          <c:showVal val="1"/>
          <c:showCatName val="0"/>
          <c:showSerName val="0"/>
          <c:showPercent val="0"/>
          <c:showBubbleSize val="0"/>
        </c:dLbls>
        <c:marker val="1"/>
        <c:smooth val="0"/>
        <c:axId val="431323240"/>
        <c:axId val="431323632"/>
      </c:lineChart>
      <c:catAx>
        <c:axId val="43132324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1323632"/>
        <c:crosses val="autoZero"/>
        <c:auto val="1"/>
        <c:lblAlgn val="ctr"/>
        <c:lblOffset val="100"/>
        <c:noMultiLvlLbl val="0"/>
      </c:catAx>
      <c:valAx>
        <c:axId val="431323632"/>
        <c:scaling>
          <c:orientation val="minMax"/>
          <c:max val="40"/>
          <c:min val="15"/>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1323240"/>
        <c:crosses val="autoZero"/>
        <c:crossBetween val="between"/>
      </c:valAx>
      <c:spPr>
        <a:noFill/>
        <a:ln>
          <a:noFill/>
        </a:ln>
        <a:effectLst/>
      </c:spPr>
    </c:plotArea>
    <c:legend>
      <c:legendPos val="b"/>
      <c:layout>
        <c:manualLayout>
          <c:xMode val="edge"/>
          <c:yMode val="edge"/>
          <c:x val="2.1028033545424124E-2"/>
          <c:y val="0.90027828111444219"/>
          <c:w val="0.96489743043627996"/>
          <c:h val="9.414291832767766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000"/>
              <a:t>Percentage of Class C roads that should be considered for maintenance treatment</a:t>
            </a:r>
          </a:p>
        </c:rich>
      </c:tx>
      <c:layout>
        <c:manualLayout>
          <c:xMode val="edge"/>
          <c:yMode val="edge"/>
          <c:x val="0.11015544041450777"/>
          <c:y val="1.118098985215121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2794935607142378E-2"/>
          <c:y val="0.20354992025841293"/>
          <c:w val="0.87920851862429117"/>
          <c:h val="0.60596298916280356"/>
        </c:manualLayout>
      </c:layout>
      <c:lineChart>
        <c:grouping val="standard"/>
        <c:varyColors val="0"/>
        <c:ser>
          <c:idx val="0"/>
          <c:order val="0"/>
          <c:tx>
            <c:strRef>
              <c:f>'Roads &amp; Tranportation'!$C$274</c:f>
              <c:strCache>
                <c:ptCount val="1"/>
                <c:pt idx="0">
                  <c:v>Fife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Tranportation'!$A$276:$A$279</c:f>
              <c:strCache>
                <c:ptCount val="4"/>
                <c:pt idx="0">
                  <c:v>2015/16</c:v>
                </c:pt>
                <c:pt idx="1">
                  <c:v>2016/17</c:v>
                </c:pt>
                <c:pt idx="2">
                  <c:v>2017/18</c:v>
                </c:pt>
                <c:pt idx="3">
                  <c:v>2018/19</c:v>
                </c:pt>
              </c:strCache>
            </c:strRef>
          </c:cat>
          <c:val>
            <c:numRef>
              <c:f>'Roads &amp; Tranportation'!$C$276:$C$279</c:f>
              <c:numCache>
                <c:formatCode>0.00</c:formatCode>
                <c:ptCount val="4"/>
                <c:pt idx="0">
                  <c:v>29.9</c:v>
                </c:pt>
                <c:pt idx="1">
                  <c:v>28.7</c:v>
                </c:pt>
                <c:pt idx="2">
                  <c:v>28.4</c:v>
                </c:pt>
                <c:pt idx="3">
                  <c:v>31.29</c:v>
                </c:pt>
              </c:numCache>
            </c:numRef>
          </c:val>
          <c:smooth val="0"/>
          <c:extLst>
            <c:ext xmlns:c16="http://schemas.microsoft.com/office/drawing/2014/chart" uri="{C3380CC4-5D6E-409C-BE32-E72D297353CC}">
              <c16:uniqueId val="{00000000-FEF5-4753-9895-2169C712C0B5}"/>
            </c:ext>
          </c:extLst>
        </c:ser>
        <c:ser>
          <c:idx val="1"/>
          <c:order val="1"/>
          <c:tx>
            <c:strRef>
              <c:f>'Roads &amp; Tranportation'!$D$274</c:f>
              <c:strCache>
                <c:ptCount val="1"/>
                <c:pt idx="0">
                  <c:v>Top Quartile</c:v>
                </c:pt>
              </c:strCache>
            </c:strRef>
          </c:tx>
          <c:spPr>
            <a:ln w="28575" cap="rnd">
              <a:solidFill>
                <a:schemeClr val="accent4"/>
              </a:solidFill>
              <a:prstDash val="dashDot"/>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Tranportation'!$A$276:$A$279</c:f>
              <c:strCache>
                <c:ptCount val="4"/>
                <c:pt idx="0">
                  <c:v>2015/16</c:v>
                </c:pt>
                <c:pt idx="1">
                  <c:v>2016/17</c:v>
                </c:pt>
                <c:pt idx="2">
                  <c:v>2017/18</c:v>
                </c:pt>
                <c:pt idx="3">
                  <c:v>2018/19</c:v>
                </c:pt>
              </c:strCache>
            </c:strRef>
          </c:cat>
          <c:val>
            <c:numRef>
              <c:f>'Roads &amp; Tranportation'!$D$276:$D$279</c:f>
              <c:numCache>
                <c:formatCode>0.00</c:formatCode>
                <c:ptCount val="4"/>
                <c:pt idx="0">
                  <c:v>27.14</c:v>
                </c:pt>
                <c:pt idx="1">
                  <c:v>26.35</c:v>
                </c:pt>
                <c:pt idx="2">
                  <c:v>27.66</c:v>
                </c:pt>
              </c:numCache>
            </c:numRef>
          </c:val>
          <c:smooth val="0"/>
          <c:extLst>
            <c:ext xmlns:c16="http://schemas.microsoft.com/office/drawing/2014/chart" uri="{C3380CC4-5D6E-409C-BE32-E72D297353CC}">
              <c16:uniqueId val="{00000001-FEF5-4753-9895-2169C712C0B5}"/>
            </c:ext>
          </c:extLst>
        </c:ser>
        <c:ser>
          <c:idx val="2"/>
          <c:order val="2"/>
          <c:tx>
            <c:strRef>
              <c:f>'Roads &amp; Tranportation'!$E$274</c:f>
              <c:strCache>
                <c:ptCount val="1"/>
                <c:pt idx="0">
                  <c:v>Scottish Avg</c:v>
                </c:pt>
              </c:strCache>
            </c:strRef>
          </c:tx>
          <c:spPr>
            <a:ln w="28575" cap="rnd">
              <a:solidFill>
                <a:schemeClr val="bg1">
                  <a:lumMod val="50000"/>
                </a:schemeClr>
              </a:solidFill>
              <a:prstDash val="sysDot"/>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Tranportation'!$A$276:$A$279</c:f>
              <c:strCache>
                <c:ptCount val="4"/>
                <c:pt idx="0">
                  <c:v>2015/16</c:v>
                </c:pt>
                <c:pt idx="1">
                  <c:v>2016/17</c:v>
                </c:pt>
                <c:pt idx="2">
                  <c:v>2017/18</c:v>
                </c:pt>
                <c:pt idx="3">
                  <c:v>2018/19</c:v>
                </c:pt>
              </c:strCache>
            </c:strRef>
          </c:cat>
          <c:val>
            <c:numRef>
              <c:f>'Roads &amp; Tranportation'!$E$276:$E$279</c:f>
              <c:numCache>
                <c:formatCode>0.00</c:formatCode>
                <c:ptCount val="4"/>
                <c:pt idx="0">
                  <c:v>34.74</c:v>
                </c:pt>
                <c:pt idx="1">
                  <c:v>34.57</c:v>
                </c:pt>
                <c:pt idx="2">
                  <c:v>36.159999999999997</c:v>
                </c:pt>
              </c:numCache>
            </c:numRef>
          </c:val>
          <c:smooth val="0"/>
          <c:extLst>
            <c:ext xmlns:c16="http://schemas.microsoft.com/office/drawing/2014/chart" uri="{C3380CC4-5D6E-409C-BE32-E72D297353CC}">
              <c16:uniqueId val="{00000002-FEF5-4753-9895-2169C712C0B5}"/>
            </c:ext>
          </c:extLst>
        </c:ser>
        <c:dLbls>
          <c:dLblPos val="b"/>
          <c:showLegendKey val="0"/>
          <c:showVal val="1"/>
          <c:showCatName val="0"/>
          <c:showSerName val="0"/>
          <c:showPercent val="0"/>
          <c:showBubbleSize val="0"/>
        </c:dLbls>
        <c:marker val="1"/>
        <c:smooth val="0"/>
        <c:axId val="431318536"/>
        <c:axId val="431318928"/>
      </c:lineChart>
      <c:catAx>
        <c:axId val="43131853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1318928"/>
        <c:crosses val="autoZero"/>
        <c:auto val="1"/>
        <c:lblAlgn val="ctr"/>
        <c:lblOffset val="100"/>
        <c:noMultiLvlLbl val="0"/>
      </c:catAx>
      <c:valAx>
        <c:axId val="431318928"/>
        <c:scaling>
          <c:orientation val="minMax"/>
          <c:max val="40"/>
          <c:min val="15"/>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1318536"/>
        <c:crosses val="autoZero"/>
        <c:crossBetween val="between"/>
      </c:valAx>
      <c:spPr>
        <a:noFill/>
        <a:ln>
          <a:noFill/>
        </a:ln>
        <a:effectLst/>
      </c:spPr>
    </c:plotArea>
    <c:legend>
      <c:legendPos val="b"/>
      <c:layout>
        <c:manualLayout>
          <c:xMode val="edge"/>
          <c:yMode val="edge"/>
          <c:x val="1.7221655583207537E-2"/>
          <c:y val="0.90565973782779785"/>
          <c:w val="0.96555668883358492"/>
          <c:h val="9.434026217220221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000"/>
              <a:t>Percentage of unclassified roads that should be considered for maintenance treatment</a:t>
            </a:r>
          </a:p>
        </c:rich>
      </c:tx>
      <c:layout>
        <c:manualLayout>
          <c:xMode val="edge"/>
          <c:yMode val="edge"/>
          <c:x val="0.15938140017279537"/>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8523025530899552E-2"/>
          <c:y val="0.17486426229968113"/>
          <c:w val="0.8736765177080138"/>
          <c:h val="0.62430969499894351"/>
        </c:manualLayout>
      </c:layout>
      <c:lineChart>
        <c:grouping val="standard"/>
        <c:varyColors val="0"/>
        <c:ser>
          <c:idx val="0"/>
          <c:order val="0"/>
          <c:tx>
            <c:strRef>
              <c:f>'Roads &amp; Tranportation'!$C$289</c:f>
              <c:strCache>
                <c:ptCount val="1"/>
                <c:pt idx="0">
                  <c:v>Fife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2"/>
              <c:layout>
                <c:manualLayout>
                  <c:x val="-6.3488090622049909E-2"/>
                  <c:y val="6.406389863749420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E5E-43C9-97D5-8E4529D94E2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Tranportation'!$A$291:$A$294</c:f>
              <c:strCache>
                <c:ptCount val="4"/>
                <c:pt idx="0">
                  <c:v>2015/16</c:v>
                </c:pt>
                <c:pt idx="1">
                  <c:v>2016/17</c:v>
                </c:pt>
                <c:pt idx="2">
                  <c:v>2017/18</c:v>
                </c:pt>
                <c:pt idx="3">
                  <c:v>2018/19</c:v>
                </c:pt>
              </c:strCache>
            </c:strRef>
          </c:cat>
          <c:val>
            <c:numRef>
              <c:f>'Roads &amp; Tranportation'!$C$291:$C$294</c:f>
              <c:numCache>
                <c:formatCode>0.00</c:formatCode>
                <c:ptCount val="4"/>
                <c:pt idx="0">
                  <c:v>34.4</c:v>
                </c:pt>
                <c:pt idx="1">
                  <c:v>34.700000000000003</c:v>
                </c:pt>
                <c:pt idx="2">
                  <c:v>32.700000000000003</c:v>
                </c:pt>
                <c:pt idx="3">
                  <c:v>31.6</c:v>
                </c:pt>
              </c:numCache>
            </c:numRef>
          </c:val>
          <c:smooth val="0"/>
          <c:extLst>
            <c:ext xmlns:c16="http://schemas.microsoft.com/office/drawing/2014/chart" uri="{C3380CC4-5D6E-409C-BE32-E72D297353CC}">
              <c16:uniqueId val="{00000001-5E5E-43C9-97D5-8E4529D94E2C}"/>
            </c:ext>
          </c:extLst>
        </c:ser>
        <c:ser>
          <c:idx val="1"/>
          <c:order val="1"/>
          <c:tx>
            <c:strRef>
              <c:f>'Roads &amp; Tranportation'!$D$289</c:f>
              <c:strCache>
                <c:ptCount val="1"/>
                <c:pt idx="0">
                  <c:v>TQ</c:v>
                </c:pt>
              </c:strCache>
            </c:strRef>
          </c:tx>
          <c:spPr>
            <a:ln w="28575" cap="rnd">
              <a:solidFill>
                <a:schemeClr val="accent4"/>
              </a:solidFill>
              <a:prstDash val="dashDot"/>
              <a:round/>
            </a:ln>
            <a:effectLst/>
          </c:spPr>
          <c:marker>
            <c:symbol val="circle"/>
            <c:size val="5"/>
            <c:spPr>
              <a:solidFill>
                <a:schemeClr val="accent4"/>
              </a:solidFill>
              <a:ln w="9525">
                <a:solidFill>
                  <a:schemeClr val="accent4"/>
                </a:solidFill>
              </a:ln>
              <a:effectLst/>
            </c:spPr>
          </c:marker>
          <c:dLbls>
            <c:dLbl>
              <c:idx val="2"/>
              <c:layout>
                <c:manualLayout>
                  <c:x val="-5.6615240248061319E-2"/>
                  <c:y val="-6.963105120991321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E5E-43C9-97D5-8E4529D94E2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Tranportation'!$A$291:$A$294</c:f>
              <c:strCache>
                <c:ptCount val="4"/>
                <c:pt idx="0">
                  <c:v>2015/16</c:v>
                </c:pt>
                <c:pt idx="1">
                  <c:v>2016/17</c:v>
                </c:pt>
                <c:pt idx="2">
                  <c:v>2017/18</c:v>
                </c:pt>
                <c:pt idx="3">
                  <c:v>2018/19</c:v>
                </c:pt>
              </c:strCache>
            </c:strRef>
          </c:cat>
          <c:val>
            <c:numRef>
              <c:f>'Roads &amp; Tranportation'!$D$291:$D$294</c:f>
              <c:numCache>
                <c:formatCode>0.00</c:formatCode>
                <c:ptCount val="4"/>
                <c:pt idx="0">
                  <c:v>32.69</c:v>
                </c:pt>
                <c:pt idx="1">
                  <c:v>34.549999999999997</c:v>
                </c:pt>
                <c:pt idx="2">
                  <c:v>33.1</c:v>
                </c:pt>
              </c:numCache>
            </c:numRef>
          </c:val>
          <c:smooth val="0"/>
          <c:extLst>
            <c:ext xmlns:c16="http://schemas.microsoft.com/office/drawing/2014/chart" uri="{C3380CC4-5D6E-409C-BE32-E72D297353CC}">
              <c16:uniqueId val="{00000003-5E5E-43C9-97D5-8E4529D94E2C}"/>
            </c:ext>
          </c:extLst>
        </c:ser>
        <c:ser>
          <c:idx val="2"/>
          <c:order val="2"/>
          <c:tx>
            <c:strRef>
              <c:f>'Roads &amp; Tranportation'!$E$289</c:f>
              <c:strCache>
                <c:ptCount val="1"/>
                <c:pt idx="0">
                  <c:v>Scottish Avg</c:v>
                </c:pt>
              </c:strCache>
            </c:strRef>
          </c:tx>
          <c:spPr>
            <a:ln w="28575" cap="rnd">
              <a:solidFill>
                <a:schemeClr val="bg1">
                  <a:lumMod val="50000"/>
                </a:schemeClr>
              </a:solidFill>
              <a:prstDash val="sysDot"/>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'Roads &amp; Tranportation'!$A$291:$A$294</c:f>
              <c:strCache>
                <c:ptCount val="4"/>
                <c:pt idx="0">
                  <c:v>2015/16</c:v>
                </c:pt>
                <c:pt idx="1">
                  <c:v>2016/17</c:v>
                </c:pt>
                <c:pt idx="2">
                  <c:v>2017/18</c:v>
                </c:pt>
                <c:pt idx="3">
                  <c:v>2018/19</c:v>
                </c:pt>
              </c:strCache>
            </c:strRef>
          </c:cat>
          <c:val>
            <c:numRef>
              <c:f>'Roads &amp; Tranportation'!$E$291:$E$294</c:f>
              <c:numCache>
                <c:formatCode>0.00</c:formatCode>
                <c:ptCount val="4"/>
                <c:pt idx="0">
                  <c:v>40.14</c:v>
                </c:pt>
                <c:pt idx="1">
                  <c:v>39.5</c:v>
                </c:pt>
                <c:pt idx="2">
                  <c:v>38.99</c:v>
                </c:pt>
              </c:numCache>
            </c:numRef>
          </c:val>
          <c:smooth val="0"/>
          <c:extLst>
            <c:ext xmlns:c16="http://schemas.microsoft.com/office/drawing/2014/chart" uri="{C3380CC4-5D6E-409C-BE32-E72D297353CC}">
              <c16:uniqueId val="{00000004-5E5E-43C9-97D5-8E4529D94E2C}"/>
            </c:ext>
          </c:extLst>
        </c:ser>
        <c:dLbls>
          <c:dLblPos val="b"/>
          <c:showLegendKey val="0"/>
          <c:showVal val="1"/>
          <c:showCatName val="0"/>
          <c:showSerName val="0"/>
          <c:showPercent val="0"/>
          <c:showBubbleSize val="0"/>
        </c:dLbls>
        <c:marker val="1"/>
        <c:smooth val="0"/>
        <c:axId val="431319712"/>
        <c:axId val="431320104"/>
      </c:lineChart>
      <c:catAx>
        <c:axId val="43131971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1320104"/>
        <c:crosses val="autoZero"/>
        <c:auto val="1"/>
        <c:lblAlgn val="ctr"/>
        <c:lblOffset val="100"/>
        <c:noMultiLvlLbl val="0"/>
      </c:catAx>
      <c:valAx>
        <c:axId val="431320104"/>
        <c:scaling>
          <c:orientation val="minMax"/>
          <c:max val="45"/>
          <c:min val="25"/>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1319712"/>
        <c:crosses val="autoZero"/>
        <c:crossBetween val="between"/>
      </c:valAx>
      <c:spPr>
        <a:noFill/>
        <a:ln>
          <a:noFill/>
        </a:ln>
        <a:effectLst/>
      </c:spPr>
    </c:plotArea>
    <c:legend>
      <c:legendPos val="b"/>
      <c:layout>
        <c:manualLayout>
          <c:xMode val="edge"/>
          <c:yMode val="edge"/>
          <c:x val="1.1119135449539885E-2"/>
          <c:y val="0.90605364280272382"/>
          <c:w val="0.98463430889024839"/>
          <c:h val="9.394635719727621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000" b="0">
                <a:latin typeface="+mn-lt"/>
              </a:rPr>
              <a:t>Planned/Reactive Carriageway Maintenance as a percentage of total spend (%)</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stacked"/>
        <c:varyColors val="0"/>
        <c:ser>
          <c:idx val="0"/>
          <c:order val="0"/>
          <c:tx>
            <c:strRef>
              <c:f>'Roads &amp; Tranportation'!$B$306</c:f>
              <c:strCache>
                <c:ptCount val="1"/>
                <c:pt idx="0">
                  <c:v>Planned Maintenance</c:v>
                </c:pt>
              </c:strCache>
            </c:strRef>
          </c:tx>
          <c:spPr>
            <a:pattFill prst="pct5">
              <a:fgClr>
                <a:schemeClr val="accent1"/>
              </a:fgClr>
              <a:bgClr>
                <a:schemeClr val="bg1"/>
              </a:bgClr>
            </a:pattFill>
            <a:ln>
              <a:solidFill>
                <a:schemeClr val="accen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'Roads &amp; Tranportation'!$A$307:$A$309</c:f>
              <c:strCache>
                <c:ptCount val="3"/>
                <c:pt idx="0">
                  <c:v>2016/17</c:v>
                </c:pt>
                <c:pt idx="1">
                  <c:v>2017/18</c:v>
                </c:pt>
                <c:pt idx="2">
                  <c:v>2018/19</c:v>
                </c:pt>
              </c:strCache>
            </c:strRef>
          </c:cat>
          <c:val>
            <c:numRef>
              <c:f>'Roads &amp; Tranportation'!$B$307:$B$309</c:f>
              <c:numCache>
                <c:formatCode>0</c:formatCode>
                <c:ptCount val="3"/>
                <c:pt idx="0">
                  <c:v>86</c:v>
                </c:pt>
                <c:pt idx="1">
                  <c:v>88</c:v>
                </c:pt>
                <c:pt idx="2">
                  <c:v>79</c:v>
                </c:pt>
              </c:numCache>
            </c:numRef>
          </c:val>
          <c:extLst>
            <c:ext xmlns:c16="http://schemas.microsoft.com/office/drawing/2014/chart" uri="{C3380CC4-5D6E-409C-BE32-E72D297353CC}">
              <c16:uniqueId val="{00000000-7CEB-4238-A853-7FA4EDA80659}"/>
            </c:ext>
          </c:extLst>
        </c:ser>
        <c:ser>
          <c:idx val="1"/>
          <c:order val="1"/>
          <c:tx>
            <c:strRef>
              <c:f>'Roads &amp; Tranportation'!$C$306</c:f>
              <c:strCache>
                <c:ptCount val="1"/>
                <c:pt idx="0">
                  <c:v>Reactive Maintenance</c:v>
                </c:pt>
              </c:strCache>
            </c:strRef>
          </c:tx>
          <c:spPr>
            <a:pattFill prst="pct50">
              <a:fgClr>
                <a:srgbClr val="00B050"/>
              </a:fgClr>
              <a:bgClr>
                <a:schemeClr val="bg1"/>
              </a:bgClr>
            </a:pattFill>
            <a:ln>
              <a:solidFill>
                <a:srgbClr val="00B05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'Roads &amp; Tranportation'!$A$307:$A$309</c:f>
              <c:strCache>
                <c:ptCount val="3"/>
                <c:pt idx="0">
                  <c:v>2016/17</c:v>
                </c:pt>
                <c:pt idx="1">
                  <c:v>2017/18</c:v>
                </c:pt>
                <c:pt idx="2">
                  <c:v>2018/19</c:v>
                </c:pt>
              </c:strCache>
            </c:strRef>
          </c:cat>
          <c:val>
            <c:numRef>
              <c:f>'Roads &amp; Tranportation'!$C$307:$C$309</c:f>
              <c:numCache>
                <c:formatCode>0</c:formatCode>
                <c:ptCount val="3"/>
                <c:pt idx="0">
                  <c:v>14</c:v>
                </c:pt>
                <c:pt idx="1">
                  <c:v>12</c:v>
                </c:pt>
                <c:pt idx="2">
                  <c:v>21</c:v>
                </c:pt>
              </c:numCache>
            </c:numRef>
          </c:val>
          <c:extLst>
            <c:ext xmlns:c16="http://schemas.microsoft.com/office/drawing/2014/chart" uri="{C3380CC4-5D6E-409C-BE32-E72D297353CC}">
              <c16:uniqueId val="{00000001-7CEB-4238-A853-7FA4EDA80659}"/>
            </c:ext>
          </c:extLst>
        </c:ser>
        <c:dLbls>
          <c:dLblPos val="ctr"/>
          <c:showLegendKey val="0"/>
          <c:showVal val="1"/>
          <c:showCatName val="0"/>
          <c:showSerName val="0"/>
          <c:showPercent val="0"/>
          <c:showBubbleSize val="0"/>
        </c:dLbls>
        <c:gapWidth val="150"/>
        <c:overlap val="100"/>
        <c:axId val="581043128"/>
        <c:axId val="581045424"/>
      </c:barChart>
      <c:catAx>
        <c:axId val="58104312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581045424"/>
        <c:crosses val="autoZero"/>
        <c:auto val="1"/>
        <c:lblAlgn val="ctr"/>
        <c:lblOffset val="100"/>
        <c:noMultiLvlLbl val="0"/>
      </c:catAx>
      <c:valAx>
        <c:axId val="581045424"/>
        <c:scaling>
          <c:orientation val="minMax"/>
          <c:max val="100"/>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GB"/>
                  <a:t>Percentage</a:t>
                </a:r>
                <a:r>
                  <a:rPr lang="en-GB" baseline="0"/>
                  <a:t> (%)</a:t>
                </a:r>
                <a:endParaRPr lang="en-GB"/>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581043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a:t>Fife's visitor numbers (millions)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'B&amp;E'!$B$143:$B$145</c:f>
              <c:strCache>
                <c:ptCount val="3"/>
                <c:pt idx="0">
                  <c:v>Fife's visitor numbers (millions)</c:v>
                </c:pt>
                <c:pt idx="2">
                  <c:v>Value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'B&amp;E'!$A$146:$A$148</c:f>
              <c:numCache>
                <c:formatCode>General</c:formatCode>
                <c:ptCount val="3"/>
                <c:pt idx="0">
                  <c:v>2015</c:v>
                </c:pt>
                <c:pt idx="1">
                  <c:v>2016</c:v>
                </c:pt>
                <c:pt idx="2">
                  <c:v>2017</c:v>
                </c:pt>
              </c:numCache>
            </c:numRef>
          </c:cat>
          <c:val>
            <c:numRef>
              <c:f>'B&amp;E'!$B$146:$B$148</c:f>
              <c:numCache>
                <c:formatCode>#,##0.0</c:formatCode>
                <c:ptCount val="3"/>
                <c:pt idx="0">
                  <c:v>8.3000000000000007</c:v>
                </c:pt>
                <c:pt idx="1">
                  <c:v>8.5</c:v>
                </c:pt>
                <c:pt idx="2">
                  <c:v>8.4</c:v>
                </c:pt>
              </c:numCache>
            </c:numRef>
          </c:val>
          <c:smooth val="0"/>
          <c:extLst>
            <c:ext xmlns:c16="http://schemas.microsoft.com/office/drawing/2014/chart" uri="{C3380CC4-5D6E-409C-BE32-E72D297353CC}">
              <c16:uniqueId val="{00000000-C4A9-4395-A7B8-1046E04B618A}"/>
            </c:ext>
          </c:extLst>
        </c:ser>
        <c:dLbls>
          <c:dLblPos val="t"/>
          <c:showLegendKey val="0"/>
          <c:showVal val="1"/>
          <c:showCatName val="0"/>
          <c:showSerName val="0"/>
          <c:showPercent val="0"/>
          <c:showBubbleSize val="0"/>
        </c:dLbls>
        <c:marker val="1"/>
        <c:smooth val="0"/>
        <c:axId val="159519032"/>
        <c:axId val="159519424"/>
      </c:lineChart>
      <c:catAx>
        <c:axId val="15951903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9519424"/>
        <c:crosses val="autoZero"/>
        <c:auto val="1"/>
        <c:lblAlgn val="ctr"/>
        <c:lblOffset val="100"/>
        <c:noMultiLvlLbl val="0"/>
      </c:catAx>
      <c:valAx>
        <c:axId val="159519424"/>
        <c:scaling>
          <c:orientation val="minMax"/>
          <c:max val="15"/>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9519032"/>
        <c:crosses val="autoZero"/>
        <c:crossBetween val="between"/>
        <c:majorUnit val="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a:t>% Unemployed People Assisted into work from Council operated / funded Employability Programmes</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68023568390135"/>
          <c:y val="0.20562712074535863"/>
          <c:w val="0.85505287160229615"/>
          <c:h val="0.60546988055944684"/>
        </c:manualLayout>
      </c:layout>
      <c:lineChart>
        <c:grouping val="standard"/>
        <c:varyColors val="0"/>
        <c:ser>
          <c:idx val="0"/>
          <c:order val="0"/>
          <c:tx>
            <c:strRef>
              <c:f>'B&amp;E'!$B$159</c:f>
              <c:strCache>
                <c:ptCount val="1"/>
                <c:pt idx="0">
                  <c:v>Fife</c:v>
                </c:pt>
              </c:strCache>
            </c:strRef>
          </c:tx>
          <c:spPr>
            <a:ln w="28575" cap="rnd">
              <a:solidFill>
                <a:schemeClr val="accent1"/>
              </a:solidFill>
              <a:prstDash val="solid"/>
              <a:round/>
            </a:ln>
            <a:effectLst/>
          </c:spPr>
          <c:marker>
            <c:symbol val="circle"/>
            <c:size val="5"/>
            <c:spPr>
              <a:solidFill>
                <a:schemeClr val="accent1"/>
              </a:solidFill>
              <a:ln w="9525">
                <a:solidFill>
                  <a:schemeClr val="accent1"/>
                </a:solidFill>
              </a:ln>
              <a:effectLst/>
            </c:spPr>
          </c:marker>
          <c:dLbls>
            <c:dLbl>
              <c:idx val="2"/>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38C-4CB4-8C72-B97222972B1B}"/>
                </c:ext>
              </c:extLst>
            </c:dLbl>
            <c:dLbl>
              <c:idx val="3"/>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38C-4CB4-8C72-B97222972B1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'B&amp;E'!$A$160:$A$163</c:f>
              <c:strCache>
                <c:ptCount val="4"/>
                <c:pt idx="0">
                  <c:v>2014/15</c:v>
                </c:pt>
                <c:pt idx="1">
                  <c:v>2015/16</c:v>
                </c:pt>
                <c:pt idx="2">
                  <c:v>2016/17</c:v>
                </c:pt>
                <c:pt idx="3">
                  <c:v>2017/18</c:v>
                </c:pt>
              </c:strCache>
            </c:strRef>
          </c:cat>
          <c:val>
            <c:numRef>
              <c:f>'B&amp;E'!$B$160:$B$163</c:f>
              <c:numCache>
                <c:formatCode>0.0</c:formatCode>
                <c:ptCount val="4"/>
                <c:pt idx="0">
                  <c:v>11.5</c:v>
                </c:pt>
                <c:pt idx="1">
                  <c:v>11.9</c:v>
                </c:pt>
                <c:pt idx="2">
                  <c:v>20.9</c:v>
                </c:pt>
                <c:pt idx="3">
                  <c:v>17.600000000000001</c:v>
                </c:pt>
              </c:numCache>
            </c:numRef>
          </c:val>
          <c:smooth val="0"/>
          <c:extLst>
            <c:ext xmlns:c16="http://schemas.microsoft.com/office/drawing/2014/chart" uri="{C3380CC4-5D6E-409C-BE32-E72D297353CC}">
              <c16:uniqueId val="{00000002-F38C-4CB4-8C72-B97222972B1B}"/>
            </c:ext>
          </c:extLst>
        </c:ser>
        <c:ser>
          <c:idx val="1"/>
          <c:order val="1"/>
          <c:tx>
            <c:strRef>
              <c:f>'B&amp;E'!$C$159</c:f>
              <c:strCache>
                <c:ptCount val="1"/>
                <c:pt idx="0">
                  <c:v>Top Quartile</c:v>
                </c:pt>
              </c:strCache>
            </c:strRef>
          </c:tx>
          <c:spPr>
            <a:ln w="28575" cap="rnd">
              <a:solidFill>
                <a:schemeClr val="accent4"/>
              </a:solidFill>
              <a:prstDash val="dashDot"/>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'B&amp;E'!$A$160:$A$163</c:f>
              <c:strCache>
                <c:ptCount val="4"/>
                <c:pt idx="0">
                  <c:v>2014/15</c:v>
                </c:pt>
                <c:pt idx="1">
                  <c:v>2015/16</c:v>
                </c:pt>
                <c:pt idx="2">
                  <c:v>2016/17</c:v>
                </c:pt>
                <c:pt idx="3">
                  <c:v>2017/18</c:v>
                </c:pt>
              </c:strCache>
            </c:strRef>
          </c:cat>
          <c:val>
            <c:numRef>
              <c:f>'B&amp;E'!$C$160:$C$163</c:f>
              <c:numCache>
                <c:formatCode>0.0</c:formatCode>
                <c:ptCount val="4"/>
                <c:pt idx="0">
                  <c:v>16.309999999999999</c:v>
                </c:pt>
                <c:pt idx="1">
                  <c:v>16.260000000000002</c:v>
                </c:pt>
                <c:pt idx="2">
                  <c:v>15.65</c:v>
                </c:pt>
                <c:pt idx="3">
                  <c:v>21</c:v>
                </c:pt>
              </c:numCache>
            </c:numRef>
          </c:val>
          <c:smooth val="0"/>
          <c:extLst>
            <c:ext xmlns:c16="http://schemas.microsoft.com/office/drawing/2014/chart" uri="{C3380CC4-5D6E-409C-BE32-E72D297353CC}">
              <c16:uniqueId val="{00000003-F38C-4CB4-8C72-B97222972B1B}"/>
            </c:ext>
          </c:extLst>
        </c:ser>
        <c:ser>
          <c:idx val="2"/>
          <c:order val="2"/>
          <c:tx>
            <c:strRef>
              <c:f>'B&amp;E'!$D$159</c:f>
              <c:strCache>
                <c:ptCount val="1"/>
                <c:pt idx="0">
                  <c:v>Scottish Avg</c:v>
                </c:pt>
              </c:strCache>
            </c:strRef>
          </c:tx>
          <c:spPr>
            <a:ln w="28575" cap="rnd">
              <a:solidFill>
                <a:schemeClr val="accent3"/>
              </a:solidFill>
              <a:prstDash val="sysDot"/>
              <a:round/>
            </a:ln>
            <a:effectLst/>
          </c:spPr>
          <c:marker>
            <c:symbol val="circle"/>
            <c:size val="5"/>
            <c:spPr>
              <a:solidFill>
                <a:schemeClr val="accent3"/>
              </a:solidFill>
              <a:ln w="9525">
                <a:solidFill>
                  <a:schemeClr val="accent3"/>
                </a:solidFill>
              </a:ln>
              <a:effectLst/>
            </c:spPr>
          </c:marker>
          <c:dLbls>
            <c:dLbl>
              <c:idx val="0"/>
              <c:dLblPos val="l"/>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38C-4CB4-8C72-B97222972B1B}"/>
                </c:ext>
              </c:extLst>
            </c:dLbl>
            <c:dLbl>
              <c:idx val="1"/>
              <c:layout>
                <c:manualLayout>
                  <c:x val="-9.3454690318791514E-2"/>
                  <c:y val="2.77200216696357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38C-4CB4-8C72-B97222972B1B}"/>
                </c:ext>
              </c:extLst>
            </c:dLbl>
            <c:dLbl>
              <c:idx val="2"/>
              <c:layout>
                <c:manualLayout>
                  <c:x val="-5.7130601199280422E-2"/>
                  <c:y val="6.37975207387231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38C-4CB4-8C72-B97222972B1B}"/>
                </c:ext>
              </c:extLst>
            </c:dLbl>
            <c:dLbl>
              <c:idx val="3"/>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38C-4CB4-8C72-B97222972B1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'B&amp;E'!$A$160:$A$163</c:f>
              <c:strCache>
                <c:ptCount val="4"/>
                <c:pt idx="0">
                  <c:v>2014/15</c:v>
                </c:pt>
                <c:pt idx="1">
                  <c:v>2015/16</c:v>
                </c:pt>
                <c:pt idx="2">
                  <c:v>2016/17</c:v>
                </c:pt>
                <c:pt idx="3">
                  <c:v>2017/18</c:v>
                </c:pt>
              </c:strCache>
            </c:strRef>
          </c:cat>
          <c:val>
            <c:numRef>
              <c:f>'B&amp;E'!$D$160:$D$163</c:f>
              <c:numCache>
                <c:formatCode>0.0</c:formatCode>
                <c:ptCount val="4"/>
                <c:pt idx="0">
                  <c:v>14.14</c:v>
                </c:pt>
                <c:pt idx="1">
                  <c:v>14.16</c:v>
                </c:pt>
                <c:pt idx="2">
                  <c:v>14</c:v>
                </c:pt>
                <c:pt idx="3">
                  <c:v>14.4</c:v>
                </c:pt>
              </c:numCache>
            </c:numRef>
          </c:val>
          <c:smooth val="0"/>
          <c:extLst>
            <c:ext xmlns:c16="http://schemas.microsoft.com/office/drawing/2014/chart" uri="{C3380CC4-5D6E-409C-BE32-E72D297353CC}">
              <c16:uniqueId val="{00000008-F38C-4CB4-8C72-B97222972B1B}"/>
            </c:ext>
          </c:extLst>
        </c:ser>
        <c:dLbls>
          <c:dLblPos val="t"/>
          <c:showLegendKey val="0"/>
          <c:showVal val="1"/>
          <c:showCatName val="0"/>
          <c:showSerName val="0"/>
          <c:showPercent val="0"/>
          <c:showBubbleSize val="0"/>
        </c:dLbls>
        <c:marker val="1"/>
        <c:smooth val="0"/>
        <c:axId val="408849352"/>
        <c:axId val="408997864"/>
      </c:lineChart>
      <c:catAx>
        <c:axId val="40884935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8997864"/>
        <c:crosses val="autoZero"/>
        <c:auto val="1"/>
        <c:lblAlgn val="ctr"/>
        <c:lblOffset val="100"/>
        <c:noMultiLvlLbl val="0"/>
      </c:catAx>
      <c:valAx>
        <c:axId val="40899786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8849352"/>
        <c:crosses val="autoZero"/>
        <c:crossBetween val="between"/>
      </c:valAx>
      <c:spPr>
        <a:noFill/>
        <a:ln>
          <a:noFill/>
        </a:ln>
        <a:effectLst/>
      </c:spPr>
    </c:plotArea>
    <c:legend>
      <c:legendPos val="b"/>
      <c:layout>
        <c:manualLayout>
          <c:xMode val="edge"/>
          <c:yMode val="edge"/>
          <c:x val="1.1214890495562565E-2"/>
          <c:y val="0.90644427206131761"/>
          <c:w val="0.97757021900887486"/>
          <c:h val="9.355572793868244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a:t>Percentage of customers satisfied </a:t>
            </a:r>
          </a:p>
          <a:p>
            <a:pPr>
              <a:defRPr/>
            </a:pPr>
            <a:r>
              <a:rPr lang="en-US" sz="1000"/>
              <a:t>with planning service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Planning!$B$18:$B$20</c:f>
              <c:strCache>
                <c:ptCount val="3"/>
                <c:pt idx="0">
                  <c:v>Percentage of customers satisfied with planning service</c:v>
                </c:pt>
                <c:pt idx="2">
                  <c:v>Value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Planning!$A$21:$A$24</c:f>
              <c:strCache>
                <c:ptCount val="4"/>
                <c:pt idx="0">
                  <c:v>2015/16</c:v>
                </c:pt>
                <c:pt idx="1">
                  <c:v>2016/17</c:v>
                </c:pt>
                <c:pt idx="2">
                  <c:v>2017/18</c:v>
                </c:pt>
                <c:pt idx="3">
                  <c:v>2018/19</c:v>
                </c:pt>
              </c:strCache>
            </c:strRef>
          </c:cat>
          <c:val>
            <c:numRef>
              <c:f>Planning!$B$21:$B$24</c:f>
              <c:numCache>
                <c:formatCode>0.0</c:formatCode>
                <c:ptCount val="4"/>
                <c:pt idx="0">
                  <c:v>78.790000000000006</c:v>
                </c:pt>
                <c:pt idx="1">
                  <c:v>80.25</c:v>
                </c:pt>
                <c:pt idx="2">
                  <c:v>80.13</c:v>
                </c:pt>
                <c:pt idx="3">
                  <c:v>82.94</c:v>
                </c:pt>
              </c:numCache>
            </c:numRef>
          </c:val>
          <c:smooth val="0"/>
          <c:extLst>
            <c:ext xmlns:c16="http://schemas.microsoft.com/office/drawing/2014/chart" uri="{C3380CC4-5D6E-409C-BE32-E72D297353CC}">
              <c16:uniqueId val="{00000000-4FEA-4DE3-AE46-F7B86B1751FD}"/>
            </c:ext>
          </c:extLst>
        </c:ser>
        <c:dLbls>
          <c:dLblPos val="b"/>
          <c:showLegendKey val="0"/>
          <c:showVal val="1"/>
          <c:showCatName val="0"/>
          <c:showSerName val="0"/>
          <c:showPercent val="0"/>
          <c:showBubbleSize val="0"/>
        </c:dLbls>
        <c:marker val="1"/>
        <c:smooth val="0"/>
        <c:axId val="248867560"/>
        <c:axId val="248867952"/>
      </c:lineChart>
      <c:catAx>
        <c:axId val="24886756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8867952"/>
        <c:crosses val="autoZero"/>
        <c:auto val="1"/>
        <c:lblAlgn val="ctr"/>
        <c:lblOffset val="100"/>
        <c:noMultiLvlLbl val="0"/>
      </c:catAx>
      <c:valAx>
        <c:axId val="24886795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88675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GB" sz="1000"/>
              <a:t>Stage 1 complaints dealt wiith within 5 days (%) Business, Employability &amp; Planning</a:t>
            </a:r>
          </a:p>
        </c:rich>
      </c:tx>
      <c:layout>
        <c:manualLayout>
          <c:xMode val="edge"/>
          <c:yMode val="edge"/>
          <c:x val="0.15653198964750148"/>
          <c:y val="0"/>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9188630867287297E-2"/>
          <c:y val="0.19156572001693814"/>
          <c:w val="0.86256713273350749"/>
          <c:h val="0.61317538985410558"/>
        </c:manualLayout>
      </c:layout>
      <c:lineChart>
        <c:grouping val="standard"/>
        <c:varyColors val="0"/>
        <c:ser>
          <c:idx val="0"/>
          <c:order val="0"/>
          <c:tx>
            <c:strRef>
              <c:f>'B&amp;E'!$B$69</c:f>
              <c:strCache>
                <c:ptCount val="1"/>
                <c:pt idx="0">
                  <c:v>Fife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AFB-4917-A45D-CDA1604299C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'B&amp;E'!$A$70:$A$72</c:f>
              <c:strCache>
                <c:ptCount val="3"/>
                <c:pt idx="0">
                  <c:v>2016/17</c:v>
                </c:pt>
                <c:pt idx="1">
                  <c:v>2017/18</c:v>
                </c:pt>
                <c:pt idx="2">
                  <c:v>2018/19</c:v>
                </c:pt>
              </c:strCache>
            </c:strRef>
          </c:cat>
          <c:val>
            <c:numRef>
              <c:f>'B&amp;E'!$B$70:$B$72</c:f>
              <c:numCache>
                <c:formatCode>General</c:formatCode>
                <c:ptCount val="3"/>
                <c:pt idx="0">
                  <c:v>91.81</c:v>
                </c:pt>
                <c:pt idx="1">
                  <c:v>88.28</c:v>
                </c:pt>
                <c:pt idx="2">
                  <c:v>90.77</c:v>
                </c:pt>
              </c:numCache>
            </c:numRef>
          </c:val>
          <c:smooth val="0"/>
          <c:extLst>
            <c:ext xmlns:c16="http://schemas.microsoft.com/office/drawing/2014/chart" uri="{C3380CC4-5D6E-409C-BE32-E72D297353CC}">
              <c16:uniqueId val="{00000001-BAFB-4917-A45D-CDA1604299CF}"/>
            </c:ext>
          </c:extLst>
        </c:ser>
        <c:ser>
          <c:idx val="2"/>
          <c:order val="1"/>
          <c:tx>
            <c:strRef>
              <c:f>'B&amp;E'!$D$69</c:f>
              <c:strCache>
                <c:ptCount val="1"/>
                <c:pt idx="0">
                  <c:v>Planning </c:v>
                </c:pt>
              </c:strCache>
            </c:strRef>
          </c:tx>
          <c:spPr>
            <a:ln w="28575" cap="rnd">
              <a:solidFill>
                <a:schemeClr val="accent2"/>
              </a:solidFill>
              <a:prstDash val="sysDash"/>
              <a:round/>
            </a:ln>
            <a:effectLst/>
          </c:spPr>
          <c:marker>
            <c:symbol val="circle"/>
            <c:size val="5"/>
            <c:spPr>
              <a:solidFill>
                <a:schemeClr val="accent2"/>
              </a:solidFill>
              <a:ln w="9525">
                <a:solidFill>
                  <a:schemeClr val="accent2"/>
                </a:solidFill>
              </a:ln>
              <a:effectLst/>
            </c:spPr>
          </c:marker>
          <c:dLbls>
            <c:dLbl>
              <c:idx val="1"/>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AFB-4917-A45D-CDA1604299C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'B&amp;E'!$A$70:$A$72</c:f>
              <c:strCache>
                <c:ptCount val="3"/>
                <c:pt idx="0">
                  <c:v>2016/17</c:v>
                </c:pt>
                <c:pt idx="1">
                  <c:v>2017/18</c:v>
                </c:pt>
                <c:pt idx="2">
                  <c:v>2018/19</c:v>
                </c:pt>
              </c:strCache>
            </c:strRef>
          </c:cat>
          <c:val>
            <c:numRef>
              <c:f>'B&amp;E'!$D$70:$D$72</c:f>
              <c:numCache>
                <c:formatCode>General</c:formatCode>
                <c:ptCount val="3"/>
                <c:pt idx="0" formatCode="0.00">
                  <c:v>84.62</c:v>
                </c:pt>
                <c:pt idx="1">
                  <c:v>100</c:v>
                </c:pt>
                <c:pt idx="2">
                  <c:v>87.5</c:v>
                </c:pt>
              </c:numCache>
            </c:numRef>
          </c:val>
          <c:smooth val="0"/>
          <c:extLst>
            <c:ext xmlns:c16="http://schemas.microsoft.com/office/drawing/2014/chart" uri="{C3380CC4-5D6E-409C-BE32-E72D297353CC}">
              <c16:uniqueId val="{00000003-BAFB-4917-A45D-CDA1604299CF}"/>
            </c:ext>
          </c:extLst>
        </c:ser>
        <c:dLbls>
          <c:dLblPos val="b"/>
          <c:showLegendKey val="0"/>
          <c:showVal val="1"/>
          <c:showCatName val="0"/>
          <c:showSerName val="0"/>
          <c:showPercent val="0"/>
          <c:showBubbleSize val="0"/>
        </c:dLbls>
        <c:marker val="1"/>
        <c:smooth val="0"/>
        <c:axId val="493396592"/>
        <c:axId val="493395936"/>
      </c:lineChart>
      <c:catAx>
        <c:axId val="49339659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3395936"/>
        <c:crosses val="autoZero"/>
        <c:auto val="1"/>
        <c:lblAlgn val="ctr"/>
        <c:lblOffset val="100"/>
        <c:noMultiLvlLbl val="0"/>
      </c:catAx>
      <c:valAx>
        <c:axId val="493395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3396592"/>
        <c:crosses val="autoZero"/>
        <c:crossBetween val="between"/>
      </c:valAx>
      <c:spPr>
        <a:noFill/>
        <a:ln>
          <a:noFill/>
        </a:ln>
        <a:effectLst/>
      </c:spPr>
    </c:plotArea>
    <c:legend>
      <c:legendPos val="b"/>
      <c:layout>
        <c:manualLayout>
          <c:xMode val="edge"/>
          <c:yMode val="edge"/>
          <c:x val="0.21537856318840309"/>
          <c:y val="0.90605364280272382"/>
          <c:w val="0.66311481647967963"/>
          <c:h val="9.394635719727623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Fife Document" ma:contentTypeID="0x010100A2637EAA83360140BB49E0F830C79BBC0100F83E10020D843946BC4606BA634DF8F7" ma:contentTypeVersion="12" ma:contentTypeDescription="" ma:contentTypeScope="" ma:versionID="d70da416a977ab5a8ee043f5d5e741dd">
  <xsd:schema xmlns:xsd="http://www.w3.org/2001/XMLSchema" xmlns:xs="http://www.w3.org/2001/XMLSchema" xmlns:p="http://schemas.microsoft.com/office/2006/metadata/properties" xmlns:ns2="264c5323-e590-4694-88b8-b70f18bb79bc" xmlns:ns3="75422c5c-010d-470d-a7c5-1822c7ba693e" targetNamespace="http://schemas.microsoft.com/office/2006/metadata/properties" ma:root="true" ma:fieldsID="bde459d1215dfc1e57f24dd10ec3530b" ns2:_="" ns3:_="">
    <xsd:import namespace="264c5323-e590-4694-88b8-b70f18bb79bc"/>
    <xsd:import namespace="75422c5c-010d-470d-a7c5-1822c7ba693e"/>
    <xsd:element name="properties">
      <xsd:complexType>
        <xsd:sequence>
          <xsd:element name="documentManagement">
            <xsd:complexType>
              <xsd:all>
                <xsd:element ref="ns2:Protective_x0020_Marking"/>
                <xsd:element ref="ns2:FinYearReq"/>
                <xsd:element ref="ns2:j7c3ea7b1fc84fa29f85968fcdc8726d" minOccurs="0"/>
                <xsd:element ref="ns2:TaxCatchAll" minOccurs="0"/>
                <xsd:element ref="ns2:TaxCatchAllLabel" minOccurs="0"/>
                <xsd:element ref="ns3:ItemPPRReq"/>
                <xsd:element ref="ns3:PolicyThemeReq"/>
                <xsd:element ref="ns3:ScoreCardThemeReq"/>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4c5323-e590-4694-88b8-b70f18bb79bc" elementFormDefault="qualified">
    <xsd:import namespace="http://schemas.microsoft.com/office/2006/documentManagement/types"/>
    <xsd:import namespace="http://schemas.microsoft.com/office/infopath/2007/PartnerControls"/>
    <xsd:element name="Protective_x0020_Marking" ma:index="8" ma:displayName="Protective Marking" ma:default="OFFICIAL" ma:format="Dropdown" ma:internalName="Protective_x0020_Marking" ma:readOnly="false">
      <xsd:simpleType>
        <xsd:restriction base="dms:Choice">
          <xsd:enumeration value="OFFICIAL - Sensitive"/>
          <xsd:enumeration value="OFFICIAL"/>
        </xsd:restriction>
      </xsd:simpleType>
    </xsd:element>
    <xsd:element name="FinYearReq" ma:index="9" ma:displayName="Fin Year*" ma:default="2021-03-31T00:00:00Z" ma:format="DateOnly" ma:internalName="FinYearReq" ma:readOnly="false">
      <xsd:simpleType>
        <xsd:restriction base="dms:DateTime"/>
      </xsd:simpleType>
    </xsd:element>
    <xsd:element name="j7c3ea7b1fc84fa29f85968fcdc8726d" ma:index="10" ma:taxonomy="true" ma:internalName="j7c3ea7b1fc84fa29f85968fcdc8726d" ma:taxonomyFieldName="FinancialYearReq" ma:displayName="Financial Year*" ma:readOnly="false" ma:default="" ma:fieldId="{37c3ea7b-1fc8-4fa2-9f85-968fcdc8726d}" ma:sspId="a91404d7-7751-41e8-a4ee-909c4e7c55f3" ma:termSetId="9b58a08c-f373-4f9a-9f4a-c004f4496583" ma:anchorId="00000000-0000-0000-0000-000000000000" ma:open="false" ma:isKeyword="false">
      <xsd:complexType>
        <xsd:sequence>
          <xsd:element ref="pc:Terms" minOccurs="0" maxOccurs="1"/>
        </xsd:sequence>
      </xsd:complexType>
    </xsd:element>
    <xsd:element name="TaxCatchAll" ma:index="11" nillable="true" ma:displayName="Taxonomy Catch All Column" ma:hidden="true" ma:list="{ee204aa7-0da6-4e89-918d-778555bc74db}" ma:internalName="TaxCatchAll" ma:showField="CatchAllData" ma:web="75422c5c-010d-470d-a7c5-1822c7ba693e">
      <xsd:complexType>
        <xsd:complexContent>
          <xsd:extension base="dms:MultiChoiceLookup">
            <xsd:sequence>
              <xsd:element name="Value" type="dms:Lookup" maxOccurs="unbounded" minOccurs="0" nillable="true"/>
            </xsd:sequence>
          </xsd:extension>
        </xsd:complexContent>
      </xsd:complexType>
    </xsd:element>
    <xsd:element name="TaxCatchAllLabel" ma:index="12" nillable="true" ma:displayName="Taxonomy Catch All Column1" ma:hidden="true" ma:list="{ee204aa7-0da6-4e89-918d-778555bc74db}" ma:internalName="TaxCatchAllLabel" ma:readOnly="true" ma:showField="CatchAllDataLabel" ma:web="75422c5c-010d-470d-a7c5-1822c7ba693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75422c5c-010d-470d-a7c5-1822c7ba693e" elementFormDefault="qualified">
    <xsd:import namespace="http://schemas.microsoft.com/office/2006/documentManagement/types"/>
    <xsd:import namespace="http://schemas.microsoft.com/office/infopath/2007/PartnerControls"/>
    <xsd:element name="ItemPPRReq" ma:index="14" ma:displayName="Item (PPR)*" ma:internalName="ItemPPRReq">
      <xsd:simpleType>
        <xsd:restriction base="dms:Choice">
          <xsd:enumeration value="Info Graphics"/>
          <xsd:enumeration value="Photograph"/>
          <xsd:enumeration value="PPR Report"/>
          <xsd:enumeration value="Committee Report"/>
          <xsd:enumeration value="Presentation"/>
          <xsd:enumeration value="E-Flyer"/>
          <xsd:enumeration value="Case Study"/>
          <xsd:enumeration value="Internal Guidance"/>
          <xsd:enumeration value="Survey"/>
          <xsd:enumeration value="Template"/>
          <xsd:enumeration value="SPI Direction"/>
          <xsd:enumeration value="Statutory Guidance"/>
          <xsd:enumeration value="Performance Page"/>
        </xsd:restriction>
      </xsd:simpleType>
    </xsd:element>
    <xsd:element name="PolicyThemeReq" ma:index="15" ma:displayName="Policy Theme*" ma:internalName="PolicyThemeReq" ma:readOnly="false">
      <xsd:simpleType>
        <xsd:restriction base="dms:Choice">
          <xsd:enumeration value="Community Safety"/>
          <xsd:enumeration value="Economy"/>
          <xsd:enumeration value="Education"/>
          <xsd:enumeration value="Environment"/>
          <xsd:enumeration value="Finance"/>
          <xsd:enumeration value="Sport and Leisure"/>
          <xsd:enumeration value="Organisation"/>
          <xsd:enumeration value="Housing"/>
          <xsd:enumeration value="Not Applicable"/>
        </xsd:restriction>
      </xsd:simpleType>
    </xsd:element>
    <xsd:element name="ScoreCardThemeReq" ma:index="16" ma:displayName="Score Card Theme*" ma:internalName="ScoreCardThemeReq" ma:readOnly="false">
      <xsd:simpleType>
        <xsd:restriction base="dms:Choice">
          <xsd:enumeration value="Customer"/>
          <xsd:enumeration value="Cost"/>
          <xsd:enumeration value="Not Applicable"/>
          <xsd:enumeration value="People"/>
          <xsd:enumeration value="Responsiveness"/>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a91404d7-7751-41e8-a4ee-909c4e7c55f3" ContentTypeId="0x010100A2637EAA83360140BB49E0F830C79BBC01" PreviousValue="false"/>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FinYearReq xmlns="264c5323-e590-4694-88b8-b70f18bb79bc">2021-03-31T00:00:00+00:00</FinYearReq>
    <ItemPPRReq xmlns="75422c5c-010d-470d-a7c5-1822c7ba693e">Performance Page</ItemPPRReq>
    <TaxCatchAll xmlns="264c5323-e590-4694-88b8-b70f18bb79bc">
      <Value>58</Value>
    </TaxCatchAll>
    <PolicyThemeReq xmlns="75422c5c-010d-470d-a7c5-1822c7ba693e">Not Applicable</PolicyThemeReq>
    <ScoreCardThemeReq xmlns="75422c5c-010d-470d-a7c5-1822c7ba693e">Not Applicable</ScoreCardThemeReq>
    <j7c3ea7b1fc84fa29f85968fcdc8726d xmlns="264c5323-e590-4694-88b8-b70f18bb79bc">
      <Terms xmlns="http://schemas.microsoft.com/office/infopath/2007/PartnerControls">
        <TermInfo xmlns="http://schemas.microsoft.com/office/infopath/2007/PartnerControls">
          <TermName xmlns="http://schemas.microsoft.com/office/infopath/2007/PartnerControls">2018 - 2019</TermName>
          <TermId xmlns="http://schemas.microsoft.com/office/infopath/2007/PartnerControls">615afd54-f9aa-41fa-86a7-1f9dd92a1838</TermId>
        </TermInfo>
      </Terms>
    </j7c3ea7b1fc84fa29f85968fcdc8726d>
    <Protective_x0020_Marking xmlns="264c5323-e590-4694-88b8-b70f18bb79bc">OFFICIAL</Protective_x0020_Marking>
  </documentManagement>
</p:properties>
</file>

<file path=customXml/itemProps1.xml><?xml version="1.0" encoding="utf-8"?>
<ds:datastoreItem xmlns:ds="http://schemas.openxmlformats.org/officeDocument/2006/customXml" ds:itemID="{EE2085AB-44BE-4FC5-B5C8-CD8F44E12036}">
  <ds:schemaRefs>
    <ds:schemaRef ds:uri="http://schemas.openxmlformats.org/officeDocument/2006/bibliography"/>
  </ds:schemaRefs>
</ds:datastoreItem>
</file>

<file path=customXml/itemProps2.xml><?xml version="1.0" encoding="utf-8"?>
<ds:datastoreItem xmlns:ds="http://schemas.openxmlformats.org/officeDocument/2006/customXml" ds:itemID="{A556ABC3-5500-4019-92DF-4D2ED32351A0}"/>
</file>

<file path=customXml/itemProps3.xml><?xml version="1.0" encoding="utf-8"?>
<ds:datastoreItem xmlns:ds="http://schemas.openxmlformats.org/officeDocument/2006/customXml" ds:itemID="{F0EF28BE-E81A-4671-B3B9-2DC14C99D826}"/>
</file>

<file path=customXml/itemProps4.xml><?xml version="1.0" encoding="utf-8"?>
<ds:datastoreItem xmlns:ds="http://schemas.openxmlformats.org/officeDocument/2006/customXml" ds:itemID="{36CC9C33-71A1-47CD-86B8-6A4E987EDCA2}"/>
</file>

<file path=customXml/itemProps5.xml><?xml version="1.0" encoding="utf-8"?>
<ds:datastoreItem xmlns:ds="http://schemas.openxmlformats.org/officeDocument/2006/customXml" ds:itemID="{3E0F8FD5-9B5E-437F-890C-028F41D444CB}"/>
</file>

<file path=docProps/app.xml><?xml version="1.0" encoding="utf-8"?>
<Properties xmlns="http://schemas.openxmlformats.org/officeDocument/2006/extended-properties" xmlns:vt="http://schemas.openxmlformats.org/officeDocument/2006/docPropsVTypes">
  <Template>Normal</Template>
  <TotalTime>1</TotalTime>
  <Pages>26</Pages>
  <Words>4680</Words>
  <Characters>25995</Characters>
  <Application>Microsoft Office Word</Application>
  <DocSecurity>0</DocSecurity>
  <Lines>216</Lines>
  <Paragraphs>61</Paragraphs>
  <ScaleCrop>false</ScaleCrop>
  <HeadingPairs>
    <vt:vector size="2" baseType="variant">
      <vt:variant>
        <vt:lpstr>Title</vt:lpstr>
      </vt:variant>
      <vt:variant>
        <vt:i4>1</vt:i4>
      </vt:variant>
    </vt:vector>
  </HeadingPairs>
  <TitlesOfParts>
    <vt:vector size="1" baseType="lpstr">
      <vt:lpstr>Policy, Finance and Asset Management Committee</vt:lpstr>
    </vt:vector>
  </TitlesOfParts>
  <Company>Fife Council</Company>
  <LinksUpToDate>false</LinksUpToDate>
  <CharactersWithSpaces>30614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Policy, Finance and Asset Management Committee</dc:title>
  <dc:subject/>
  <dc:creator>Jim Lumsden</dc:creator>
  <cp:keywords/>
  <cp:lastModifiedBy>Jacqui Prokes</cp:lastModifiedBy>
  <cp:revision>2</cp:revision>
  <cp:lastPrinted>2019-08-12T10:45:00Z</cp:lastPrinted>
  <dcterms:created xsi:type="dcterms:W3CDTF">2020-11-17T12:13:00Z</dcterms:created>
  <dcterms:modified xsi:type="dcterms:W3CDTF">2020-11-17T12:13:00Z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0x010100A2637EAA83360140BB49E0F830C79BBC0100F83E10020D843946BC4606BA634DF8F7</vt:lpwstr>
  </property>
  <property fmtid="{D5CDD505-2E9C-101B-9397-08002B2CF9AE}" pid="3" name="_dlc_policyId">
    <vt:lpwstr>/sites/mgtcor/per-mgt-dc/PublicPerformanceReporting</vt:lpwstr>
  </property>
  <property fmtid="{D5CDD505-2E9C-101B-9397-08002B2CF9AE}" pid="5" name="_dlc_ExpireDate">
    <vt:filetime>2021-11-17T12:33:04Z</vt:filetime>
  </property>
  <property fmtid="{D5CDD505-2E9C-101B-9397-08002B2CF9AE}" pid="6" name="ItemRetentionFormula">
    <vt:lpwstr>&lt;formula id="Microsoft.Office.RecordsManagement.PolicyFeatures.Expiration.Formula.BuiltIn"&gt;&lt;number&gt;1&lt;/number&gt;&lt;property&gt;Modified&lt;/property&gt;&lt;propertyId&gt;28cf69c5-fa48-462a-b5cd-27b6f9d2bd5f&lt;/propertyId&gt;&lt;period&gt;years&lt;/period&gt;&lt;/formula&gt;</vt:lpwstr>
  </property>
  <property fmtid="{D5CDD505-2E9C-101B-9397-08002B2CF9AE}" pid="7" name="FinancialYearReq">
    <vt:lpwstr>58;#2018 - 2019|615afd54-f9aa-41fa-86a7-1f9dd92a1838</vt:lpwstr>
  </property>
</Properties>
</file>