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51C5E" w14:textId="19A35919" w:rsidR="007F01FC" w:rsidRDefault="00560921" w:rsidP="004843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Dysart Primary School Improvement Plan 2021-22</w:t>
      </w:r>
    </w:p>
    <w:p w14:paraId="382DFD58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88"/>
        <w:tblW w:w="22534" w:type="dxa"/>
        <w:tblLayout w:type="fixed"/>
        <w:tblLook w:val="04A0" w:firstRow="1" w:lastRow="0" w:firstColumn="1" w:lastColumn="0" w:noHBand="0" w:noVBand="1"/>
      </w:tblPr>
      <w:tblGrid>
        <w:gridCol w:w="5351"/>
        <w:gridCol w:w="5417"/>
        <w:gridCol w:w="4253"/>
        <w:gridCol w:w="5103"/>
        <w:gridCol w:w="2410"/>
      </w:tblGrid>
      <w:tr w:rsidR="00560921" w:rsidRPr="00076251" w14:paraId="6BF8A830" w14:textId="77777777" w:rsidTr="00560921">
        <w:trPr>
          <w:trHeight w:val="432"/>
        </w:trPr>
        <w:tc>
          <w:tcPr>
            <w:tcW w:w="22534" w:type="dxa"/>
            <w:gridSpan w:val="5"/>
            <w:vAlign w:val="center"/>
          </w:tcPr>
          <w:p w14:paraId="55B7438C" w14:textId="77777777" w:rsidR="00560921" w:rsidRPr="00560921" w:rsidRDefault="00560921" w:rsidP="00560921">
            <w:pPr>
              <w:shd w:val="clear" w:color="auto" w:fill="FFFFFF"/>
              <w:rPr>
                <w:rFonts w:ascii="Roboto" w:eastAsia="Times New Roman" w:hAnsi="Roboto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60921">
              <w:rPr>
                <w:rFonts w:ascii="Roboto" w:eastAsia="Times New Roman" w:hAnsi="Roboto"/>
                <w:b/>
                <w:bCs/>
                <w:color w:val="333333"/>
                <w:sz w:val="24"/>
                <w:szCs w:val="24"/>
                <w:lang w:eastAsia="en-GB"/>
              </w:rPr>
              <w:t>Improvement in attainment, particularly in literacy and numeracy </w:t>
            </w:r>
          </w:p>
          <w:p w14:paraId="72A732AA" w14:textId="77777777" w:rsidR="00560921" w:rsidRPr="00560921" w:rsidRDefault="00560921" w:rsidP="005609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F97AD" w14:textId="77777777" w:rsidR="00560921" w:rsidRPr="00560921" w:rsidRDefault="00560921" w:rsidP="00560921">
            <w:pPr>
              <w:shd w:val="clear" w:color="auto" w:fill="FFFFFF"/>
              <w:ind w:left="1320"/>
              <w:rPr>
                <w:rFonts w:ascii="Roboto" w:eastAsia="Times New Roman" w:hAnsi="Roboto"/>
                <w:color w:val="333333"/>
                <w:sz w:val="24"/>
                <w:szCs w:val="24"/>
                <w:lang w:eastAsia="en-GB"/>
              </w:rPr>
            </w:pPr>
            <w:r w:rsidRPr="00560921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r w:rsidRPr="00560921">
              <w:rPr>
                <w:rFonts w:ascii="Roboto" w:eastAsia="Times New Roman" w:hAnsi="Roboto"/>
                <w:b/>
                <w:bCs/>
                <w:color w:val="333333"/>
                <w:sz w:val="24"/>
                <w:szCs w:val="24"/>
                <w:lang w:eastAsia="en-GB"/>
              </w:rPr>
              <w:t>Closing the attainment gap between the most and least disadvantaged children and young people</w:t>
            </w:r>
          </w:p>
          <w:p w14:paraId="6F7A7B52" w14:textId="77777777" w:rsidR="00560921" w:rsidRDefault="00560921" w:rsidP="00560921">
            <w:pPr>
              <w:rPr>
                <w:rFonts w:ascii="Arial" w:hAnsi="Arial"/>
                <w:i/>
                <w:szCs w:val="24"/>
              </w:rPr>
            </w:pPr>
          </w:p>
          <w:p w14:paraId="48D9F0D3" w14:textId="77777777" w:rsidR="00560921" w:rsidRPr="0007625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921" w:rsidRPr="00C8489D" w14:paraId="235E3665" w14:textId="77777777" w:rsidTr="00560921">
        <w:trPr>
          <w:trHeight w:val="410"/>
        </w:trPr>
        <w:tc>
          <w:tcPr>
            <w:tcW w:w="22534" w:type="dxa"/>
            <w:gridSpan w:val="5"/>
            <w:vAlign w:val="center"/>
          </w:tcPr>
          <w:p w14:paraId="3D593BF7" w14:textId="631A84D5" w:rsidR="00560921" w:rsidRPr="008B0333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B0333">
              <w:rPr>
                <w:rFonts w:ascii="Arial" w:hAnsi="Arial" w:cs="Arial"/>
                <w:bCs/>
                <w:sz w:val="24"/>
                <w:szCs w:val="24"/>
              </w:rPr>
              <w:t>Focused Priority 1:  Increase children’s skills in mental calculation and in applying knowledge, skills and understanding to solve numeracy and maths problems (P1-7)</w:t>
            </w:r>
            <w:r w:rsidR="00595A25" w:rsidRPr="008B0333">
              <w:rPr>
                <w:rFonts w:ascii="Arial" w:hAnsi="Arial" w:cs="Arial"/>
                <w:bCs/>
                <w:sz w:val="24"/>
                <w:szCs w:val="24"/>
              </w:rPr>
              <w:t xml:space="preserve"> by i</w:t>
            </w:r>
            <w:r w:rsidR="00CB6568" w:rsidRPr="008B0333">
              <w:rPr>
                <w:rFonts w:ascii="Arial" w:hAnsi="Arial" w:cs="Arial"/>
                <w:bCs/>
                <w:sz w:val="24"/>
                <w:szCs w:val="24"/>
              </w:rPr>
              <w:t xml:space="preserve">mplementing </w:t>
            </w:r>
            <w:r w:rsidR="00595A25" w:rsidRPr="008B0333">
              <w:rPr>
                <w:rFonts w:ascii="Arial" w:hAnsi="Arial" w:cs="Arial"/>
                <w:bCs/>
                <w:sz w:val="24"/>
                <w:szCs w:val="24"/>
              </w:rPr>
              <w:t>progressive mental maths framework and  opportunities to apply K,U and S</w:t>
            </w:r>
            <w:r w:rsidR="0044654A" w:rsidRPr="008B0333">
              <w:rPr>
                <w:rFonts w:ascii="Arial" w:hAnsi="Arial" w:cs="Arial"/>
                <w:bCs/>
                <w:sz w:val="24"/>
                <w:szCs w:val="24"/>
              </w:rPr>
              <w:t xml:space="preserve"> through 5 a day.</w:t>
            </w:r>
          </w:p>
        </w:tc>
      </w:tr>
      <w:tr w:rsidR="00560921" w14:paraId="56F00E82" w14:textId="77777777" w:rsidTr="00560921">
        <w:trPr>
          <w:trHeight w:val="415"/>
        </w:trPr>
        <w:tc>
          <w:tcPr>
            <w:tcW w:w="10768" w:type="dxa"/>
            <w:gridSpan w:val="2"/>
            <w:vAlign w:val="center"/>
          </w:tcPr>
          <w:p w14:paraId="705974FD" w14:textId="77777777" w:rsidR="00560921" w:rsidRPr="005078C9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78C9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11766" w:type="dxa"/>
            <w:gridSpan w:val="3"/>
            <w:vAlign w:val="center"/>
          </w:tcPr>
          <w:p w14:paraId="32EA05DF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560921" w14:paraId="520C2988" w14:textId="77777777" w:rsidTr="00560921">
        <w:trPr>
          <w:trHeight w:val="1278"/>
        </w:trPr>
        <w:tc>
          <w:tcPr>
            <w:tcW w:w="10768" w:type="dxa"/>
            <w:gridSpan w:val="2"/>
            <w:vAlign w:val="center"/>
          </w:tcPr>
          <w:p w14:paraId="52696A8A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31291DC1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>1.3 Leadership of Change</w:t>
            </w:r>
          </w:p>
          <w:p w14:paraId="116744FD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2.2 Curriculum </w:t>
            </w:r>
          </w:p>
          <w:p w14:paraId="41CE6983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2.3 Learning, Teaching and Assessment </w:t>
            </w:r>
          </w:p>
          <w:p w14:paraId="26B2AAFF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3.2 Raising Attainment </w:t>
            </w:r>
            <w:r>
              <w:rPr>
                <w:rFonts w:ascii="Arial" w:hAnsi="Arial"/>
                <w:sz w:val="20"/>
                <w:szCs w:val="20"/>
              </w:rPr>
              <w:t xml:space="preserve">and Achievement </w:t>
            </w:r>
          </w:p>
          <w:p w14:paraId="2F56BB66" w14:textId="77777777" w:rsidR="00560921" w:rsidRPr="005078C9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5078C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1766" w:type="dxa"/>
            <w:gridSpan w:val="3"/>
            <w:vAlign w:val="center"/>
          </w:tcPr>
          <w:p w14:paraId="2D600BD3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B27A56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0921" w:rsidRPr="00B27FFA" w14:paraId="35B536DB" w14:textId="77777777" w:rsidTr="00560921">
        <w:trPr>
          <w:trHeight w:val="458"/>
        </w:trPr>
        <w:tc>
          <w:tcPr>
            <w:tcW w:w="5351" w:type="dxa"/>
            <w:vAlign w:val="center"/>
          </w:tcPr>
          <w:p w14:paraId="37A21CA6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417" w:type="dxa"/>
            <w:vAlign w:val="center"/>
          </w:tcPr>
          <w:p w14:paraId="6131E8C4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4253" w:type="dxa"/>
            <w:vAlign w:val="center"/>
          </w:tcPr>
          <w:p w14:paraId="52BB8696" w14:textId="77777777" w:rsidR="00560921" w:rsidRPr="001C3BAC" w:rsidRDefault="00560921" w:rsidP="00560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AC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5103" w:type="dxa"/>
            <w:vAlign w:val="center"/>
          </w:tcPr>
          <w:p w14:paraId="7F270B18" w14:textId="77777777" w:rsidR="00560921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7E1996C" w14:textId="77777777" w:rsidR="00560921" w:rsidRPr="000A1781" w:rsidRDefault="00560921" w:rsidP="0056092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410" w:type="dxa"/>
            <w:vAlign w:val="center"/>
          </w:tcPr>
          <w:p w14:paraId="44C787E5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560921" w:rsidRPr="00621027" w14:paraId="44AE47FC" w14:textId="77777777" w:rsidTr="00560921">
        <w:trPr>
          <w:trHeight w:val="558"/>
        </w:trPr>
        <w:tc>
          <w:tcPr>
            <w:tcW w:w="5351" w:type="dxa"/>
          </w:tcPr>
          <w:p w14:paraId="04064129" w14:textId="77777777" w:rsidR="00560921" w:rsidRPr="00621027" w:rsidRDefault="00560921" w:rsidP="005609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FE6DF3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89116C9" w14:textId="1A268C92" w:rsidR="00595A25" w:rsidRPr="00992AD2" w:rsidRDefault="00992AD2" w:rsidP="00595A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560921" w:rsidRPr="00992AD2">
              <w:rPr>
                <w:rFonts w:ascii="Arial" w:hAnsi="Arial" w:cs="Arial"/>
                <w:bCs/>
                <w:sz w:val="20"/>
                <w:szCs w:val="20"/>
              </w:rPr>
              <w:t xml:space="preserve">hildren will increase mental calculation skills resulting in </w:t>
            </w:r>
            <w:r w:rsidR="00595A25" w:rsidRPr="00992AD2">
              <w:rPr>
                <w:rFonts w:ascii="Arial" w:hAnsi="Arial" w:cs="Arial"/>
                <w:bCs/>
                <w:sz w:val="20"/>
                <w:szCs w:val="20"/>
              </w:rPr>
              <w:t>almost all children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making </w:t>
            </w:r>
            <w:r w:rsidR="0044654A">
              <w:rPr>
                <w:rFonts w:ascii="Arial" w:hAnsi="Arial" w:cs="Arial"/>
                <w:bCs/>
                <w:sz w:val="20"/>
                <w:szCs w:val="20"/>
              </w:rPr>
              <w:t xml:space="preserve">very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good progress in numeracy. </w:t>
            </w:r>
          </w:p>
          <w:p w14:paraId="2FEBE45D" w14:textId="2DEF298F" w:rsidR="00560921" w:rsidRPr="00992AD2" w:rsidRDefault="00992AD2" w:rsidP="005609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560921" w:rsidRPr="00992AD2">
              <w:rPr>
                <w:rFonts w:ascii="Arial" w:hAnsi="Arial" w:cs="Arial"/>
                <w:bCs/>
                <w:sz w:val="20"/>
                <w:szCs w:val="20"/>
              </w:rPr>
              <w:t xml:space="preserve">hildren will show improvements in applying their knowledge, skills and understanding to problems and a result </w:t>
            </w:r>
            <w:r w:rsidR="0044654A">
              <w:rPr>
                <w:rFonts w:ascii="Arial" w:hAnsi="Arial" w:cs="Arial"/>
                <w:bCs/>
                <w:sz w:val="20"/>
                <w:szCs w:val="20"/>
              </w:rPr>
              <w:t xml:space="preserve">all children </w:t>
            </w:r>
            <w:r w:rsidR="00560921" w:rsidRPr="00992AD2">
              <w:rPr>
                <w:rFonts w:ascii="Arial" w:hAnsi="Arial" w:cs="Arial"/>
                <w:bCs/>
                <w:sz w:val="20"/>
                <w:szCs w:val="20"/>
              </w:rPr>
              <w:t xml:space="preserve">will make </w:t>
            </w:r>
            <w:r w:rsidR="0044654A">
              <w:rPr>
                <w:rFonts w:ascii="Arial" w:hAnsi="Arial" w:cs="Arial"/>
                <w:bCs/>
                <w:sz w:val="20"/>
                <w:szCs w:val="20"/>
              </w:rPr>
              <w:t xml:space="preserve">very </w:t>
            </w:r>
            <w:r w:rsidR="00560921" w:rsidRPr="00992AD2">
              <w:rPr>
                <w:rFonts w:ascii="Arial" w:hAnsi="Arial" w:cs="Arial"/>
                <w:bCs/>
                <w:sz w:val="20"/>
                <w:szCs w:val="20"/>
              </w:rPr>
              <w:t>good progress in Numeracy</w:t>
            </w:r>
            <w:r w:rsidR="00595A25" w:rsidRPr="00992AD2">
              <w:rPr>
                <w:rFonts w:ascii="Arial" w:hAnsi="Arial" w:cs="Arial"/>
                <w:bCs/>
                <w:sz w:val="20"/>
                <w:szCs w:val="20"/>
              </w:rPr>
              <w:t xml:space="preserve"> and Maths</w:t>
            </w:r>
            <w:r w:rsidR="00560921" w:rsidRPr="00992AD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C4DA0B4" w14:textId="53055B6E" w:rsidR="00992AD2" w:rsidRPr="002D6D5A" w:rsidRDefault="00992AD2" w:rsidP="005609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92AD2">
              <w:rPr>
                <w:rFonts w:ascii="Arial" w:hAnsi="Arial" w:cs="Arial"/>
                <w:sz w:val="20"/>
                <w:szCs w:val="20"/>
              </w:rPr>
              <w:t xml:space="preserve">An appropriate range of assessments alongside benchmarking will lead to improvements in attainment. </w:t>
            </w:r>
          </w:p>
          <w:p w14:paraId="0F917D14" w14:textId="53B0A275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5500D" w14:textId="75ECCBA0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4CAF37" w14:textId="50EA8EA5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F3C96" w14:textId="33742EDE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36D577" w14:textId="51A7EF66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980C99" w14:textId="0E281CAE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E1038C" w14:textId="5A51DE82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D21A77" w14:textId="444DF6A9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FC8A68" w14:textId="5C56AFE4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A69E44" w14:textId="0712416B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644783" w14:textId="3C185BC9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85F6C7" w14:textId="6758F214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4BD589" w14:textId="2A4BD4AB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2A6D2D" w14:textId="08AB3503" w:rsidR="002D6D5A" w:rsidRDefault="002D6D5A" w:rsidP="002D6D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1D6984" w14:textId="5632EFF6" w:rsidR="002D6D5A" w:rsidRPr="002D6D5A" w:rsidRDefault="002D6D5A" w:rsidP="00FA1610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A49A42" w14:textId="77777777" w:rsidR="00560921" w:rsidRDefault="00560921" w:rsidP="005609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BE919E" w14:textId="77777777" w:rsidR="00560921" w:rsidRDefault="00560921" w:rsidP="005609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E54AB7" w14:textId="77777777" w:rsidR="00560921" w:rsidRPr="00E914C6" w:rsidRDefault="00560921" w:rsidP="00560921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03309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2B0F7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BE59F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4E233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68569" w14:textId="77777777" w:rsidR="00560921" w:rsidRPr="00EA12FE" w:rsidRDefault="00560921" w:rsidP="0056092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</w:tcPr>
          <w:p w14:paraId="09A8E08B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AEE58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56622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use of mental skills progression framework from P1-P7 </w:t>
            </w:r>
          </w:p>
          <w:p w14:paraId="10FFAD1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ECB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 More to share the cluster improvement project in P7 maths and numeracy from last session. </w:t>
            </w:r>
          </w:p>
          <w:p w14:paraId="0148625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1C992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5 a day numeracy and maths problems (linked to Experiences and Outcomes) in P2 and P3 (Terms 2 and 4 only) </w:t>
            </w:r>
          </w:p>
          <w:p w14:paraId="66CECCB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F81C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10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day word problems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from P4-6 (Terms 2 and 4 only) </w:t>
            </w:r>
          </w:p>
          <w:p w14:paraId="6A71D90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09EF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Introduce 10 a day word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problems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(Terms 2-4) in P7 </w:t>
            </w:r>
          </w:p>
          <w:p w14:paraId="28FE478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A3CC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assessment matrix to track and monitor the progress of all children. </w:t>
            </w:r>
          </w:p>
          <w:p w14:paraId="29C9EC5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BB358" w14:textId="7C277613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Hutton</w:t>
            </w:r>
            <w:r w:rsidR="00595A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00595A25">
              <w:rPr>
                <w:rFonts w:ascii="Arial" w:hAnsi="Arial" w:cs="Arial"/>
                <w:sz w:val="20"/>
                <w:szCs w:val="20"/>
              </w:rPr>
              <w:t xml:space="preserve">PT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out of class) will collaborate with class teachers to identify development needs for individuals and specific groups and support through numeracy recovery work. (PEF)</w:t>
            </w:r>
          </w:p>
          <w:p w14:paraId="1E9C2198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189E6" w14:textId="34BE666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Jenny Hutton to</w:t>
            </w:r>
            <w:r w:rsidR="00595A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54A">
              <w:rPr>
                <w:rFonts w:ascii="Arial" w:hAnsi="Arial" w:cs="Arial"/>
                <w:sz w:val="20"/>
                <w:szCs w:val="20"/>
              </w:rPr>
              <w:t xml:space="preserve">coach </w:t>
            </w:r>
            <w:r w:rsidR="00595A25">
              <w:rPr>
                <w:rFonts w:ascii="Arial" w:hAnsi="Arial" w:cs="Arial"/>
                <w:sz w:val="20"/>
                <w:szCs w:val="20"/>
              </w:rPr>
              <w:t>staff to ensure consistent approaches to conceptual numeracy</w:t>
            </w:r>
            <w:r w:rsidR="0044654A">
              <w:rPr>
                <w:rFonts w:ascii="Arial" w:hAnsi="Arial" w:cs="Arial"/>
                <w:sz w:val="20"/>
                <w:szCs w:val="20"/>
              </w:rPr>
              <w:t xml:space="preserve"> including lesson study model with two teachers per term. </w:t>
            </w:r>
          </w:p>
          <w:p w14:paraId="29D439E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E7510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use of Leckie and Leckie assessments at key points in the year. (particularly P1, P4 and P7)</w:t>
            </w:r>
          </w:p>
        </w:tc>
        <w:tc>
          <w:tcPr>
            <w:tcW w:w="4253" w:type="dxa"/>
          </w:tcPr>
          <w:p w14:paraId="1E9DC35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C13B0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6BFF0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by Jenny Hutton, CT </w:t>
            </w:r>
          </w:p>
          <w:p w14:paraId="4224BE2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Suzann Crofts, CT</w:t>
            </w:r>
          </w:p>
          <w:p w14:paraId="16A0115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55C3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08E1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8D557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D262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E4F55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teaching staff </w:t>
            </w:r>
          </w:p>
        </w:tc>
        <w:tc>
          <w:tcPr>
            <w:tcW w:w="5103" w:type="dxa"/>
          </w:tcPr>
          <w:p w14:paraId="7096588D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00FE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FF2CB2" w14:textId="196BDD72" w:rsidR="00560921" w:rsidRDefault="00992AD2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and monitoring of da</w:t>
            </w:r>
            <w:r w:rsidR="00560921">
              <w:rPr>
                <w:rFonts w:ascii="Arial" w:hAnsi="Arial" w:cs="Arial"/>
                <w:sz w:val="20"/>
                <w:szCs w:val="20"/>
              </w:rPr>
              <w:t xml:space="preserve">ta from assessment matrices </w:t>
            </w:r>
            <w:r w:rsidR="00595A25">
              <w:rPr>
                <w:rFonts w:ascii="Arial" w:hAnsi="Arial" w:cs="Arial"/>
                <w:sz w:val="20"/>
                <w:szCs w:val="20"/>
              </w:rPr>
              <w:t>will show children’s progress across experiences and outcomes</w:t>
            </w:r>
          </w:p>
          <w:p w14:paraId="62627457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618F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Children’s views on their progress </w:t>
            </w:r>
          </w:p>
          <w:p w14:paraId="48C913D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68610" w14:textId="698B1CDE" w:rsidR="00560921" w:rsidRDefault="00595A25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  <w:r w:rsidR="00560921">
              <w:rPr>
                <w:rFonts w:ascii="Arial" w:hAnsi="Arial" w:cs="Arial"/>
                <w:sz w:val="20"/>
                <w:szCs w:val="20"/>
              </w:rPr>
              <w:t xml:space="preserve"> observations of children’s </w:t>
            </w:r>
            <w:r>
              <w:rPr>
                <w:rFonts w:ascii="Arial" w:hAnsi="Arial" w:cs="Arial"/>
                <w:sz w:val="20"/>
                <w:szCs w:val="20"/>
              </w:rPr>
              <w:t xml:space="preserve">accuracy, motivation and engagement. </w:t>
            </w:r>
          </w:p>
          <w:p w14:paraId="2F0510C8" w14:textId="64042B09" w:rsidR="00595A25" w:rsidRDefault="00595A25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90A692" w14:textId="77777777" w:rsidR="00595A25" w:rsidRDefault="00595A25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A59CB" w14:textId="31B1BC46" w:rsidR="00595A25" w:rsidRPr="00621027" w:rsidRDefault="00595A25" w:rsidP="005609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23C046" w14:textId="77777777" w:rsidR="00560921" w:rsidRPr="00621027" w:rsidRDefault="00560921" w:rsidP="005609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941D1D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2DB9A8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9BF">
              <w:rPr>
                <w:rFonts w:ascii="Arial" w:hAnsi="Arial" w:cs="Arial"/>
                <w:bCs/>
                <w:sz w:val="20"/>
                <w:szCs w:val="20"/>
              </w:rPr>
              <w:t xml:space="preserve">Term 1 – introduce mental maths progression </w:t>
            </w:r>
          </w:p>
          <w:p w14:paraId="51380685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F07C3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9AFCF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9BF">
              <w:rPr>
                <w:rFonts w:ascii="Arial" w:hAnsi="Arial" w:cs="Arial"/>
                <w:bCs/>
                <w:sz w:val="20"/>
                <w:szCs w:val="20"/>
              </w:rPr>
              <w:t xml:space="preserve">Term 2 – introduce 5/10 a day with assessment matrix </w:t>
            </w:r>
          </w:p>
          <w:p w14:paraId="7B9A8EA8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5FC9F9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45AE8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9BF">
              <w:rPr>
                <w:rFonts w:ascii="Arial" w:hAnsi="Arial" w:cs="Arial"/>
                <w:bCs/>
                <w:sz w:val="20"/>
                <w:szCs w:val="20"/>
              </w:rPr>
              <w:t>Term 1 – Jenny to work with identified children from last session – Numeracy recovery groups</w:t>
            </w:r>
          </w:p>
          <w:p w14:paraId="39B03D17" w14:textId="77777777" w:rsidR="00560921" w:rsidRPr="00A709BF" w:rsidRDefault="00560921" w:rsidP="005609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467C8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09BF">
              <w:rPr>
                <w:rFonts w:ascii="Arial" w:hAnsi="Arial" w:cs="Arial"/>
                <w:bCs/>
                <w:sz w:val="20"/>
                <w:szCs w:val="20"/>
              </w:rPr>
              <w:t>Terms 3 and 4 develop use of Leckie and Leckie assessments</w:t>
            </w:r>
          </w:p>
        </w:tc>
      </w:tr>
    </w:tbl>
    <w:p w14:paraId="575CDF7A" w14:textId="77777777" w:rsidR="005078C9" w:rsidRDefault="005078C9" w:rsidP="005418BA">
      <w:pPr>
        <w:rPr>
          <w:rFonts w:ascii="Arial" w:hAnsi="Arial" w:cs="Arial"/>
          <w:sz w:val="24"/>
          <w:szCs w:val="24"/>
        </w:rPr>
      </w:pPr>
    </w:p>
    <w:p w14:paraId="20F6223D" w14:textId="77777777" w:rsidR="005078C9" w:rsidRDefault="005078C9" w:rsidP="005418BA">
      <w:pPr>
        <w:rPr>
          <w:rFonts w:ascii="Arial" w:hAnsi="Arial" w:cs="Arial"/>
          <w:sz w:val="24"/>
          <w:szCs w:val="24"/>
        </w:rPr>
      </w:pPr>
    </w:p>
    <w:p w14:paraId="1D8C4C9D" w14:textId="77777777" w:rsidR="005078C9" w:rsidRDefault="005078C9" w:rsidP="005418BA">
      <w:pPr>
        <w:rPr>
          <w:rFonts w:ascii="Arial" w:hAnsi="Arial" w:cs="Arial"/>
          <w:sz w:val="24"/>
          <w:szCs w:val="24"/>
        </w:rPr>
      </w:pPr>
    </w:p>
    <w:p w14:paraId="6D63E469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27"/>
        <w:tblW w:w="22817" w:type="dxa"/>
        <w:tblLayout w:type="fixed"/>
        <w:tblLook w:val="04A0" w:firstRow="1" w:lastRow="0" w:firstColumn="1" w:lastColumn="0" w:noHBand="0" w:noVBand="1"/>
      </w:tblPr>
      <w:tblGrid>
        <w:gridCol w:w="5351"/>
        <w:gridCol w:w="5417"/>
        <w:gridCol w:w="4395"/>
        <w:gridCol w:w="4961"/>
        <w:gridCol w:w="2693"/>
      </w:tblGrid>
      <w:tr w:rsidR="00560921" w:rsidRPr="00076251" w14:paraId="5F14C3FC" w14:textId="77777777" w:rsidTr="00560921">
        <w:trPr>
          <w:trHeight w:val="432"/>
        </w:trPr>
        <w:tc>
          <w:tcPr>
            <w:tcW w:w="22817" w:type="dxa"/>
            <w:gridSpan w:val="5"/>
            <w:vAlign w:val="center"/>
          </w:tcPr>
          <w:p w14:paraId="645045D4" w14:textId="4ADCF8A3" w:rsidR="00FA1610" w:rsidRPr="00FA1610" w:rsidRDefault="00560921" w:rsidP="00FA1610">
            <w:pPr>
              <w:shd w:val="clear" w:color="auto" w:fill="FFFFFF"/>
              <w:spacing w:line="33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1610" w:rsidRPr="00FA1610"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  <w:t>improvement in employability skills and sustained, positive school-leaver destinations for all young people.</w:t>
            </w:r>
          </w:p>
          <w:p w14:paraId="3463DE12" w14:textId="77777777" w:rsidR="00FA1610" w:rsidRPr="00FA1610" w:rsidRDefault="00FA1610" w:rsidP="00FA1610">
            <w:pPr>
              <w:numPr>
                <w:ilvl w:val="0"/>
                <w:numId w:val="9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</w:pPr>
            <w:r w:rsidRPr="00FA1610"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  <w:t>improvement in attainment, particularly in literacy and numeracy;</w:t>
            </w:r>
          </w:p>
          <w:p w14:paraId="764B1B26" w14:textId="77777777" w:rsidR="00FA1610" w:rsidRPr="00FA1610" w:rsidRDefault="00FA1610" w:rsidP="00FA1610">
            <w:pPr>
              <w:numPr>
                <w:ilvl w:val="0"/>
                <w:numId w:val="9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</w:pPr>
            <w:r w:rsidRPr="00FA1610"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  <w:t>closing the attainment gap between the most and least disadvantaged children and young people;</w:t>
            </w:r>
          </w:p>
          <w:p w14:paraId="430C4795" w14:textId="1A5B6748" w:rsidR="00560921" w:rsidRPr="008B0333" w:rsidRDefault="00FA1610" w:rsidP="008B0333">
            <w:pPr>
              <w:numPr>
                <w:ilvl w:val="0"/>
                <w:numId w:val="9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</w:pPr>
            <w:r w:rsidRPr="00FA1610">
              <w:rPr>
                <w:rFonts w:ascii="Roboto" w:eastAsia="Times New Roman" w:hAnsi="Roboto"/>
                <w:color w:val="111111"/>
                <w:sz w:val="24"/>
                <w:szCs w:val="24"/>
                <w:lang w:eastAsia="en-GB"/>
              </w:rPr>
              <w:t>improvement in children and young people’s health and wellbeing;</w:t>
            </w:r>
          </w:p>
          <w:p w14:paraId="4923021C" w14:textId="77777777" w:rsidR="00560921" w:rsidRPr="0007625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921" w:rsidRPr="00C8489D" w14:paraId="7D24112E" w14:textId="77777777" w:rsidTr="00560921">
        <w:trPr>
          <w:trHeight w:val="410"/>
        </w:trPr>
        <w:tc>
          <w:tcPr>
            <w:tcW w:w="22817" w:type="dxa"/>
            <w:gridSpan w:val="5"/>
            <w:vAlign w:val="center"/>
          </w:tcPr>
          <w:p w14:paraId="3AAF9641" w14:textId="71C990AA" w:rsidR="00560921" w:rsidRPr="00CB4959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78C9">
              <w:rPr>
                <w:rFonts w:ascii="Arial" w:hAnsi="Arial" w:cs="Arial"/>
                <w:b/>
                <w:sz w:val="20"/>
                <w:szCs w:val="20"/>
              </w:rPr>
              <w:t xml:space="preserve">Focused Priority </w:t>
            </w:r>
            <w:r w:rsidR="00746C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078C9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746CA0">
              <w:rPr>
                <w:rFonts w:ascii="Arial" w:hAnsi="Arial" w:cs="Arial"/>
                <w:b/>
                <w:sz w:val="20"/>
                <w:szCs w:val="20"/>
              </w:rPr>
              <w:t xml:space="preserve">Enhance the totality of experiences </w:t>
            </w:r>
            <w:r w:rsidR="00DD3745">
              <w:rPr>
                <w:rFonts w:ascii="Arial" w:hAnsi="Arial" w:cs="Arial"/>
                <w:b/>
                <w:sz w:val="20"/>
                <w:szCs w:val="20"/>
              </w:rPr>
              <w:t xml:space="preserve">for all children </w:t>
            </w:r>
            <w:r w:rsidR="002A2B84">
              <w:rPr>
                <w:rFonts w:ascii="Arial" w:hAnsi="Arial" w:cs="Arial"/>
                <w:b/>
                <w:sz w:val="20"/>
                <w:szCs w:val="20"/>
              </w:rPr>
              <w:t>by involving all stakeholders in creating Curriculum Rationale and developing Expressive Arts/Outdoor Learning Pathways</w:t>
            </w:r>
          </w:p>
        </w:tc>
      </w:tr>
      <w:tr w:rsidR="00560921" w14:paraId="5B454B41" w14:textId="77777777" w:rsidTr="00560921">
        <w:trPr>
          <w:trHeight w:val="415"/>
        </w:trPr>
        <w:tc>
          <w:tcPr>
            <w:tcW w:w="10768" w:type="dxa"/>
            <w:gridSpan w:val="2"/>
            <w:vAlign w:val="center"/>
          </w:tcPr>
          <w:p w14:paraId="6BB3FC2F" w14:textId="77777777" w:rsidR="00560921" w:rsidRPr="005078C9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78C9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12049" w:type="dxa"/>
            <w:gridSpan w:val="3"/>
            <w:vAlign w:val="center"/>
          </w:tcPr>
          <w:p w14:paraId="72DE7542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560921" w14:paraId="0DD89572" w14:textId="77777777" w:rsidTr="00560921">
        <w:trPr>
          <w:trHeight w:val="1278"/>
        </w:trPr>
        <w:tc>
          <w:tcPr>
            <w:tcW w:w="10768" w:type="dxa"/>
            <w:gridSpan w:val="2"/>
            <w:vAlign w:val="center"/>
          </w:tcPr>
          <w:p w14:paraId="0C64D435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132DB5B2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>1.3 Leadership of Change</w:t>
            </w:r>
          </w:p>
          <w:p w14:paraId="5BA0293B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2.2 Curriculum </w:t>
            </w:r>
          </w:p>
          <w:p w14:paraId="2A5AA5C9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2.3 Learning, Teaching and Assessment </w:t>
            </w:r>
          </w:p>
          <w:p w14:paraId="7296D254" w14:textId="77777777" w:rsidR="00560921" w:rsidRPr="005078C9" w:rsidRDefault="00560921" w:rsidP="00560921">
            <w:pPr>
              <w:rPr>
                <w:rFonts w:ascii="Arial" w:hAnsi="Arial"/>
                <w:sz w:val="20"/>
                <w:szCs w:val="20"/>
              </w:rPr>
            </w:pPr>
            <w:r w:rsidRPr="005078C9">
              <w:rPr>
                <w:rFonts w:ascii="Arial" w:hAnsi="Arial"/>
                <w:sz w:val="20"/>
                <w:szCs w:val="20"/>
              </w:rPr>
              <w:t xml:space="preserve">3.2 Raising Attainment </w:t>
            </w:r>
            <w:r>
              <w:rPr>
                <w:rFonts w:ascii="Arial" w:hAnsi="Arial"/>
                <w:sz w:val="20"/>
                <w:szCs w:val="20"/>
              </w:rPr>
              <w:t xml:space="preserve">and Achievement </w:t>
            </w:r>
          </w:p>
          <w:p w14:paraId="1F0FD734" w14:textId="77777777" w:rsidR="00560921" w:rsidRPr="005078C9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5078C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2049" w:type="dxa"/>
            <w:gridSpan w:val="3"/>
            <w:vAlign w:val="center"/>
          </w:tcPr>
          <w:p w14:paraId="3DBFB4F1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Leadership of Change </w:t>
            </w:r>
          </w:p>
          <w:p w14:paraId="29B01670" w14:textId="77777777" w:rsidR="00560921" w:rsidRDefault="00560921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Curriculum </w:t>
            </w:r>
          </w:p>
          <w:p w14:paraId="5A76FB62" w14:textId="77777777" w:rsidR="00AE68FA" w:rsidRDefault="00AE68FA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Learning, Teaching and Assessment </w:t>
            </w:r>
          </w:p>
          <w:p w14:paraId="7E8D4D3A" w14:textId="45A0DCE8" w:rsidR="00AE68FA" w:rsidRDefault="00AE68FA" w:rsidP="0056092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Raising attainment and achievement </w:t>
            </w:r>
          </w:p>
        </w:tc>
      </w:tr>
      <w:tr w:rsidR="00560921" w:rsidRPr="00B27FFA" w14:paraId="2A50B6AE" w14:textId="77777777" w:rsidTr="00560921">
        <w:trPr>
          <w:trHeight w:val="458"/>
        </w:trPr>
        <w:tc>
          <w:tcPr>
            <w:tcW w:w="5351" w:type="dxa"/>
            <w:vAlign w:val="center"/>
          </w:tcPr>
          <w:p w14:paraId="48E9F521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417" w:type="dxa"/>
            <w:vAlign w:val="center"/>
          </w:tcPr>
          <w:p w14:paraId="526DCE1A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4395" w:type="dxa"/>
            <w:vAlign w:val="center"/>
          </w:tcPr>
          <w:p w14:paraId="5988907D" w14:textId="77777777" w:rsidR="00560921" w:rsidRPr="001C3BAC" w:rsidRDefault="00560921" w:rsidP="005609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AC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4961" w:type="dxa"/>
            <w:vAlign w:val="center"/>
          </w:tcPr>
          <w:p w14:paraId="671BEB77" w14:textId="77777777" w:rsidR="00560921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35252F30" w14:textId="77777777" w:rsidR="00560921" w:rsidRPr="000A1781" w:rsidRDefault="00560921" w:rsidP="0056092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693" w:type="dxa"/>
            <w:vAlign w:val="center"/>
          </w:tcPr>
          <w:p w14:paraId="6E90210C" w14:textId="77777777" w:rsidR="00560921" w:rsidRPr="00B27FFA" w:rsidRDefault="00560921" w:rsidP="00560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560921" w:rsidRPr="00621027" w14:paraId="00B2B7DD" w14:textId="77777777" w:rsidTr="00560921">
        <w:trPr>
          <w:trHeight w:val="558"/>
        </w:trPr>
        <w:tc>
          <w:tcPr>
            <w:tcW w:w="5351" w:type="dxa"/>
          </w:tcPr>
          <w:p w14:paraId="757D0BA5" w14:textId="61EE9B6B" w:rsidR="00560921" w:rsidRPr="00621027" w:rsidRDefault="002A2B84" w:rsidP="005609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2B84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ELCC and Primary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934C25C" w14:textId="77777777" w:rsidR="00560921" w:rsidRDefault="00560921" w:rsidP="005609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All stakeholders can talk about our vision, values and aims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1225B" w14:textId="2B0718E5" w:rsidR="00560921" w:rsidRPr="00621027" w:rsidRDefault="00560921" w:rsidP="005609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stakeholders have been involved in creating vision, values and aims. </w:t>
            </w:r>
            <w:r w:rsidR="00FA1610">
              <w:rPr>
                <w:rFonts w:ascii="Arial" w:hAnsi="Arial" w:cs="Arial"/>
                <w:sz w:val="20"/>
                <w:szCs w:val="20"/>
              </w:rPr>
              <w:t xml:space="preserve">(consider links to </w:t>
            </w:r>
            <w:proofErr w:type="gramStart"/>
            <w:r w:rsidR="00FA1610">
              <w:rPr>
                <w:rFonts w:ascii="Arial" w:hAnsi="Arial" w:cs="Arial"/>
                <w:sz w:val="20"/>
                <w:szCs w:val="20"/>
              </w:rPr>
              <w:t>UNCRC )</w:t>
            </w:r>
            <w:proofErr w:type="gramEnd"/>
          </w:p>
          <w:p w14:paraId="245FDC3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01E0C" w14:textId="5B02FC70" w:rsidR="00560921" w:rsidRDefault="00746CA0" w:rsidP="005609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560921" w:rsidRPr="00621027">
              <w:rPr>
                <w:rFonts w:ascii="Arial" w:hAnsi="Arial" w:cs="Arial"/>
                <w:sz w:val="20"/>
                <w:szCs w:val="20"/>
              </w:rPr>
              <w:t>stakeholders will have a shared understanding of what we are trying to achieve through the curriculum at Dysart Primary School. (How we do things in our school)</w:t>
            </w:r>
          </w:p>
          <w:p w14:paraId="0FDD73B3" w14:textId="77777777" w:rsidR="00560921" w:rsidRDefault="00560921" w:rsidP="0056092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AC5C7D" w14:textId="77777777" w:rsidR="00560921" w:rsidRPr="001C3BAC" w:rsidRDefault="00560921" w:rsidP="00560921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505AC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975E4A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092FAD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76BDD1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D5CB6B7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8DA88BC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BC70B0" w14:textId="77777777" w:rsidR="00560921" w:rsidRDefault="00560921" w:rsidP="00560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3BC1FE" w14:textId="09D43B3E" w:rsidR="00560921" w:rsidRPr="00621027" w:rsidRDefault="00560921" w:rsidP="005609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All staff will have shared expectations for learning and teaching within Expressive Arts and as a result all children will experience a consistent and progressive approach of delivery across the school.</w:t>
            </w:r>
          </w:p>
          <w:p w14:paraId="398DEDA3" w14:textId="77777777" w:rsidR="00560921" w:rsidRDefault="00560921" w:rsidP="005609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c</w:t>
            </w:r>
            <w:r w:rsidRPr="00621027">
              <w:rPr>
                <w:rFonts w:ascii="Arial" w:hAnsi="Arial" w:cs="Arial"/>
                <w:sz w:val="20"/>
                <w:szCs w:val="20"/>
              </w:rPr>
              <w:t>hildren will be able to talk about their range of experiences in the Expressive Arts and the progress they have made.</w:t>
            </w:r>
          </w:p>
          <w:p w14:paraId="14E2612E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BB6E8D1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30E823A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EA6BEEB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DF6FAA9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6FB1591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9770C01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7146246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40ADE17" w14:textId="77777777" w:rsidR="00560921" w:rsidRPr="0098351A" w:rsidRDefault="00560921" w:rsidP="0056092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8351A">
              <w:rPr>
                <w:rFonts w:ascii="Arial" w:hAnsi="Arial" w:cs="Arial"/>
                <w:sz w:val="20"/>
                <w:szCs w:val="20"/>
              </w:rPr>
              <w:t xml:space="preserve">Outdoor Learning is well planned, relevant and progressive. All children have opportunities to learn across the four contexts in the outdoors. </w:t>
            </w:r>
          </w:p>
          <w:p w14:paraId="2FF6D6D9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9D090B" w14:textId="77777777" w:rsidR="00560921" w:rsidRDefault="00560921" w:rsidP="0056092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70A60A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EAC90" w14:textId="77777777" w:rsidR="00560921" w:rsidRDefault="00560921" w:rsidP="0056092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F15D6" w14:textId="77777777" w:rsidR="00560921" w:rsidRPr="00EA12FE" w:rsidRDefault="00560921" w:rsidP="00560921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</w:tcPr>
          <w:p w14:paraId="3505809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23167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Involve all stakeholders in reviewing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refreshing </w:t>
            </w:r>
            <w:r w:rsidRPr="00621027">
              <w:rPr>
                <w:rFonts w:ascii="Arial" w:hAnsi="Arial" w:cs="Arial"/>
                <w:sz w:val="20"/>
                <w:szCs w:val="20"/>
              </w:rPr>
              <w:t xml:space="preserve">vision and values.  (virtual assemblies,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21027">
              <w:rPr>
                <w:rFonts w:ascii="Arial" w:hAnsi="Arial" w:cs="Arial"/>
                <w:sz w:val="20"/>
                <w:szCs w:val="20"/>
              </w:rPr>
              <w:t>icrosoft forms)</w:t>
            </w:r>
          </w:p>
          <w:p w14:paraId="7022C05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A4212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 xml:space="preserve">Consult with all stakeholders to develop shared understanding of what makes Dysart Unique. (virtual assemblies,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21027">
              <w:rPr>
                <w:rFonts w:ascii="Arial" w:hAnsi="Arial" w:cs="Arial"/>
                <w:sz w:val="20"/>
                <w:szCs w:val="20"/>
              </w:rPr>
              <w:t>icrosoft forms)</w:t>
            </w:r>
          </w:p>
          <w:p w14:paraId="56056C4D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B5EB" w14:textId="77777777" w:rsidR="00560921" w:rsidRPr="009E5C62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stakeholders involved in developing Curriculum Rationale. </w:t>
            </w:r>
            <w:r w:rsidRPr="009E5C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Involve all staff in the </w:t>
            </w:r>
            <w:r w:rsidRPr="009E5C62">
              <w:rPr>
                <w:rFonts w:ascii="Arial" w:hAnsi="Arial" w:cs="Arial"/>
                <w:sz w:val="20"/>
                <w:szCs w:val="20"/>
              </w:rPr>
              <w:t xml:space="preserve">self-evaluation process, evaluating </w:t>
            </w:r>
            <w:r>
              <w:rPr>
                <w:rFonts w:ascii="Arial" w:hAnsi="Arial" w:cs="Arial"/>
                <w:sz w:val="20"/>
                <w:szCs w:val="20"/>
              </w:rPr>
              <w:t xml:space="preserve">our curriculum </w:t>
            </w:r>
            <w:r w:rsidRPr="009E5C62">
              <w:rPr>
                <w:rFonts w:ascii="Arial" w:hAnsi="Arial" w:cs="Arial"/>
                <w:sz w:val="20"/>
                <w:szCs w:val="20"/>
              </w:rPr>
              <w:t xml:space="preserve">and identifying </w:t>
            </w:r>
            <w:r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9E5C62">
              <w:rPr>
                <w:rFonts w:ascii="Arial" w:hAnsi="Arial" w:cs="Arial"/>
                <w:sz w:val="20"/>
                <w:szCs w:val="20"/>
              </w:rPr>
              <w:t xml:space="preserve">best practice. Seek views from children, parents and the wider school community </w:t>
            </w:r>
            <w:r>
              <w:rPr>
                <w:rFonts w:ascii="Arial" w:hAnsi="Arial" w:cs="Arial"/>
                <w:sz w:val="20"/>
                <w:szCs w:val="20"/>
              </w:rPr>
              <w:t>about</w:t>
            </w:r>
            <w:r w:rsidRPr="009E5C62">
              <w:rPr>
                <w:rFonts w:ascii="Arial" w:hAnsi="Arial" w:cs="Arial"/>
                <w:sz w:val="20"/>
                <w:szCs w:val="20"/>
              </w:rPr>
              <w:t xml:space="preserve"> what they feel are the key features of our curriculum. </w:t>
            </w:r>
          </w:p>
          <w:p w14:paraId="3407C878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2841A" w14:textId="70FA9FAE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BB5D" w14:textId="77777777" w:rsidR="00560921" w:rsidRPr="001C3BAC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2B17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CC4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8B380" w14:textId="77777777" w:rsidR="00FA1610" w:rsidRDefault="00FA1610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D48D0" w14:textId="4A52D52B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 xml:space="preserve">Develop a shared understanding and expectation of Expressive Arts Learner </w:t>
            </w:r>
            <w:proofErr w:type="gramStart"/>
            <w:r w:rsidRPr="00621027">
              <w:rPr>
                <w:rFonts w:ascii="Arial" w:hAnsi="Arial" w:cs="Arial"/>
                <w:sz w:val="20"/>
                <w:szCs w:val="20"/>
              </w:rPr>
              <w:t>Pathways  –</w:t>
            </w:r>
            <w:proofErr w:type="gramEnd"/>
            <w:r w:rsidRPr="00621027">
              <w:rPr>
                <w:rFonts w:ascii="Arial" w:hAnsi="Arial" w:cs="Arial"/>
                <w:sz w:val="20"/>
                <w:szCs w:val="20"/>
              </w:rPr>
              <w:t xml:space="preserve"> points to consider/pyramids through professional dialogue.  </w:t>
            </w:r>
          </w:p>
          <w:p w14:paraId="19BF3F2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6DB70" w14:textId="40F830A2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Teaching staff to u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621027">
              <w:rPr>
                <w:rFonts w:ascii="Arial" w:hAnsi="Arial" w:cs="Arial"/>
                <w:sz w:val="20"/>
                <w:szCs w:val="20"/>
              </w:rPr>
              <w:t xml:space="preserve"> Expressive Arts Pathways </w:t>
            </w:r>
            <w:r>
              <w:rPr>
                <w:rFonts w:ascii="Arial" w:hAnsi="Arial" w:cs="Arial"/>
                <w:sz w:val="20"/>
                <w:szCs w:val="20"/>
              </w:rPr>
              <w:t>to support</w:t>
            </w:r>
            <w:r w:rsidRPr="00621027">
              <w:rPr>
                <w:rFonts w:ascii="Arial" w:hAnsi="Arial" w:cs="Arial"/>
                <w:sz w:val="20"/>
                <w:szCs w:val="20"/>
              </w:rPr>
              <w:t xml:space="preserve"> planning, learning/teaching and assessment </w:t>
            </w:r>
          </w:p>
          <w:p w14:paraId="2B7D45D5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CD6A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All new staff to attend Charanga Training. (existing staff have already attended this in May 2021)</w:t>
            </w:r>
          </w:p>
          <w:p w14:paraId="3BF4333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E9230" w14:textId="7DD4DD06" w:rsidR="00560921" w:rsidRDefault="00FA1610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(Make links to UNCRC explicit)</w:t>
            </w:r>
          </w:p>
          <w:p w14:paraId="211B0BE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4F84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5F4A4" w14:textId="13E38A6F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26F30" w14:textId="77777777" w:rsidR="0098351A" w:rsidRDefault="0098351A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7158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2206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will engage with Education Scotland webinar: The four contexts and outdoor learning. </w:t>
            </w:r>
          </w:p>
          <w:p w14:paraId="7182F8D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B4A3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Shared planning time will be built into collegiate calendar for staff to plan relevant and meaningful outdoor learning linked to appropriate experiences and outcomes. </w:t>
            </w:r>
          </w:p>
          <w:p w14:paraId="6DB1070B" w14:textId="77777777" w:rsidR="0098351A" w:rsidRDefault="0098351A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265D8" w14:textId="419A6063" w:rsidR="0098351A" w:rsidRPr="00621027" w:rsidRDefault="0098351A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children will engage in accredited outdoor learning award. </w:t>
            </w:r>
            <w:r w:rsidR="00FA1610">
              <w:rPr>
                <w:rFonts w:ascii="Arial" w:hAnsi="Arial" w:cs="Arial"/>
                <w:sz w:val="20"/>
                <w:szCs w:val="20"/>
              </w:rPr>
              <w:t xml:space="preserve">(Make links to UNCRC explicit) </w:t>
            </w:r>
          </w:p>
        </w:tc>
        <w:tc>
          <w:tcPr>
            <w:tcW w:w="4395" w:type="dxa"/>
          </w:tcPr>
          <w:p w14:paraId="3359D96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6E8C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Jenny Hutton, PT to lead this improvement with Jacqueline Thompson, HT </w:t>
            </w:r>
          </w:p>
          <w:p w14:paraId="534D5E14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F172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836F7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18EF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</w:t>
            </w:r>
          </w:p>
          <w:p w14:paraId="7A06E05D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3DED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ADE6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A33B0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DA667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5917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B3A9B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301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6A04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F922A" w14:textId="6A303D1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49CC1" w14:textId="77777777" w:rsidR="00FA1610" w:rsidRDefault="00FA1610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5955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7557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6619E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Thomson, CT to lead </w:t>
            </w:r>
          </w:p>
          <w:p w14:paraId="587BA464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E80C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FDE3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</w:t>
            </w:r>
          </w:p>
          <w:p w14:paraId="627D929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E83AE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E5A3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8C090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members of staff </w:t>
            </w:r>
          </w:p>
          <w:p w14:paraId="14200518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026B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9E86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5EB3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EA754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61A6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EE56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3D5D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EA99C" w14:textId="6E423391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Lindsey Henderson, CT </w:t>
            </w:r>
            <w:r w:rsidR="00887D11">
              <w:rPr>
                <w:rFonts w:ascii="Arial" w:hAnsi="Arial" w:cs="Arial"/>
                <w:sz w:val="20"/>
                <w:szCs w:val="20"/>
              </w:rPr>
              <w:t xml:space="preserve">to lead </w:t>
            </w:r>
          </w:p>
          <w:p w14:paraId="10EDBB1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F06A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6D571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702D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in pairs/trios </w:t>
            </w:r>
          </w:p>
        </w:tc>
        <w:tc>
          <w:tcPr>
            <w:tcW w:w="4961" w:type="dxa"/>
          </w:tcPr>
          <w:p w14:paraId="158544E2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043DB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>Microsoft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survey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parents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views</w:t>
            </w:r>
            <w:r w:rsidRPr="00621027">
              <w:rPr>
                <w:rFonts w:ascii="Arial" w:hAnsi="Arial" w:cs="Arial"/>
                <w:sz w:val="20"/>
                <w:szCs w:val="20"/>
              </w:rPr>
              <w:t xml:space="preserve"> in Term 1 and Term 4 </w:t>
            </w:r>
          </w:p>
          <w:p w14:paraId="6927F369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1EE9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B02D5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 xml:space="preserve">Pupil Voice </w:t>
            </w:r>
            <w:r>
              <w:rPr>
                <w:rFonts w:ascii="Arial" w:hAnsi="Arial" w:cs="Arial"/>
                <w:sz w:val="20"/>
                <w:szCs w:val="20"/>
              </w:rPr>
              <w:t xml:space="preserve">gathered through class discussion and assemblies </w:t>
            </w:r>
          </w:p>
          <w:p w14:paraId="54484F0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D0C2B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 Voice gathered through assemblies </w:t>
            </w:r>
          </w:p>
          <w:p w14:paraId="1098D02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60577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self-evaluation </w:t>
            </w:r>
          </w:p>
          <w:p w14:paraId="37BC80E5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9A2C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6F1CD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73E2F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95C7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C9DA4" w14:textId="611E8C8D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2E166" w14:textId="77777777" w:rsidR="00FA1610" w:rsidRDefault="00FA1610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86BC6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B8AE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 w:rsidRPr="00621027">
              <w:rPr>
                <w:rFonts w:ascii="Arial" w:hAnsi="Arial" w:cs="Arial"/>
                <w:sz w:val="20"/>
                <w:szCs w:val="20"/>
              </w:rPr>
              <w:t xml:space="preserve">Moderation of planning, learning, teaching assessment. </w:t>
            </w:r>
          </w:p>
          <w:p w14:paraId="362CC96A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7A6E5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A92A8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Observations specific to Expressive Arts</w:t>
            </w:r>
          </w:p>
          <w:p w14:paraId="41A90D6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4D2A3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167FE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 voice pre and post improvement work </w:t>
            </w:r>
          </w:p>
          <w:p w14:paraId="77BF5EA0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E1AC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 focus group </w:t>
            </w:r>
          </w:p>
          <w:p w14:paraId="637651D5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E36C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8B822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C8E2C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71310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33363" w14:textId="0160F91E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A79A" w14:textId="77777777" w:rsidR="00887D11" w:rsidRDefault="00887D1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7505A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teaching staff </w:t>
            </w:r>
          </w:p>
          <w:p w14:paraId="31428269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1B755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312C4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children </w:t>
            </w:r>
          </w:p>
          <w:p w14:paraId="6663CFB4" w14:textId="77777777" w:rsidR="00560921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418D0" w14:textId="1E60C48C" w:rsidR="00560921" w:rsidRDefault="00887D1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Monitoring of planning </w:t>
            </w:r>
          </w:p>
          <w:p w14:paraId="69D8B708" w14:textId="77777777" w:rsidR="00560921" w:rsidRPr="00621027" w:rsidRDefault="00560921" w:rsidP="005609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Classroom observations of outdoor learning. </w:t>
            </w:r>
          </w:p>
        </w:tc>
        <w:tc>
          <w:tcPr>
            <w:tcW w:w="2693" w:type="dxa"/>
          </w:tcPr>
          <w:p w14:paraId="39F29515" w14:textId="77777777" w:rsidR="00560921" w:rsidRPr="00621027" w:rsidRDefault="00560921" w:rsidP="005609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4E250A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1 </w:t>
            </w:r>
          </w:p>
          <w:p w14:paraId="12EFC561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73DE6D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8BA50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806A2D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9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 2 </w:t>
            </w:r>
          </w:p>
          <w:p w14:paraId="31761564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1F7D64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A138F" w14:textId="77777777" w:rsidR="00560921" w:rsidRPr="00CB4959" w:rsidRDefault="00560921" w:rsidP="0056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959">
              <w:rPr>
                <w:rFonts w:ascii="Arial" w:hAnsi="Arial" w:cs="Arial"/>
                <w:b/>
                <w:bCs/>
                <w:sz w:val="20"/>
                <w:szCs w:val="20"/>
              </w:rPr>
              <w:t>Term 2-4</w:t>
            </w:r>
          </w:p>
          <w:p w14:paraId="146D3190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32845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CB96E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28D0D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9E843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0498E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27FAF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95822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6EEFD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B2332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1 </w:t>
            </w:r>
          </w:p>
          <w:p w14:paraId="77A21359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D2389" w14:textId="77777777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0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D90F52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2D7A61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CC0EA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1BD93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Terms 2-4 </w:t>
            </w:r>
          </w:p>
          <w:p w14:paraId="0112B840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32EDD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9B64B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330AB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EC64C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A1199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1F912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CDCE4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2D6E4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ACE48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  <w:p w14:paraId="52A877BF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6C131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E305F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26F80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3 </w:t>
            </w:r>
          </w:p>
          <w:p w14:paraId="457C43D0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252E3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29D84" w14:textId="77777777" w:rsidR="00560921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19CA2" w14:textId="5C4A5EA1" w:rsidR="00560921" w:rsidRPr="00621027" w:rsidRDefault="00560921" w:rsidP="0056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</w:t>
            </w:r>
            <w:r w:rsidR="002A2B84">
              <w:rPr>
                <w:rFonts w:ascii="Arial" w:hAnsi="Arial" w:cs="Arial"/>
                <w:b/>
                <w:sz w:val="20"/>
                <w:szCs w:val="20"/>
              </w:rPr>
              <w:t xml:space="preserve"> 1-4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C2A0DCB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642"/>
        <w:tblW w:w="22534" w:type="dxa"/>
        <w:tblLayout w:type="fixed"/>
        <w:tblLook w:val="04A0" w:firstRow="1" w:lastRow="0" w:firstColumn="1" w:lastColumn="0" w:noHBand="0" w:noVBand="1"/>
      </w:tblPr>
      <w:tblGrid>
        <w:gridCol w:w="5351"/>
        <w:gridCol w:w="5417"/>
        <w:gridCol w:w="4253"/>
        <w:gridCol w:w="5103"/>
        <w:gridCol w:w="2410"/>
      </w:tblGrid>
      <w:tr w:rsidR="00484398" w:rsidRPr="00076251" w14:paraId="00D033D9" w14:textId="77777777" w:rsidTr="00484398">
        <w:trPr>
          <w:trHeight w:val="432"/>
        </w:trPr>
        <w:tc>
          <w:tcPr>
            <w:tcW w:w="22534" w:type="dxa"/>
            <w:gridSpan w:val="5"/>
            <w:vAlign w:val="center"/>
          </w:tcPr>
          <w:p w14:paraId="736B4C2A" w14:textId="77777777" w:rsidR="00484398" w:rsidRPr="00560921" w:rsidRDefault="00484398" w:rsidP="00484398">
            <w:pPr>
              <w:shd w:val="clear" w:color="auto" w:fill="FFFFFF"/>
              <w:rPr>
                <w:rFonts w:ascii="Roboto" w:eastAsia="Times New Roman" w:hAnsi="Roboto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 improvement in attainment, particularly in literacy and numeracy;</w:t>
            </w:r>
          </w:p>
          <w:p w14:paraId="7655E941" w14:textId="77777777" w:rsidR="00484398" w:rsidRDefault="00484398" w:rsidP="00484398">
            <w:pPr>
              <w:rPr>
                <w:rFonts w:ascii="Arial" w:hAnsi="Arial"/>
                <w:i/>
                <w:szCs w:val="24"/>
              </w:rPr>
            </w:pPr>
          </w:p>
          <w:p w14:paraId="58E26882" w14:textId="77777777" w:rsidR="00484398" w:rsidRPr="00076251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98" w:rsidRPr="00C8489D" w14:paraId="16FDAAFD" w14:textId="77777777" w:rsidTr="00484398">
        <w:trPr>
          <w:trHeight w:val="410"/>
        </w:trPr>
        <w:tc>
          <w:tcPr>
            <w:tcW w:w="22534" w:type="dxa"/>
            <w:gridSpan w:val="5"/>
            <w:vAlign w:val="center"/>
          </w:tcPr>
          <w:p w14:paraId="4E61BF88" w14:textId="77777777" w:rsidR="00484398" w:rsidRPr="00560921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ELCC </w:t>
            </w:r>
            <w:r w:rsidRPr="00560921">
              <w:rPr>
                <w:rFonts w:ascii="Arial" w:hAnsi="Arial" w:cs="Arial"/>
                <w:b/>
                <w:sz w:val="24"/>
                <w:szCs w:val="24"/>
              </w:rPr>
              <w:t xml:space="preserve">Focused Priority: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Enhance approaches to observing, documenting and planning children’s learning. </w:t>
            </w:r>
          </w:p>
        </w:tc>
      </w:tr>
      <w:tr w:rsidR="00484398" w14:paraId="67721692" w14:textId="77777777" w:rsidTr="00484398">
        <w:trPr>
          <w:trHeight w:val="415"/>
        </w:trPr>
        <w:tc>
          <w:tcPr>
            <w:tcW w:w="10768" w:type="dxa"/>
            <w:gridSpan w:val="2"/>
            <w:vAlign w:val="center"/>
          </w:tcPr>
          <w:p w14:paraId="1C955E0A" w14:textId="77777777" w:rsidR="00484398" w:rsidRPr="005078C9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78C9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11766" w:type="dxa"/>
            <w:gridSpan w:val="3"/>
            <w:vAlign w:val="center"/>
          </w:tcPr>
          <w:p w14:paraId="29456CF7" w14:textId="77777777" w:rsidR="00484398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484398" w14:paraId="7CBD4F74" w14:textId="77777777" w:rsidTr="00484398">
        <w:trPr>
          <w:trHeight w:val="1278"/>
        </w:trPr>
        <w:tc>
          <w:tcPr>
            <w:tcW w:w="10768" w:type="dxa"/>
            <w:gridSpan w:val="2"/>
            <w:vAlign w:val="center"/>
          </w:tcPr>
          <w:p w14:paraId="1ED8CCE3" w14:textId="77777777" w:rsidR="00484398" w:rsidRPr="005078C9" w:rsidRDefault="00484398" w:rsidP="00484398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7E38DEE0" w14:textId="77777777" w:rsidR="00484398" w:rsidRPr="005078C9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5078C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1766" w:type="dxa"/>
            <w:gridSpan w:val="3"/>
            <w:vAlign w:val="center"/>
          </w:tcPr>
          <w:p w14:paraId="66CB4357" w14:textId="77777777" w:rsidR="00484398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Learning Teaching and Assessment </w:t>
            </w:r>
          </w:p>
          <w:p w14:paraId="1EE34623" w14:textId="77777777" w:rsidR="00484398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0664EA" w14:textId="77777777" w:rsidR="00484398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5A2153" w14:textId="77777777" w:rsidR="00484398" w:rsidRDefault="00484398" w:rsidP="0048439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4398" w:rsidRPr="00B27FFA" w14:paraId="15B0F976" w14:textId="77777777" w:rsidTr="00484398">
        <w:trPr>
          <w:trHeight w:val="458"/>
        </w:trPr>
        <w:tc>
          <w:tcPr>
            <w:tcW w:w="5351" w:type="dxa"/>
            <w:vAlign w:val="center"/>
          </w:tcPr>
          <w:p w14:paraId="059E2156" w14:textId="77777777" w:rsidR="00484398" w:rsidRPr="00B27FFA" w:rsidRDefault="00484398" w:rsidP="0048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5417" w:type="dxa"/>
            <w:vAlign w:val="center"/>
          </w:tcPr>
          <w:p w14:paraId="1E718E07" w14:textId="77777777" w:rsidR="00484398" w:rsidRPr="00B27FFA" w:rsidRDefault="00484398" w:rsidP="0048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4253" w:type="dxa"/>
            <w:vAlign w:val="center"/>
          </w:tcPr>
          <w:p w14:paraId="05625559" w14:textId="77777777" w:rsidR="00484398" w:rsidRPr="001C3BAC" w:rsidRDefault="00484398" w:rsidP="004843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BAC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5103" w:type="dxa"/>
            <w:vAlign w:val="center"/>
          </w:tcPr>
          <w:p w14:paraId="2870F0A7" w14:textId="77777777" w:rsidR="00484398" w:rsidRDefault="00484398" w:rsidP="0048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FCD0EC9" w14:textId="77777777" w:rsidR="00484398" w:rsidRPr="000A1781" w:rsidRDefault="00484398" w:rsidP="00484398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410" w:type="dxa"/>
            <w:vAlign w:val="center"/>
          </w:tcPr>
          <w:p w14:paraId="48BCFFDF" w14:textId="77777777" w:rsidR="00484398" w:rsidRPr="00B27FFA" w:rsidRDefault="00484398" w:rsidP="0048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484398" w:rsidRPr="00621027" w14:paraId="0F718E10" w14:textId="77777777" w:rsidTr="00484398">
        <w:trPr>
          <w:trHeight w:val="558"/>
        </w:trPr>
        <w:tc>
          <w:tcPr>
            <w:tcW w:w="5351" w:type="dxa"/>
          </w:tcPr>
          <w:p w14:paraId="415EE97A" w14:textId="77777777" w:rsidR="00484398" w:rsidRPr="00621027" w:rsidRDefault="00484398" w:rsidP="004843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12FBD57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Nursery staff</w:t>
            </w:r>
            <w:r w:rsidRPr="00943E78">
              <w:rPr>
                <w:rFonts w:ascii="Arial" w:hAnsi="Arial" w:cs="Arial"/>
                <w:bCs/>
                <w:sz w:val="20"/>
                <w:szCs w:val="20"/>
              </w:rPr>
              <w:t xml:space="preserve"> will make effective use of observation of children’s learning to assess how much and how well a child has learned. </w:t>
            </w:r>
          </w:p>
          <w:p w14:paraId="4F7FB282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F00176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 w:rsidRPr="00943E78">
              <w:rPr>
                <w:rFonts w:ascii="Arial" w:hAnsi="Arial" w:cs="Arial"/>
                <w:bCs/>
                <w:sz w:val="20"/>
                <w:szCs w:val="20"/>
              </w:rPr>
              <w:t xml:space="preserve">Staff will make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sound judgements about children’s progress and respond quickly to ensure learning opportunities meet the needs of individuals. </w:t>
            </w:r>
          </w:p>
          <w:p w14:paraId="4274FCB6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0F9AE0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54529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2B222B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CA913A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325475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Nursery staff will engage children in planning learning through the use of talking tubs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floorbooks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4FDEE60B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2C1029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4B867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D33A81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786711" w14:textId="77777777" w:rsidR="00484398" w:rsidRDefault="00484398" w:rsidP="00484398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6C8EC" w14:textId="77777777" w:rsidR="00484398" w:rsidRPr="005C3960" w:rsidRDefault="00484398" w:rsidP="0048439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6E617" w14:textId="77777777" w:rsidR="00484398" w:rsidRDefault="00484398" w:rsidP="0048439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5F0D3" w14:textId="77777777" w:rsidR="00484398" w:rsidRPr="00EA12FE" w:rsidRDefault="00484398" w:rsidP="00484398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</w:tcPr>
          <w:p w14:paraId="1A049ADB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592FC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ELCC team will engage in professional learning using Realising the Ambition toolkit – Child Centred Pedagogy in Practice cycle. </w:t>
            </w:r>
          </w:p>
          <w:p w14:paraId="79D495B3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FF128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professional dialogue to support planning for next steps (individuals and groups)</w:t>
            </w:r>
          </w:p>
          <w:p w14:paraId="2653728F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EA87F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Moderation of observations in PLJ </w:t>
            </w:r>
          </w:p>
          <w:p w14:paraId="4C72F417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AFC08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3AB67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368DB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A7C9C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B71D2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A569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will engage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Mindstretchers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Professional Learning. </w:t>
            </w:r>
          </w:p>
          <w:p w14:paraId="31D89568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8733F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A2821" w14:textId="77777777" w:rsidR="00484398" w:rsidRPr="00621027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Floorbooks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talking tubs will be used to support responsive and intentional planning. </w:t>
            </w:r>
          </w:p>
        </w:tc>
        <w:tc>
          <w:tcPr>
            <w:tcW w:w="4253" w:type="dxa"/>
          </w:tcPr>
          <w:p w14:paraId="21025793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67738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Angela Meldrum, EYLO to lead with EYDO</w:t>
            </w:r>
          </w:p>
          <w:p w14:paraId="317890DD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A28F3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1FB19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ABBA3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All staff involved</w:t>
            </w:r>
          </w:p>
          <w:p w14:paraId="53AD0F9D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CEB1B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438F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9FA2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E7A45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5633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BE6A9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CA547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D845C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BA90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Meldrum, EYLO to lead with EYDO</w:t>
            </w:r>
          </w:p>
          <w:p w14:paraId="5CCFF85C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7CF91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2C7F7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E23D9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222DC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0226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459AE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12BA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44510" w14:textId="77777777" w:rsidR="00484398" w:rsidRPr="00621027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1FA54C7" w14:textId="77777777" w:rsidR="00484398" w:rsidRPr="00621027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3013A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Observations in PLJ which describe the progress in learning. </w:t>
            </w:r>
          </w:p>
          <w:p w14:paraId="61A2EAFB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D8204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Observations in PLJ will include next step.</w:t>
            </w:r>
          </w:p>
          <w:p w14:paraId="01119D5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DA378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planning/evaluations will show how staff have responded to observations through responsive and intentional planning. </w:t>
            </w:r>
          </w:p>
          <w:p w14:paraId="3B04E10D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A8661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20084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A8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24FD0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CD40D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FC95E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Floorbooks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planning folders will evidence children being involved in the planning of learning. </w:t>
            </w:r>
          </w:p>
          <w:p w14:paraId="6EAD0266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1E894" w14:textId="77777777" w:rsidR="00484398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47AC3" w14:textId="77777777" w:rsidR="00484398" w:rsidRPr="00621027" w:rsidRDefault="00484398" w:rsidP="004843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67491" w14:textId="77777777" w:rsidR="00484398" w:rsidRPr="00621027" w:rsidRDefault="00484398" w:rsidP="004843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929D76" w14:textId="77777777" w:rsidR="00484398" w:rsidRDefault="00484398" w:rsidP="004843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AFC050" w14:textId="77777777" w:rsidR="00484398" w:rsidRPr="00621027" w:rsidRDefault="00484398" w:rsidP="004843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5FECD4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2F0D50D1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2CE22690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7AEE2479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1CFA1EB6" w14:textId="77777777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4278DD32" w14:textId="67B8E73C" w:rsidR="007F01FC" w:rsidRDefault="007F01FC" w:rsidP="005418BA">
      <w:pPr>
        <w:rPr>
          <w:rFonts w:ascii="Arial" w:hAnsi="Arial" w:cs="Arial"/>
          <w:sz w:val="24"/>
          <w:szCs w:val="24"/>
        </w:rPr>
      </w:pPr>
    </w:p>
    <w:p w14:paraId="3B8BE687" w14:textId="01179AF2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019FD77C" w14:textId="6C1A71E8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4D90D005" w14:textId="47892F5A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74EA59DF" w14:textId="5D86B978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14861B5F" w14:textId="77D4B8C4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36C12C51" w14:textId="7A53F864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026D1B0E" w14:textId="2EB38BFA" w:rsidR="008E343B" w:rsidRDefault="008E343B" w:rsidP="005418BA">
      <w:pPr>
        <w:rPr>
          <w:rFonts w:ascii="Arial" w:hAnsi="Arial" w:cs="Arial"/>
          <w:sz w:val="24"/>
          <w:szCs w:val="24"/>
        </w:rPr>
      </w:pPr>
    </w:p>
    <w:p w14:paraId="390DCFE3" w14:textId="1263BCDA" w:rsidR="008E343B" w:rsidRDefault="008E343B" w:rsidP="005418BA">
      <w:pPr>
        <w:rPr>
          <w:rFonts w:ascii="Arial" w:hAnsi="Arial" w:cs="Arial"/>
          <w:sz w:val="24"/>
          <w:szCs w:val="24"/>
        </w:rPr>
      </w:pPr>
    </w:p>
    <w:p w14:paraId="1750C426" w14:textId="1081AE30" w:rsidR="00484398" w:rsidRDefault="00484398" w:rsidP="005418BA">
      <w:pPr>
        <w:rPr>
          <w:rFonts w:ascii="Arial" w:hAnsi="Arial" w:cs="Arial"/>
          <w:sz w:val="24"/>
          <w:szCs w:val="24"/>
        </w:rPr>
      </w:pPr>
    </w:p>
    <w:p w14:paraId="5A042CBF" w14:textId="77777777" w:rsidR="00484398" w:rsidRDefault="00484398" w:rsidP="005418BA">
      <w:pPr>
        <w:rPr>
          <w:rFonts w:ascii="Arial" w:hAnsi="Arial" w:cs="Arial"/>
          <w:sz w:val="24"/>
          <w:szCs w:val="24"/>
        </w:rPr>
      </w:pPr>
    </w:p>
    <w:p w14:paraId="5E591388" w14:textId="77777777" w:rsidR="008E343B" w:rsidRDefault="008E343B" w:rsidP="005418BA">
      <w:pPr>
        <w:rPr>
          <w:rFonts w:ascii="Arial" w:hAnsi="Arial" w:cs="Arial"/>
          <w:sz w:val="24"/>
          <w:szCs w:val="24"/>
        </w:rPr>
      </w:pPr>
    </w:p>
    <w:p w14:paraId="17567D96" w14:textId="6C1C9C83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20AD3033" w14:textId="2F1EC981" w:rsidR="007F5DF2" w:rsidRDefault="007F5DF2" w:rsidP="005418BA">
      <w:pPr>
        <w:rPr>
          <w:rFonts w:ascii="Arial" w:hAnsi="Arial" w:cs="Arial"/>
          <w:sz w:val="24"/>
          <w:szCs w:val="24"/>
        </w:rPr>
      </w:pPr>
    </w:p>
    <w:p w14:paraId="4B251D73" w14:textId="4DB989BF" w:rsidR="007F5DF2" w:rsidRDefault="007F5DF2" w:rsidP="005418BA">
      <w:pPr>
        <w:rPr>
          <w:rFonts w:ascii="Arial" w:hAnsi="Arial" w:cs="Arial"/>
          <w:sz w:val="24"/>
          <w:szCs w:val="24"/>
        </w:rPr>
      </w:pPr>
    </w:p>
    <w:sectPr w:rsidR="007F5DF2" w:rsidSect="005078C9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182A"/>
    <w:multiLevelType w:val="hybridMultilevel"/>
    <w:tmpl w:val="4CA006AA"/>
    <w:lvl w:ilvl="0" w:tplc="29561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D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62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E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2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7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4A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D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E9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233FC"/>
    <w:multiLevelType w:val="multilevel"/>
    <w:tmpl w:val="FC4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C1527"/>
    <w:multiLevelType w:val="multilevel"/>
    <w:tmpl w:val="4B8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C3994"/>
    <w:multiLevelType w:val="hybridMultilevel"/>
    <w:tmpl w:val="3A2E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183E"/>
    <w:multiLevelType w:val="multilevel"/>
    <w:tmpl w:val="5118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05209"/>
    <w:multiLevelType w:val="hybridMultilevel"/>
    <w:tmpl w:val="4D0418FE"/>
    <w:lvl w:ilvl="0" w:tplc="BF828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0ABC"/>
    <w:multiLevelType w:val="hybridMultilevel"/>
    <w:tmpl w:val="179ABE6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3926FE0"/>
    <w:multiLevelType w:val="multilevel"/>
    <w:tmpl w:val="6BE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72897"/>
    <w:multiLevelType w:val="hybridMultilevel"/>
    <w:tmpl w:val="44CA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E1074"/>
    <w:multiLevelType w:val="multilevel"/>
    <w:tmpl w:val="E276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C"/>
    <w:rsid w:val="0007696C"/>
    <w:rsid w:val="000D2474"/>
    <w:rsid w:val="00105FA6"/>
    <w:rsid w:val="001C3BAC"/>
    <w:rsid w:val="00213DD8"/>
    <w:rsid w:val="00265241"/>
    <w:rsid w:val="002873C1"/>
    <w:rsid w:val="002879E0"/>
    <w:rsid w:val="002A2B84"/>
    <w:rsid w:val="002B724A"/>
    <w:rsid w:val="002D6D5A"/>
    <w:rsid w:val="00307E15"/>
    <w:rsid w:val="00324024"/>
    <w:rsid w:val="003759C9"/>
    <w:rsid w:val="003A6A9B"/>
    <w:rsid w:val="003C2B38"/>
    <w:rsid w:val="003F6608"/>
    <w:rsid w:val="0044654A"/>
    <w:rsid w:val="0047674F"/>
    <w:rsid w:val="00484398"/>
    <w:rsid w:val="004D2CA1"/>
    <w:rsid w:val="005078C9"/>
    <w:rsid w:val="005418BA"/>
    <w:rsid w:val="00560921"/>
    <w:rsid w:val="00595A25"/>
    <w:rsid w:val="005C3960"/>
    <w:rsid w:val="00682B9B"/>
    <w:rsid w:val="006B5B96"/>
    <w:rsid w:val="00746CA0"/>
    <w:rsid w:val="00777FA5"/>
    <w:rsid w:val="007A23DE"/>
    <w:rsid w:val="007F01FC"/>
    <w:rsid w:val="007F5DF2"/>
    <w:rsid w:val="00887D11"/>
    <w:rsid w:val="008B0333"/>
    <w:rsid w:val="008C5E81"/>
    <w:rsid w:val="008D139C"/>
    <w:rsid w:val="008E343B"/>
    <w:rsid w:val="008F65C4"/>
    <w:rsid w:val="00915DD2"/>
    <w:rsid w:val="00943E78"/>
    <w:rsid w:val="0098351A"/>
    <w:rsid w:val="00992AD2"/>
    <w:rsid w:val="00995094"/>
    <w:rsid w:val="009B54CF"/>
    <w:rsid w:val="009C7FCA"/>
    <w:rsid w:val="00A2098E"/>
    <w:rsid w:val="00A62A85"/>
    <w:rsid w:val="00A709BF"/>
    <w:rsid w:val="00A73A23"/>
    <w:rsid w:val="00AC7CA0"/>
    <w:rsid w:val="00AE68FA"/>
    <w:rsid w:val="00AF2500"/>
    <w:rsid w:val="00CB4959"/>
    <w:rsid w:val="00CB6568"/>
    <w:rsid w:val="00CF6192"/>
    <w:rsid w:val="00D452AA"/>
    <w:rsid w:val="00D52397"/>
    <w:rsid w:val="00DC3AA1"/>
    <w:rsid w:val="00DD188F"/>
    <w:rsid w:val="00DD3745"/>
    <w:rsid w:val="00E42275"/>
    <w:rsid w:val="00E914C6"/>
    <w:rsid w:val="00E92CDE"/>
    <w:rsid w:val="00EA12FE"/>
    <w:rsid w:val="00F3314F"/>
    <w:rsid w:val="00F74401"/>
    <w:rsid w:val="00F77414"/>
    <w:rsid w:val="00FA1610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16B7"/>
  <w15:chartTrackingRefBased/>
  <w15:docId w15:val="{64D16018-3822-47D2-A1FC-C590481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C3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1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32410-A74F-4216-9F7D-2CE14DAD5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6EB6B-DFFE-4E9D-9DB9-FA9BB6430C24}"/>
</file>

<file path=customXml/itemProps3.xml><?xml version="1.0" encoding="utf-8"?>
<ds:datastoreItem xmlns:ds="http://schemas.openxmlformats.org/officeDocument/2006/customXml" ds:itemID="{0926C878-699C-46AD-9CC4-E9CAE0A6C9CE}"/>
</file>

<file path=customXml/itemProps4.xml><?xml version="1.0" encoding="utf-8"?>
<ds:datastoreItem xmlns:ds="http://schemas.openxmlformats.org/officeDocument/2006/customXml" ds:itemID="{DAAAC327-5445-45F4-AC5C-623A848890E2}"/>
</file>

<file path=customXml/itemProps5.xml><?xml version="1.0" encoding="utf-8"?>
<ds:datastoreItem xmlns:ds="http://schemas.openxmlformats.org/officeDocument/2006/customXml" ds:itemID="{303B50C2-8D6A-4183-9C5E-530C20962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Thompson</dc:creator>
  <cp:keywords/>
  <dc:description/>
  <cp:lastModifiedBy>Helen Mckinlay</cp:lastModifiedBy>
  <cp:revision>2</cp:revision>
  <dcterms:created xsi:type="dcterms:W3CDTF">2021-07-12T15:26:00Z</dcterms:created>
  <dcterms:modified xsi:type="dcterms:W3CDTF">2021-07-12T15:26:00Z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2022-07-12T16:58:50Z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73;#Dysart PS|04122754-5afb-4411-8174-4967503da82c</vt:lpwstr>
  </property>
  <property fmtid="{D5CDD505-2E9C-101B-9397-08002B2CF9AE}" pid="8" name="CatQIReq">
    <vt:lpwstr>SIPS</vt:lpwstr>
  </property>
  <property fmtid="{D5CDD505-2E9C-101B-9397-08002B2CF9AE}" pid="9" name="Order">
    <vt:r8>17300</vt:r8>
  </property>
  <property fmtid="{D5CDD505-2E9C-101B-9397-08002B2CF9AE}" pid="10" name="b76d291503bb434e81c2470c416e0a06">
    <vt:lpwstr>Dysart PS|04122754-5afb-4411-8174-4967503da82c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