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colors15.xml" ContentType="application/vnd.ms-office.chartcolorstyle+xml"/>
  <Override PartName="/word/theme/themeOverride15.xml" ContentType="application/vnd.openxmlformats-officedocument.themeOverride+xml"/>
  <Override PartName="/word/theme/theme1.xml" ContentType="application/vnd.openxmlformats-officedocument.theme+xml"/>
  <Override PartName="/word/charts/style15.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6BE43" w14:textId="0AEA81AC" w:rsidR="001927FC" w:rsidRPr="00500A72" w:rsidRDefault="00BA291C" w:rsidP="001927FC">
      <w:pPr>
        <w:pStyle w:val="CommitteeTitle"/>
        <w:rPr>
          <w:rFonts w:ascii="Arial" w:hAnsi="Arial" w:cs="Arial"/>
        </w:rPr>
      </w:pPr>
      <w:r w:rsidRPr="00FE0267">
        <w:rPr>
          <w:rFonts w:ascii="Arial" w:hAnsi="Arial" w:cs="Arial"/>
          <w:highlight w:val="yellow"/>
        </w:rPr>
        <w:drawing>
          <wp:anchor distT="0" distB="0" distL="114300" distR="114300" simplePos="0" relativeHeight="251657728" behindDoc="1" locked="0" layoutInCell="1" allowOverlap="1" wp14:anchorId="6E500199" wp14:editId="16B3CDCA">
            <wp:simplePos x="0" y="0"/>
            <wp:positionH relativeFrom="column">
              <wp:posOffset>-554355</wp:posOffset>
            </wp:positionH>
            <wp:positionV relativeFrom="paragraph">
              <wp:posOffset>-56515</wp:posOffset>
            </wp:positionV>
            <wp:extent cx="6972300" cy="920750"/>
            <wp:effectExtent l="0" t="0" r="0" b="0"/>
            <wp:wrapNone/>
            <wp:docPr id="3" name="Picture 3" descr="fcB&amp;WFlas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B&amp;WFlash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8B4">
        <w:rPr>
          <w:rFonts w:ascii="Arial" w:hAnsi="Arial" w:cs="Arial"/>
        </w:rPr>
        <w:t>Environment &amp; Protective Services</w:t>
      </w:r>
      <w:r w:rsidR="006B7E99">
        <w:rPr>
          <w:rFonts w:ascii="Arial" w:hAnsi="Arial" w:cs="Arial"/>
        </w:rPr>
        <w:t xml:space="preserve"> Services Committee </w:t>
      </w:r>
      <w:r w:rsidR="002A02E9">
        <w:rPr>
          <w:rFonts w:ascii="Arial" w:hAnsi="Arial" w:cs="Arial"/>
        </w:rPr>
        <w:t xml:space="preserve"> </w:t>
      </w:r>
    </w:p>
    <w:p w14:paraId="01BDF2A6" w14:textId="77777777" w:rsidR="00B86886" w:rsidRDefault="00B86886" w:rsidP="009B4ECC">
      <w:pPr>
        <w:spacing w:before="0"/>
        <w:rPr>
          <w:rFonts w:ascii="Arial" w:hAnsi="Arial" w:cs="Arial"/>
        </w:rPr>
      </w:pPr>
    </w:p>
    <w:p w14:paraId="6F1289C4" w14:textId="77777777" w:rsidR="00E12351" w:rsidRDefault="00F548B4" w:rsidP="009B4ECC">
      <w:pPr>
        <w:spacing w:before="0"/>
        <w:rPr>
          <w:rFonts w:ascii="Arial" w:hAnsi="Arial" w:cs="Arial"/>
        </w:rPr>
      </w:pPr>
      <w:r>
        <w:rPr>
          <w:rFonts w:ascii="Arial" w:hAnsi="Arial" w:cs="Arial"/>
        </w:rPr>
        <w:t>5 September</w:t>
      </w:r>
      <w:r w:rsidR="006B7E99">
        <w:rPr>
          <w:rFonts w:ascii="Arial" w:hAnsi="Arial" w:cs="Arial"/>
        </w:rPr>
        <w:t xml:space="preserve"> 2019</w:t>
      </w:r>
      <w:r w:rsidR="00BD7A97">
        <w:rPr>
          <w:rFonts w:ascii="Arial" w:hAnsi="Arial" w:cs="Arial"/>
        </w:rPr>
        <w:t>.</w:t>
      </w:r>
    </w:p>
    <w:p w14:paraId="353C1EA4" w14:textId="77777777" w:rsidR="009B4ECC" w:rsidRPr="006C2E4E" w:rsidRDefault="009B4ECC" w:rsidP="009B4ECC">
      <w:pPr>
        <w:spacing w:before="0"/>
        <w:rPr>
          <w:rFonts w:ascii="Arial" w:hAnsi="Arial" w:cs="Arial"/>
        </w:rPr>
      </w:pPr>
      <w:r>
        <w:rPr>
          <w:rFonts w:ascii="Arial" w:hAnsi="Arial" w:cs="Arial"/>
        </w:rPr>
        <w:t xml:space="preserve">Agenda Item </w:t>
      </w:r>
      <w:r w:rsidR="00B70BAF">
        <w:rPr>
          <w:rFonts w:ascii="Arial" w:hAnsi="Arial" w:cs="Arial"/>
        </w:rPr>
        <w:t xml:space="preserve">No. </w:t>
      </w:r>
    </w:p>
    <w:tbl>
      <w:tblPr>
        <w:tblW w:w="0" w:type="auto"/>
        <w:tblLook w:val="00BF" w:firstRow="1" w:lastRow="0" w:firstColumn="1" w:lastColumn="0" w:noHBand="0" w:noVBand="0"/>
      </w:tblPr>
      <w:tblGrid>
        <w:gridCol w:w="9638"/>
      </w:tblGrid>
      <w:tr w:rsidR="00A90C08" w:rsidRPr="00500A72" w14:paraId="12CD691F" w14:textId="77777777">
        <w:tc>
          <w:tcPr>
            <w:tcW w:w="9854" w:type="dxa"/>
            <w:tcBorders>
              <w:bottom w:val="single" w:sz="4" w:space="0" w:color="00424F"/>
            </w:tcBorders>
          </w:tcPr>
          <w:p w14:paraId="5E703C7D" w14:textId="77777777" w:rsidR="00A90C08" w:rsidRPr="009234E7" w:rsidRDefault="00F548B4" w:rsidP="009578CD">
            <w:pPr>
              <w:pStyle w:val="ReportTitle"/>
              <w:rPr>
                <w:rFonts w:ascii="Arial" w:hAnsi="Arial" w:cs="Arial"/>
                <w:color w:val="FF0000"/>
              </w:rPr>
            </w:pPr>
            <w:r>
              <w:rPr>
                <w:rFonts w:ascii="Arial" w:hAnsi="Arial" w:cs="Arial"/>
              </w:rPr>
              <w:t xml:space="preserve">Protective </w:t>
            </w:r>
            <w:r w:rsidR="006B7E99">
              <w:rPr>
                <w:rFonts w:ascii="Arial" w:hAnsi="Arial" w:cs="Arial"/>
              </w:rPr>
              <w:t xml:space="preserve">Services Performance Report </w:t>
            </w:r>
            <w:r w:rsidR="009234E7">
              <w:rPr>
                <w:rFonts w:ascii="Arial" w:hAnsi="Arial" w:cs="Arial"/>
              </w:rPr>
              <w:t xml:space="preserve"> </w:t>
            </w:r>
          </w:p>
        </w:tc>
      </w:tr>
      <w:tr w:rsidR="00A90C08" w:rsidRPr="00500A72" w14:paraId="438396A5" w14:textId="77777777">
        <w:tc>
          <w:tcPr>
            <w:tcW w:w="9854" w:type="dxa"/>
            <w:tcBorders>
              <w:top w:val="single" w:sz="4" w:space="0" w:color="00424F"/>
              <w:bottom w:val="single" w:sz="4" w:space="0" w:color="00424F"/>
            </w:tcBorders>
          </w:tcPr>
          <w:p w14:paraId="6D467857" w14:textId="77777777" w:rsidR="00A90C08" w:rsidRPr="00500A72" w:rsidRDefault="00A90C08" w:rsidP="0080109B">
            <w:pPr>
              <w:pStyle w:val="overviewtext"/>
              <w:rPr>
                <w:rFonts w:ascii="Arial" w:hAnsi="Arial" w:cs="Arial"/>
              </w:rPr>
            </w:pPr>
            <w:r w:rsidRPr="00500A72">
              <w:rPr>
                <w:rFonts w:ascii="Arial" w:hAnsi="Arial" w:cs="Arial"/>
              </w:rPr>
              <w:t xml:space="preserve">Report by: </w:t>
            </w:r>
            <w:r w:rsidR="00112FB6">
              <w:rPr>
                <w:rFonts w:ascii="Arial" w:hAnsi="Arial" w:cs="Arial"/>
              </w:rPr>
              <w:t>Nigel Kerr,</w:t>
            </w:r>
            <w:r w:rsidR="00E751EC">
              <w:rPr>
                <w:rFonts w:ascii="Arial" w:hAnsi="Arial" w:cs="Arial"/>
              </w:rPr>
              <w:t xml:space="preserve"> </w:t>
            </w:r>
            <w:r w:rsidR="00112FB6">
              <w:rPr>
                <w:rFonts w:ascii="Arial" w:hAnsi="Arial" w:cs="Arial"/>
              </w:rPr>
              <w:t xml:space="preserve">Interim Chief Officer </w:t>
            </w:r>
            <w:r w:rsidR="00A477D6">
              <w:rPr>
                <w:rFonts w:ascii="Arial" w:hAnsi="Arial" w:cs="Arial"/>
              </w:rPr>
              <w:t>–</w:t>
            </w:r>
            <w:r w:rsidR="00112FB6">
              <w:rPr>
                <w:rFonts w:ascii="Arial" w:hAnsi="Arial" w:cs="Arial"/>
              </w:rPr>
              <w:t xml:space="preserve"> </w:t>
            </w:r>
            <w:r w:rsidR="00A477D6">
              <w:rPr>
                <w:rFonts w:ascii="Arial" w:hAnsi="Arial" w:cs="Arial"/>
              </w:rPr>
              <w:t>Protective Services</w:t>
            </w:r>
            <w:r w:rsidR="005678E3">
              <w:rPr>
                <w:rFonts w:ascii="Arial" w:hAnsi="Arial" w:cs="Arial"/>
              </w:rPr>
              <w:t>,</w:t>
            </w:r>
            <w:r w:rsidR="00112FB6">
              <w:rPr>
                <w:rFonts w:ascii="Arial" w:hAnsi="Arial" w:cs="Arial"/>
              </w:rPr>
              <w:t xml:space="preserve"> Enterprise and Environment</w:t>
            </w:r>
            <w:r w:rsidR="00E751EC">
              <w:rPr>
                <w:rFonts w:ascii="Arial" w:hAnsi="Arial" w:cs="Arial"/>
              </w:rPr>
              <w:t xml:space="preserve"> </w:t>
            </w:r>
          </w:p>
        </w:tc>
      </w:tr>
      <w:tr w:rsidR="00A90C08" w:rsidRPr="00500A72" w14:paraId="1C1F8970" w14:textId="77777777">
        <w:tc>
          <w:tcPr>
            <w:tcW w:w="9854" w:type="dxa"/>
            <w:tcBorders>
              <w:top w:val="single" w:sz="4" w:space="0" w:color="00424F"/>
              <w:bottom w:val="single" w:sz="4" w:space="0" w:color="00424F"/>
            </w:tcBorders>
          </w:tcPr>
          <w:p w14:paraId="2A37074B" w14:textId="77777777" w:rsidR="00A90C08" w:rsidRPr="00500A72" w:rsidRDefault="00A90C08" w:rsidP="00FE2AE3">
            <w:pPr>
              <w:pStyle w:val="overviewtext"/>
              <w:rPr>
                <w:rFonts w:ascii="Arial" w:hAnsi="Arial" w:cs="Arial"/>
              </w:rPr>
            </w:pPr>
            <w:r w:rsidRPr="00500A72">
              <w:rPr>
                <w:rFonts w:ascii="Arial" w:hAnsi="Arial" w:cs="Arial"/>
              </w:rPr>
              <w:t>Wards Affected: All</w:t>
            </w:r>
          </w:p>
        </w:tc>
      </w:tr>
    </w:tbl>
    <w:p w14:paraId="00E84237"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Purpose</w:t>
      </w:r>
    </w:p>
    <w:p w14:paraId="6940F81E" w14:textId="77777777" w:rsidR="001D758F" w:rsidRPr="001B0DAD" w:rsidRDefault="00E82D85" w:rsidP="00BD7A97">
      <w:pPr>
        <w:spacing w:before="240"/>
        <w:ind w:left="720"/>
        <w:jc w:val="both"/>
        <w:rPr>
          <w:rFonts w:ascii="Arial" w:hAnsi="Arial" w:cs="Arial"/>
        </w:rPr>
      </w:pPr>
      <w:r>
        <w:rPr>
          <w:rFonts w:ascii="Arial" w:hAnsi="Arial" w:cs="Arial"/>
        </w:rPr>
        <w:t xml:space="preserve">To present the </w:t>
      </w:r>
      <w:r w:rsidR="00E74D16">
        <w:rPr>
          <w:rFonts w:ascii="Arial" w:hAnsi="Arial" w:cs="Arial"/>
        </w:rPr>
        <w:t xml:space="preserve">performance scorecard for </w:t>
      </w:r>
      <w:r w:rsidR="00F548B4">
        <w:rPr>
          <w:rFonts w:ascii="Arial" w:hAnsi="Arial" w:cs="Arial"/>
        </w:rPr>
        <w:t>Protective Services</w:t>
      </w:r>
      <w:r w:rsidR="00494FCA">
        <w:rPr>
          <w:rFonts w:ascii="Arial" w:hAnsi="Arial" w:cs="Arial"/>
        </w:rPr>
        <w:t xml:space="preserve"> for 2018/19</w:t>
      </w:r>
    </w:p>
    <w:p w14:paraId="7C7B8351" w14:textId="77777777" w:rsidR="00A90C08" w:rsidRPr="00500A72" w:rsidRDefault="00A90C08" w:rsidP="00BD7A97">
      <w:pPr>
        <w:pStyle w:val="overviewheading"/>
        <w:tabs>
          <w:tab w:val="center" w:pos="4819"/>
        </w:tabs>
        <w:spacing w:before="240" w:after="120"/>
        <w:jc w:val="both"/>
        <w:rPr>
          <w:rFonts w:ascii="Arial" w:hAnsi="Arial" w:cs="Arial"/>
        </w:rPr>
      </w:pPr>
      <w:r w:rsidRPr="00500A72">
        <w:rPr>
          <w:rFonts w:ascii="Arial" w:hAnsi="Arial" w:cs="Arial"/>
        </w:rPr>
        <w:t>Recommendations</w:t>
      </w:r>
    </w:p>
    <w:p w14:paraId="2969BFBA" w14:textId="77777777" w:rsidR="00494FCA" w:rsidRDefault="00494FCA" w:rsidP="006B7E99">
      <w:pPr>
        <w:pStyle w:val="Para2"/>
        <w:spacing w:before="240" w:after="120"/>
        <w:ind w:left="720"/>
        <w:rPr>
          <w:rFonts w:ascii="Arial" w:hAnsi="Arial" w:cs="Arial"/>
        </w:rPr>
      </w:pPr>
      <w:r>
        <w:rPr>
          <w:rFonts w:ascii="Arial" w:hAnsi="Arial" w:cs="Arial"/>
        </w:rPr>
        <w:t>Members are asked to</w:t>
      </w:r>
      <w:r w:rsidR="002125C9">
        <w:rPr>
          <w:rFonts w:ascii="Arial" w:hAnsi="Arial" w:cs="Arial"/>
        </w:rPr>
        <w:t xml:space="preserve"> note</w:t>
      </w:r>
      <w:r>
        <w:rPr>
          <w:rFonts w:ascii="Arial" w:hAnsi="Arial" w:cs="Arial"/>
        </w:rPr>
        <w:t>:</w:t>
      </w:r>
    </w:p>
    <w:p w14:paraId="58ECFB71" w14:textId="77777777" w:rsidR="00494FCA" w:rsidRDefault="00494FCA" w:rsidP="00494FCA">
      <w:pPr>
        <w:pStyle w:val="Para2"/>
        <w:numPr>
          <w:ilvl w:val="0"/>
          <w:numId w:val="20"/>
        </w:numPr>
        <w:spacing w:before="240" w:after="120"/>
        <w:rPr>
          <w:rFonts w:ascii="Arial" w:hAnsi="Arial" w:cs="Arial"/>
        </w:rPr>
      </w:pPr>
      <w:r>
        <w:rPr>
          <w:rFonts w:ascii="Arial" w:hAnsi="Arial" w:cs="Arial"/>
        </w:rPr>
        <w:t xml:space="preserve">the </w:t>
      </w:r>
      <w:r w:rsidR="00F548B4">
        <w:rPr>
          <w:rFonts w:ascii="Arial" w:hAnsi="Arial" w:cs="Arial"/>
        </w:rPr>
        <w:t xml:space="preserve">Protective </w:t>
      </w:r>
      <w:r w:rsidR="002125C9">
        <w:rPr>
          <w:rFonts w:ascii="Arial" w:hAnsi="Arial" w:cs="Arial"/>
        </w:rPr>
        <w:t xml:space="preserve">Services </w:t>
      </w:r>
      <w:r>
        <w:rPr>
          <w:rFonts w:ascii="Arial" w:hAnsi="Arial" w:cs="Arial"/>
        </w:rPr>
        <w:t>performance information presented at appendix 1</w:t>
      </w:r>
      <w:r w:rsidR="002125C9">
        <w:rPr>
          <w:rFonts w:ascii="Arial" w:hAnsi="Arial" w:cs="Arial"/>
        </w:rPr>
        <w:t>; and</w:t>
      </w:r>
    </w:p>
    <w:p w14:paraId="1676F2B9" w14:textId="77777777" w:rsidR="00B70BAF" w:rsidRDefault="003F30B3" w:rsidP="00494FCA">
      <w:pPr>
        <w:pStyle w:val="Para2"/>
        <w:numPr>
          <w:ilvl w:val="0"/>
          <w:numId w:val="20"/>
        </w:numPr>
        <w:spacing w:before="240" w:after="120"/>
        <w:rPr>
          <w:rFonts w:ascii="Arial" w:hAnsi="Arial" w:cs="Arial"/>
        </w:rPr>
      </w:pPr>
      <w:r>
        <w:rPr>
          <w:rFonts w:ascii="Arial" w:hAnsi="Arial" w:cs="Arial"/>
        </w:rPr>
        <w:t>Note the</w:t>
      </w:r>
      <w:r w:rsidR="00326B8A">
        <w:rPr>
          <w:rFonts w:ascii="Arial" w:hAnsi="Arial" w:cs="Arial"/>
        </w:rPr>
        <w:t xml:space="preserve"> arrangements set out in section 1 to fulfil the Council’s obligation to comply with Audit Scotland’s 201</w:t>
      </w:r>
      <w:r w:rsidR="00AC3328">
        <w:rPr>
          <w:rFonts w:ascii="Arial" w:hAnsi="Arial" w:cs="Arial"/>
        </w:rPr>
        <w:t>5</w:t>
      </w:r>
      <w:r w:rsidR="00326B8A">
        <w:rPr>
          <w:rFonts w:ascii="Arial" w:hAnsi="Arial" w:cs="Arial"/>
        </w:rPr>
        <w:t xml:space="preserve"> SPI Direction.</w:t>
      </w:r>
      <w:r>
        <w:rPr>
          <w:rFonts w:ascii="Arial" w:hAnsi="Arial" w:cs="Arial"/>
        </w:rPr>
        <w:t xml:space="preserve"> </w:t>
      </w:r>
      <w:r w:rsidR="00616D1F" w:rsidRPr="00BC294C">
        <w:rPr>
          <w:rFonts w:ascii="Arial" w:hAnsi="Arial" w:cs="Arial"/>
        </w:rPr>
        <w:t xml:space="preserve"> </w:t>
      </w:r>
    </w:p>
    <w:p w14:paraId="6C4A606C" w14:textId="77777777" w:rsidR="002F1B31" w:rsidRPr="00B41071" w:rsidRDefault="002F1B31" w:rsidP="00494FCA">
      <w:pPr>
        <w:pStyle w:val="Para2"/>
        <w:numPr>
          <w:ilvl w:val="0"/>
          <w:numId w:val="20"/>
        </w:numPr>
        <w:spacing w:before="240" w:after="120"/>
        <w:rPr>
          <w:rFonts w:ascii="Arial" w:hAnsi="Arial" w:cs="Arial"/>
        </w:rPr>
      </w:pPr>
      <w:r>
        <w:rPr>
          <w:rFonts w:ascii="Arial" w:hAnsi="Arial" w:cs="Arial"/>
        </w:rPr>
        <w:t xml:space="preserve">That information regarding the workforce profile will be </w:t>
      </w:r>
      <w:r w:rsidRPr="00B41071">
        <w:rPr>
          <w:rFonts w:ascii="Arial" w:hAnsi="Arial" w:cs="Arial"/>
        </w:rPr>
        <w:t xml:space="preserve">provided with the next </w:t>
      </w:r>
      <w:r w:rsidR="00B41071" w:rsidRPr="00B41071">
        <w:rPr>
          <w:rFonts w:ascii="Arial" w:hAnsi="Arial" w:cs="Arial"/>
        </w:rPr>
        <w:t>Economy, Planning and Employability report in October.</w:t>
      </w:r>
    </w:p>
    <w:p w14:paraId="7C61F86E"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Resource Implications</w:t>
      </w:r>
    </w:p>
    <w:p w14:paraId="55849510" w14:textId="77777777" w:rsidR="00A90C08" w:rsidRDefault="00494FCA" w:rsidP="00BD7A97">
      <w:pPr>
        <w:spacing w:before="240"/>
        <w:ind w:left="720"/>
        <w:jc w:val="both"/>
        <w:rPr>
          <w:rFonts w:ascii="Arial" w:hAnsi="Arial" w:cs="Arial"/>
        </w:rPr>
      </w:pPr>
      <w:r>
        <w:rPr>
          <w:rFonts w:ascii="Arial" w:hAnsi="Arial" w:cs="Arial"/>
        </w:rPr>
        <w:t>None</w:t>
      </w:r>
    </w:p>
    <w:p w14:paraId="5A575F74"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 xml:space="preserve">Legal </w:t>
      </w:r>
      <w:r w:rsidR="00913EA4" w:rsidRPr="00500A72">
        <w:rPr>
          <w:rFonts w:ascii="Arial" w:hAnsi="Arial" w:cs="Arial"/>
        </w:rPr>
        <w:t>&amp;</w:t>
      </w:r>
      <w:r w:rsidRPr="00500A72">
        <w:rPr>
          <w:rFonts w:ascii="Arial" w:hAnsi="Arial" w:cs="Arial"/>
        </w:rPr>
        <w:t xml:space="preserve"> Risk Implications</w:t>
      </w:r>
    </w:p>
    <w:p w14:paraId="64F5BA68" w14:textId="77777777" w:rsidR="006B2171" w:rsidRDefault="00494FCA" w:rsidP="00BD7A97">
      <w:pPr>
        <w:pStyle w:val="summarydetails"/>
        <w:spacing w:before="240" w:after="120"/>
        <w:jc w:val="both"/>
        <w:rPr>
          <w:rFonts w:ascii="Arial" w:hAnsi="Arial" w:cs="Arial"/>
        </w:rPr>
      </w:pPr>
      <w:r>
        <w:rPr>
          <w:rFonts w:ascii="Arial" w:hAnsi="Arial" w:cs="Arial"/>
        </w:rPr>
        <w:t>None</w:t>
      </w:r>
    </w:p>
    <w:p w14:paraId="41FD1CBF"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Impact Assessment</w:t>
      </w:r>
    </w:p>
    <w:p w14:paraId="2644939F" w14:textId="77777777" w:rsidR="00E40EA6" w:rsidRDefault="005D6FDE" w:rsidP="005D6FDE">
      <w:pPr>
        <w:pStyle w:val="summarydetails"/>
        <w:spacing w:before="240" w:after="120"/>
        <w:jc w:val="both"/>
        <w:rPr>
          <w:rFonts w:ascii="Arial" w:hAnsi="Arial" w:cs="Arial"/>
        </w:rPr>
      </w:pPr>
      <w:r w:rsidRPr="005D6FDE">
        <w:rPr>
          <w:rFonts w:ascii="Arial" w:hAnsi="Arial" w:cs="Arial"/>
        </w:rPr>
        <w:t xml:space="preserve">An </w:t>
      </w:r>
      <w:proofErr w:type="spellStart"/>
      <w:r w:rsidRPr="005D6FDE">
        <w:rPr>
          <w:rFonts w:ascii="Arial" w:hAnsi="Arial" w:cs="Arial"/>
        </w:rPr>
        <w:t>EqIA</w:t>
      </w:r>
      <w:proofErr w:type="spellEnd"/>
      <w:r w:rsidRPr="005D6FDE">
        <w:rPr>
          <w:rFonts w:ascii="Arial" w:hAnsi="Arial" w:cs="Arial"/>
        </w:rPr>
        <w:t xml:space="preserve"> is not required because the report does not propose a change or revision to existing policies and practices</w:t>
      </w:r>
      <w:r>
        <w:rPr>
          <w:rFonts w:ascii="Arial" w:hAnsi="Arial" w:cs="Arial"/>
        </w:rPr>
        <w:t>.</w:t>
      </w:r>
    </w:p>
    <w:p w14:paraId="2FDFF223"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Consultation</w:t>
      </w:r>
    </w:p>
    <w:p w14:paraId="3D58E51C" w14:textId="77777777" w:rsidR="008E74AD" w:rsidRPr="00500A72" w:rsidRDefault="00494FCA" w:rsidP="0038700D">
      <w:pPr>
        <w:pStyle w:val="Heading2"/>
        <w:spacing w:before="240" w:after="120"/>
        <w:rPr>
          <w:rFonts w:ascii="Arial" w:hAnsi="Arial" w:cs="Arial"/>
        </w:rPr>
      </w:pPr>
      <w:r>
        <w:rPr>
          <w:rFonts w:ascii="Arial" w:hAnsi="Arial" w:cs="Arial"/>
          <w:b w:val="0"/>
          <w:sz w:val="24"/>
          <w:szCs w:val="24"/>
        </w:rPr>
        <w:tab/>
        <w:t>None required</w:t>
      </w:r>
      <w:r w:rsidR="00BD7A97" w:rsidRPr="00BC6BF6">
        <w:rPr>
          <w:rFonts w:ascii="Arial" w:hAnsi="Arial" w:cs="Arial"/>
          <w:b w:val="0"/>
          <w:sz w:val="24"/>
          <w:szCs w:val="24"/>
        </w:rPr>
        <w:br w:type="column"/>
      </w:r>
      <w:r w:rsidR="00AD62CD">
        <w:rPr>
          <w:rFonts w:ascii="Arial" w:hAnsi="Arial" w:cs="Arial"/>
        </w:rPr>
        <w:lastRenderedPageBreak/>
        <w:t>1.</w:t>
      </w:r>
      <w:r w:rsidR="00BD7A97">
        <w:rPr>
          <w:rFonts w:ascii="Arial" w:hAnsi="Arial" w:cs="Arial"/>
        </w:rPr>
        <w:t>0</w:t>
      </w:r>
      <w:r w:rsidR="008E74AD" w:rsidRPr="00500A72">
        <w:rPr>
          <w:rFonts w:ascii="Arial" w:hAnsi="Arial" w:cs="Arial"/>
        </w:rPr>
        <w:tab/>
        <w:t>Background</w:t>
      </w:r>
    </w:p>
    <w:p w14:paraId="165A2616" w14:textId="77777777" w:rsidR="00494FCA" w:rsidRDefault="00494FCA" w:rsidP="00B4134A">
      <w:pPr>
        <w:pStyle w:val="Default"/>
        <w:numPr>
          <w:ilvl w:val="1"/>
          <w:numId w:val="24"/>
        </w:numPr>
      </w:pPr>
      <w:r w:rsidRPr="00EB3829">
        <w:t xml:space="preserve">Audit Scotland </w:t>
      </w:r>
      <w:r w:rsidR="00B4134A">
        <w:t xml:space="preserve">published </w:t>
      </w:r>
      <w:r w:rsidRPr="00EB3829">
        <w:t>the S</w:t>
      </w:r>
      <w:r w:rsidR="0009444F">
        <w:t>tatutory Performance D</w:t>
      </w:r>
      <w:r w:rsidRPr="00EB3829">
        <w:t>irection in December 201</w:t>
      </w:r>
      <w:r w:rsidR="00B4134A">
        <w:t>5</w:t>
      </w:r>
      <w:r w:rsidRPr="00EB3829">
        <w:t>.</w:t>
      </w:r>
      <w:r w:rsidR="0009444F">
        <w:t xml:space="preserve"> </w:t>
      </w:r>
      <w:r w:rsidR="008243AC">
        <w:t xml:space="preserve">2018/19 is the final year to which that direction applies. </w:t>
      </w:r>
      <w:r w:rsidR="00B4134A">
        <w:t>The Council is required to report a range of information setting out:</w:t>
      </w:r>
    </w:p>
    <w:p w14:paraId="1B73D557" w14:textId="77777777" w:rsidR="00B4134A" w:rsidRDefault="00B4134A" w:rsidP="00B4134A">
      <w:pPr>
        <w:pStyle w:val="Default"/>
        <w:ind w:left="720"/>
      </w:pPr>
    </w:p>
    <w:p w14:paraId="45CC18B0" w14:textId="77777777" w:rsidR="00B4134A" w:rsidRDefault="00B4134A" w:rsidP="00B4134A">
      <w:pPr>
        <w:pStyle w:val="Default"/>
        <w:numPr>
          <w:ilvl w:val="0"/>
          <w:numId w:val="25"/>
        </w:numPr>
      </w:pPr>
      <w:r>
        <w:t>Its performance in improving local public services (including with partners).</w:t>
      </w:r>
    </w:p>
    <w:p w14:paraId="41DBE69D" w14:textId="77777777" w:rsidR="00B4134A" w:rsidRDefault="00B4134A" w:rsidP="00B4134A">
      <w:pPr>
        <w:pStyle w:val="Default"/>
        <w:numPr>
          <w:ilvl w:val="0"/>
          <w:numId w:val="25"/>
        </w:numPr>
      </w:pPr>
      <w:r>
        <w:t>Its performance in improving local outcomes (including with partners).</w:t>
      </w:r>
    </w:p>
    <w:p w14:paraId="2C2AE43C" w14:textId="77777777" w:rsidR="00B4134A" w:rsidRDefault="00B4134A" w:rsidP="00B4134A">
      <w:pPr>
        <w:pStyle w:val="Default"/>
        <w:numPr>
          <w:ilvl w:val="0"/>
          <w:numId w:val="25"/>
        </w:numPr>
      </w:pPr>
      <w:r>
        <w:t>Its performance in engaging with communities and service users, and responding to their views and concerns.</w:t>
      </w:r>
    </w:p>
    <w:p w14:paraId="0482AB6A" w14:textId="77777777" w:rsidR="00B4134A" w:rsidRDefault="00B4134A" w:rsidP="00B4134A">
      <w:pPr>
        <w:pStyle w:val="Default"/>
        <w:numPr>
          <w:ilvl w:val="0"/>
          <w:numId w:val="25"/>
        </w:numPr>
      </w:pPr>
      <w:r>
        <w:t>Its performance in achieving Best Value, including its use of performance benchmarking; options appraisal; and use of resources.</w:t>
      </w:r>
      <w:r>
        <w:cr/>
      </w:r>
    </w:p>
    <w:p w14:paraId="23F6BE47" w14:textId="77777777" w:rsidR="00C828EB" w:rsidRDefault="00494FCA" w:rsidP="0009444F">
      <w:pPr>
        <w:pStyle w:val="Default"/>
        <w:ind w:left="720" w:hanging="720"/>
      </w:pPr>
      <w:r w:rsidRPr="00EB3829">
        <w:t xml:space="preserve"> </w:t>
      </w:r>
    </w:p>
    <w:p w14:paraId="4BEE692F" w14:textId="77777777" w:rsidR="00C828EB" w:rsidRDefault="00C828EB" w:rsidP="008243AC">
      <w:pPr>
        <w:pStyle w:val="Default"/>
        <w:numPr>
          <w:ilvl w:val="1"/>
          <w:numId w:val="24"/>
        </w:numPr>
      </w:pPr>
      <w:r>
        <w:t xml:space="preserve">The </w:t>
      </w:r>
      <w:r w:rsidR="008243AC">
        <w:t xml:space="preserve">first </w:t>
      </w:r>
      <w:r>
        <w:t xml:space="preserve">requirement, to report the </w:t>
      </w:r>
      <w:r w:rsidR="008243AC">
        <w:t xml:space="preserve">Council’s </w:t>
      </w:r>
      <w:r>
        <w:t xml:space="preserve">performance </w:t>
      </w:r>
      <w:r w:rsidR="008243AC">
        <w:t xml:space="preserve">in improving local public services (including with partners) </w:t>
      </w:r>
      <w:r>
        <w:t xml:space="preserve">will be satisfied by the series of reports (of which this is one) that will be presented to the Council covering the whole of the Council’s performance for 2018/19. </w:t>
      </w:r>
      <w:r w:rsidR="00A30604">
        <w:t xml:space="preserve">Where possible, comparative performance is given for </w:t>
      </w:r>
      <w:r w:rsidR="004049D8">
        <w:t>the Scottish average, top quartile, and peer group averages.</w:t>
      </w:r>
    </w:p>
    <w:p w14:paraId="1445FD2E" w14:textId="77777777" w:rsidR="008243AC" w:rsidRDefault="008243AC" w:rsidP="008243AC">
      <w:pPr>
        <w:pStyle w:val="Default"/>
      </w:pPr>
    </w:p>
    <w:p w14:paraId="5C0E7DAA" w14:textId="77777777" w:rsidR="008243AC" w:rsidRDefault="008243AC" w:rsidP="009C410D">
      <w:pPr>
        <w:pStyle w:val="Default"/>
        <w:numPr>
          <w:ilvl w:val="1"/>
          <w:numId w:val="24"/>
        </w:numPr>
      </w:pPr>
      <w:r>
        <w:t xml:space="preserve">The other requirements </w:t>
      </w:r>
      <w:r w:rsidR="009C410D">
        <w:t xml:space="preserve">of the Statutory Performance Direction </w:t>
      </w:r>
      <w:r>
        <w:t xml:space="preserve">will be satisfied by </w:t>
      </w:r>
      <w:r w:rsidR="009C410D">
        <w:t xml:space="preserve">a combination of </w:t>
      </w:r>
    </w:p>
    <w:p w14:paraId="32F7C630" w14:textId="77777777" w:rsidR="009C410D" w:rsidRDefault="009C410D" w:rsidP="009C410D">
      <w:pPr>
        <w:pStyle w:val="Default"/>
      </w:pPr>
    </w:p>
    <w:p w14:paraId="667AFAB3" w14:textId="77777777" w:rsidR="009C410D" w:rsidRDefault="009C410D" w:rsidP="009C410D">
      <w:pPr>
        <w:pStyle w:val="Default"/>
        <w:numPr>
          <w:ilvl w:val="0"/>
          <w:numId w:val="27"/>
        </w:numPr>
      </w:pPr>
      <w:r>
        <w:t xml:space="preserve">Update reports to the Fife Partnership regarding progress against the Plan for Fife, with reports also going to Policy and Co-ordination Committee. </w:t>
      </w:r>
    </w:p>
    <w:p w14:paraId="16F08803" w14:textId="77777777" w:rsidR="002F1B31" w:rsidRDefault="002F1B31" w:rsidP="002F1B31">
      <w:pPr>
        <w:pStyle w:val="Default"/>
        <w:ind w:left="1440"/>
      </w:pPr>
    </w:p>
    <w:p w14:paraId="249E8C8B" w14:textId="77777777" w:rsidR="009C410D" w:rsidRDefault="009C410D" w:rsidP="009C410D">
      <w:pPr>
        <w:pStyle w:val="Default"/>
        <w:numPr>
          <w:ilvl w:val="0"/>
          <w:numId w:val="27"/>
        </w:numPr>
      </w:pPr>
      <w:r>
        <w:t>public performance reporting, assurance statements and governance arrangements.</w:t>
      </w:r>
    </w:p>
    <w:p w14:paraId="718285D6" w14:textId="77777777" w:rsidR="00C828EB" w:rsidRDefault="00C828EB" w:rsidP="0009444F">
      <w:pPr>
        <w:pStyle w:val="Default"/>
        <w:ind w:left="720" w:hanging="720"/>
      </w:pPr>
    </w:p>
    <w:p w14:paraId="37555EAD" w14:textId="77777777" w:rsidR="00490EFF" w:rsidRDefault="00C828EB" w:rsidP="0009444F">
      <w:pPr>
        <w:pStyle w:val="Default"/>
        <w:ind w:left="720" w:hanging="720"/>
      </w:pPr>
      <w:r>
        <w:t>1.</w:t>
      </w:r>
      <w:r w:rsidR="009C410D">
        <w:t>4</w:t>
      </w:r>
      <w:r>
        <w:t xml:space="preserve">. </w:t>
      </w:r>
      <w:r>
        <w:tab/>
        <w:t>Taken together, these reports will cover the whole of the Local Government Benchmarking Framework</w:t>
      </w:r>
      <w:r w:rsidR="003F30B3">
        <w:t>, plus selected service performance indicators that give a balanced picture of Council performance.</w:t>
      </w:r>
      <w:r>
        <w:t xml:space="preserve"> </w:t>
      </w:r>
    </w:p>
    <w:p w14:paraId="611DD71B" w14:textId="77777777" w:rsidR="00490EFF" w:rsidRDefault="00490EFF" w:rsidP="0009444F">
      <w:pPr>
        <w:pStyle w:val="Default"/>
        <w:ind w:left="720" w:hanging="720"/>
      </w:pPr>
    </w:p>
    <w:p w14:paraId="50D212DB" w14:textId="77777777" w:rsidR="00986992" w:rsidRDefault="00986992" w:rsidP="0009444F">
      <w:pPr>
        <w:pStyle w:val="Default"/>
        <w:ind w:left="720" w:hanging="720"/>
      </w:pPr>
      <w:r>
        <w:t>1.</w:t>
      </w:r>
      <w:r w:rsidR="00F548B4">
        <w:t>5</w:t>
      </w:r>
      <w:r>
        <w:t xml:space="preserve"> </w:t>
      </w:r>
      <w:r>
        <w:tab/>
        <w:t>The appendix to this report is presented in the form of a balanced scorecard covering the areas of Customer, People, Responsiveness and Cost results. This is consistent with the format used for the 2017/18 Public Performance Report and mirrors the approach used for internal management reporting throughout the year.</w:t>
      </w:r>
    </w:p>
    <w:p w14:paraId="262A328D" w14:textId="77777777" w:rsidR="00B4134A" w:rsidRDefault="00B4134A" w:rsidP="0009444F">
      <w:pPr>
        <w:pStyle w:val="Default"/>
        <w:ind w:left="720" w:hanging="720"/>
      </w:pPr>
    </w:p>
    <w:p w14:paraId="3BE220A4" w14:textId="77777777" w:rsidR="00B4134A" w:rsidRDefault="00B4134A" w:rsidP="0009444F">
      <w:pPr>
        <w:pStyle w:val="Default"/>
        <w:ind w:left="720" w:hanging="720"/>
      </w:pPr>
      <w:r>
        <w:t>1.</w:t>
      </w:r>
      <w:r w:rsidR="00F548B4">
        <w:t>6</w:t>
      </w:r>
      <w:r>
        <w:t xml:space="preserve"> </w:t>
      </w:r>
      <w:r>
        <w:tab/>
        <w:t>The</w:t>
      </w:r>
      <w:r w:rsidR="008243AC">
        <w:t xml:space="preserve"> new</w:t>
      </w:r>
      <w:r>
        <w:t xml:space="preserve"> </w:t>
      </w:r>
      <w:r w:rsidR="008243AC">
        <w:t xml:space="preserve">2018 SPI </w:t>
      </w:r>
      <w:r>
        <w:t>d</w:t>
      </w:r>
      <w:r w:rsidRPr="00EB3829">
        <w:t>irection</w:t>
      </w:r>
      <w:r w:rsidR="008243AC">
        <w:t>, which comes into force from financial year 2019/20</w:t>
      </w:r>
      <w:r w:rsidRPr="00EB3829">
        <w:t xml:space="preserve"> </w:t>
      </w:r>
      <w:r w:rsidR="008243AC">
        <w:t xml:space="preserve">is </w:t>
      </w:r>
      <w:r w:rsidRPr="00EB3829">
        <w:t xml:space="preserve">has similar </w:t>
      </w:r>
      <w:r>
        <w:t xml:space="preserve">in most respects to the previous direction, </w:t>
      </w:r>
      <w:r w:rsidRPr="00EB3829">
        <w:t xml:space="preserve">but </w:t>
      </w:r>
      <w:r>
        <w:t xml:space="preserve">has been </w:t>
      </w:r>
      <w:r w:rsidRPr="00EB3829">
        <w:t xml:space="preserve">enhanced to </w:t>
      </w:r>
      <w:r>
        <w:t>give greater clarity  to the public and the Council.</w:t>
      </w:r>
    </w:p>
    <w:p w14:paraId="6D0B101D" w14:textId="77777777" w:rsidR="002F1B31" w:rsidRDefault="002F1B31" w:rsidP="0009444F">
      <w:pPr>
        <w:pStyle w:val="Default"/>
        <w:ind w:left="720" w:hanging="720"/>
      </w:pPr>
    </w:p>
    <w:p w14:paraId="5C760EE3" w14:textId="77777777" w:rsidR="002F1B31" w:rsidRDefault="002F1B31" w:rsidP="0009444F">
      <w:pPr>
        <w:pStyle w:val="Default"/>
        <w:ind w:left="720" w:hanging="720"/>
      </w:pPr>
      <w:r>
        <w:t>1.</w:t>
      </w:r>
      <w:r w:rsidR="00F548B4">
        <w:t>7</w:t>
      </w:r>
      <w:r>
        <w:tab/>
        <w:t xml:space="preserve">Given the timing of this report it has not been possible to include a section  </w:t>
      </w:r>
      <w:r w:rsidR="00505A45">
        <w:t>detailing significant</w:t>
      </w:r>
      <w:r w:rsidR="00E26913">
        <w:t xml:space="preserve"> changes to the </w:t>
      </w:r>
      <w:r>
        <w:t xml:space="preserve">Directorate’s workforce profile. This information will instead be included in the next </w:t>
      </w:r>
      <w:r w:rsidR="00B41071" w:rsidRPr="00B41071">
        <w:rPr>
          <w:color w:val="auto"/>
        </w:rPr>
        <w:t>Economy, Planning and Employability report in October</w:t>
      </w:r>
      <w:r>
        <w:t xml:space="preserve">. The workforce profile information will be included as a standard item in the performance reports </w:t>
      </w:r>
      <w:r w:rsidR="00E26913">
        <w:t>for all Directorates.</w:t>
      </w:r>
    </w:p>
    <w:p w14:paraId="3825F91A" w14:textId="77777777" w:rsidR="00F548B4" w:rsidRDefault="00F548B4" w:rsidP="0009444F">
      <w:pPr>
        <w:pStyle w:val="Default"/>
        <w:ind w:left="720" w:hanging="720"/>
      </w:pPr>
    </w:p>
    <w:p w14:paraId="23D21DBC" w14:textId="77777777" w:rsidR="00F548B4" w:rsidRDefault="00F548B4" w:rsidP="0009444F">
      <w:pPr>
        <w:pStyle w:val="Default"/>
        <w:ind w:left="720" w:hanging="720"/>
      </w:pPr>
    </w:p>
    <w:p w14:paraId="4ECB6D1E" w14:textId="77777777" w:rsidR="00F548B4" w:rsidRDefault="00F548B4" w:rsidP="0009444F">
      <w:pPr>
        <w:pStyle w:val="Default"/>
        <w:ind w:left="720" w:hanging="720"/>
      </w:pPr>
    </w:p>
    <w:p w14:paraId="6D25FE19" w14:textId="77777777" w:rsidR="00F548B4" w:rsidRDefault="00F548B4" w:rsidP="0009444F">
      <w:pPr>
        <w:pStyle w:val="Default"/>
        <w:ind w:left="720" w:hanging="720"/>
      </w:pPr>
    </w:p>
    <w:p w14:paraId="6591FBFE" w14:textId="77777777" w:rsidR="00E156C4" w:rsidRDefault="00E156C4" w:rsidP="005D6FDE">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lastRenderedPageBreak/>
        <w:t>Conclusion</w:t>
      </w:r>
      <w:r w:rsidR="00F70710">
        <w:rPr>
          <w:rStyle w:val="s1"/>
          <w:rFonts w:ascii="Arial" w:hAnsi="Arial"/>
          <w:b/>
          <w:color w:val="auto"/>
          <w:sz w:val="36"/>
          <w:szCs w:val="36"/>
        </w:rPr>
        <w:t>s</w:t>
      </w:r>
      <w:r>
        <w:rPr>
          <w:rStyle w:val="s1"/>
          <w:rFonts w:ascii="Arial" w:hAnsi="Arial"/>
          <w:b/>
          <w:color w:val="auto"/>
          <w:sz w:val="36"/>
          <w:szCs w:val="36"/>
        </w:rPr>
        <w:t xml:space="preserve"> </w:t>
      </w:r>
    </w:p>
    <w:p w14:paraId="2C7D234E" w14:textId="77777777" w:rsidR="00F31797" w:rsidRDefault="00F31797" w:rsidP="00986992">
      <w:pPr>
        <w:spacing w:before="0" w:after="0"/>
        <w:ind w:left="709" w:hanging="709"/>
        <w:jc w:val="both"/>
        <w:rPr>
          <w:rFonts w:ascii="Arial" w:hAnsi="Arial" w:cs="Arial"/>
          <w:szCs w:val="24"/>
        </w:rPr>
      </w:pPr>
    </w:p>
    <w:p w14:paraId="57C02D9E"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2.1</w:t>
      </w:r>
      <w:r>
        <w:rPr>
          <w:rFonts w:ascii="Arial" w:hAnsi="Arial" w:cs="Arial"/>
          <w:szCs w:val="24"/>
        </w:rPr>
        <w:tab/>
        <w:t>This report is the first in a series covering the whole of the Council’s performance against key indicators, including the Local Government Benchmarking framework.</w:t>
      </w:r>
    </w:p>
    <w:p w14:paraId="02A2EEC7" w14:textId="77777777" w:rsidR="005D6FDE" w:rsidRDefault="005D6FDE" w:rsidP="005D6FDE">
      <w:pPr>
        <w:spacing w:before="0" w:after="0"/>
        <w:ind w:left="720" w:hanging="720"/>
        <w:jc w:val="both"/>
        <w:rPr>
          <w:rFonts w:ascii="Arial" w:hAnsi="Arial" w:cs="Arial"/>
          <w:szCs w:val="24"/>
        </w:rPr>
      </w:pPr>
    </w:p>
    <w:p w14:paraId="3FAEFCBE"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2.2</w:t>
      </w:r>
      <w:r>
        <w:rPr>
          <w:rFonts w:ascii="Arial" w:hAnsi="Arial" w:cs="Arial"/>
          <w:szCs w:val="24"/>
        </w:rPr>
        <w:tab/>
        <w:t xml:space="preserve">The overall performance of </w:t>
      </w:r>
      <w:r w:rsidR="00F548B4">
        <w:rPr>
          <w:rFonts w:ascii="Arial" w:hAnsi="Arial" w:cs="Arial"/>
          <w:szCs w:val="24"/>
        </w:rPr>
        <w:t xml:space="preserve">Protective Services is </w:t>
      </w:r>
      <w:r>
        <w:rPr>
          <w:rFonts w:ascii="Arial" w:hAnsi="Arial" w:cs="Arial"/>
          <w:szCs w:val="24"/>
        </w:rPr>
        <w:t>positive</w:t>
      </w:r>
      <w:r w:rsidR="00547880">
        <w:rPr>
          <w:rFonts w:ascii="Arial" w:hAnsi="Arial" w:cs="Arial"/>
          <w:szCs w:val="24"/>
        </w:rPr>
        <w:t>; areas for improvement focus are identified in appendix 1</w:t>
      </w:r>
    </w:p>
    <w:p w14:paraId="3722E48F" w14:textId="77777777" w:rsidR="005D6FDE" w:rsidRDefault="005D6FDE" w:rsidP="00986992">
      <w:pPr>
        <w:spacing w:before="0" w:after="0"/>
        <w:ind w:left="709" w:hanging="709"/>
        <w:jc w:val="both"/>
        <w:rPr>
          <w:rFonts w:ascii="Arial" w:hAnsi="Arial" w:cs="Arial"/>
          <w:szCs w:val="24"/>
        </w:rPr>
      </w:pPr>
    </w:p>
    <w:p w14:paraId="50A72321" w14:textId="77777777" w:rsidR="00603139" w:rsidRPr="00910BBF" w:rsidRDefault="000532D5" w:rsidP="008B7AEF">
      <w:pPr>
        <w:spacing w:before="0" w:after="0"/>
        <w:rPr>
          <w:b/>
          <w:szCs w:val="24"/>
        </w:rPr>
      </w:pPr>
      <w:r w:rsidRPr="00910BBF">
        <w:rPr>
          <w:b/>
          <w:szCs w:val="24"/>
        </w:rPr>
        <w:t xml:space="preserve">List of </w:t>
      </w:r>
      <w:r w:rsidR="00603139" w:rsidRPr="00910BBF">
        <w:rPr>
          <w:b/>
          <w:szCs w:val="24"/>
        </w:rPr>
        <w:t>Appendices</w:t>
      </w:r>
      <w:r w:rsidR="00F85B98" w:rsidRPr="00910BBF">
        <w:rPr>
          <w:b/>
          <w:szCs w:val="24"/>
        </w:rPr>
        <w:t xml:space="preserve"> </w:t>
      </w:r>
    </w:p>
    <w:p w14:paraId="36FB9962" w14:textId="77777777" w:rsidR="00603139" w:rsidRPr="00910BBF" w:rsidRDefault="00603139" w:rsidP="008B7AEF">
      <w:pPr>
        <w:spacing w:before="0" w:after="0"/>
        <w:rPr>
          <w:b/>
          <w:szCs w:val="24"/>
        </w:rPr>
      </w:pPr>
    </w:p>
    <w:p w14:paraId="6D3809C2" w14:textId="77777777" w:rsidR="008B7AEF" w:rsidRPr="00910BBF" w:rsidRDefault="003F30B3" w:rsidP="008B7AEF">
      <w:pPr>
        <w:spacing w:before="0" w:after="0"/>
        <w:jc w:val="both"/>
        <w:rPr>
          <w:szCs w:val="24"/>
        </w:rPr>
      </w:pPr>
      <w:r>
        <w:rPr>
          <w:szCs w:val="24"/>
        </w:rPr>
        <w:t>Appendix 1</w:t>
      </w:r>
      <w:r w:rsidR="00AA10C2">
        <w:rPr>
          <w:szCs w:val="24"/>
        </w:rPr>
        <w:t xml:space="preserve"> – </w:t>
      </w:r>
      <w:r w:rsidR="00F548B4">
        <w:rPr>
          <w:szCs w:val="24"/>
        </w:rPr>
        <w:t xml:space="preserve">Protective </w:t>
      </w:r>
      <w:r w:rsidR="00AA10C2">
        <w:rPr>
          <w:szCs w:val="24"/>
        </w:rPr>
        <w:t>Services Performance Report 2018/19</w:t>
      </w:r>
    </w:p>
    <w:p w14:paraId="19DB4A6B" w14:textId="77777777" w:rsidR="00193B24" w:rsidRDefault="00193B24" w:rsidP="008B7AEF">
      <w:pPr>
        <w:pStyle w:val="Heading4"/>
        <w:spacing w:before="0" w:after="0"/>
        <w:rPr>
          <w:szCs w:val="24"/>
        </w:rPr>
      </w:pPr>
    </w:p>
    <w:p w14:paraId="0CC2B6ED" w14:textId="77777777" w:rsidR="00F548B4" w:rsidRPr="00F548B4" w:rsidRDefault="00F548B4" w:rsidP="00F548B4"/>
    <w:p w14:paraId="24F06396" w14:textId="77777777" w:rsidR="000532D5" w:rsidRDefault="008B7AEF" w:rsidP="00BF0181">
      <w:pPr>
        <w:pStyle w:val="Heading4"/>
        <w:spacing w:before="0" w:after="0"/>
        <w:rPr>
          <w:szCs w:val="24"/>
        </w:rPr>
      </w:pPr>
      <w:r w:rsidRPr="00910BBF">
        <w:rPr>
          <w:szCs w:val="24"/>
        </w:rPr>
        <w:t>Report Contact</w:t>
      </w:r>
    </w:p>
    <w:p w14:paraId="352941E4" w14:textId="77777777" w:rsidR="006B7E99" w:rsidRDefault="00112FB6" w:rsidP="008B7AEF">
      <w:pPr>
        <w:spacing w:before="0" w:after="0"/>
        <w:rPr>
          <w:szCs w:val="24"/>
        </w:rPr>
      </w:pPr>
      <w:r>
        <w:rPr>
          <w:szCs w:val="24"/>
        </w:rPr>
        <w:t>Nigel Kerr</w:t>
      </w:r>
    </w:p>
    <w:p w14:paraId="0AD19DD9" w14:textId="77777777" w:rsidR="003F30B3" w:rsidRDefault="00112FB6" w:rsidP="008B7AEF">
      <w:pPr>
        <w:spacing w:before="0" w:after="0"/>
        <w:rPr>
          <w:szCs w:val="24"/>
        </w:rPr>
      </w:pPr>
      <w:r>
        <w:rPr>
          <w:szCs w:val="24"/>
        </w:rPr>
        <w:t xml:space="preserve">Interim Chief Officer </w:t>
      </w:r>
      <w:r w:rsidR="00802449">
        <w:rPr>
          <w:szCs w:val="24"/>
        </w:rPr>
        <w:t>–</w:t>
      </w:r>
      <w:r>
        <w:rPr>
          <w:szCs w:val="24"/>
        </w:rPr>
        <w:t xml:space="preserve"> P</w:t>
      </w:r>
      <w:r w:rsidR="00802449">
        <w:rPr>
          <w:szCs w:val="24"/>
        </w:rPr>
        <w:t>rotective Services</w:t>
      </w:r>
    </w:p>
    <w:p w14:paraId="26A15564" w14:textId="77777777" w:rsidR="003F30B3" w:rsidRDefault="00112FB6" w:rsidP="008B7AEF">
      <w:pPr>
        <w:spacing w:before="0" w:after="0"/>
        <w:rPr>
          <w:szCs w:val="24"/>
        </w:rPr>
      </w:pPr>
      <w:r>
        <w:rPr>
          <w:szCs w:val="24"/>
        </w:rPr>
        <w:t>Enterprise and Environment</w:t>
      </w:r>
    </w:p>
    <w:p w14:paraId="1655A2B7" w14:textId="3662703F" w:rsidR="002125C9" w:rsidRDefault="003F30B3" w:rsidP="008B7AEF">
      <w:pPr>
        <w:spacing w:before="0" w:after="0"/>
        <w:rPr>
          <w:szCs w:val="24"/>
        </w:rPr>
      </w:pPr>
      <w:r>
        <w:rPr>
          <w:szCs w:val="24"/>
        </w:rPr>
        <w:t>03451 555555 x 4</w:t>
      </w:r>
      <w:r w:rsidR="00112FB6">
        <w:rPr>
          <w:szCs w:val="24"/>
        </w:rPr>
        <w:t>46547</w:t>
      </w:r>
    </w:p>
    <w:p w14:paraId="7978DF99" w14:textId="2D26F20F" w:rsidR="00D522A1" w:rsidRDefault="00D522A1" w:rsidP="008B7AEF">
      <w:pPr>
        <w:spacing w:before="0" w:after="0"/>
        <w:rPr>
          <w:szCs w:val="24"/>
        </w:rPr>
      </w:pPr>
    </w:p>
    <w:p w14:paraId="4A20FE7E" w14:textId="6ED007D4" w:rsidR="00D522A1" w:rsidRDefault="00D522A1" w:rsidP="008B7AEF">
      <w:pPr>
        <w:spacing w:before="0" w:after="0"/>
        <w:rPr>
          <w:szCs w:val="24"/>
        </w:rPr>
      </w:pPr>
    </w:p>
    <w:p w14:paraId="3DC94AF9" w14:textId="6E4E0F24" w:rsidR="00D522A1" w:rsidRDefault="00D522A1" w:rsidP="008B7AEF">
      <w:pPr>
        <w:spacing w:before="0" w:after="0"/>
        <w:rPr>
          <w:szCs w:val="24"/>
        </w:rPr>
      </w:pPr>
    </w:p>
    <w:p w14:paraId="43A7CC5E" w14:textId="17580865" w:rsidR="00D522A1" w:rsidRDefault="00D522A1" w:rsidP="008B7AEF">
      <w:pPr>
        <w:spacing w:before="0" w:after="0"/>
        <w:rPr>
          <w:szCs w:val="24"/>
        </w:rPr>
      </w:pPr>
    </w:p>
    <w:p w14:paraId="2746C0CB" w14:textId="605EE4C4" w:rsidR="00D522A1" w:rsidRDefault="00D522A1" w:rsidP="008B7AEF">
      <w:pPr>
        <w:spacing w:before="0" w:after="0"/>
        <w:rPr>
          <w:szCs w:val="24"/>
        </w:rPr>
      </w:pPr>
    </w:p>
    <w:p w14:paraId="337B15CF" w14:textId="1400818A" w:rsidR="00D522A1" w:rsidRDefault="00D522A1" w:rsidP="008B7AEF">
      <w:pPr>
        <w:spacing w:before="0" w:after="0"/>
        <w:rPr>
          <w:szCs w:val="24"/>
        </w:rPr>
      </w:pPr>
    </w:p>
    <w:p w14:paraId="72764EB7" w14:textId="3FB6BC8A" w:rsidR="00D522A1" w:rsidRDefault="00D522A1" w:rsidP="008B7AEF">
      <w:pPr>
        <w:spacing w:before="0" w:after="0"/>
        <w:rPr>
          <w:szCs w:val="24"/>
        </w:rPr>
      </w:pPr>
    </w:p>
    <w:p w14:paraId="606BCFED" w14:textId="2314901D" w:rsidR="00D522A1" w:rsidRDefault="00D522A1" w:rsidP="008B7AEF">
      <w:pPr>
        <w:spacing w:before="0" w:after="0"/>
        <w:rPr>
          <w:szCs w:val="24"/>
        </w:rPr>
      </w:pPr>
    </w:p>
    <w:p w14:paraId="66E97A48" w14:textId="2604FC84" w:rsidR="00D522A1" w:rsidRDefault="00D522A1" w:rsidP="008B7AEF">
      <w:pPr>
        <w:spacing w:before="0" w:after="0"/>
        <w:rPr>
          <w:szCs w:val="24"/>
        </w:rPr>
      </w:pPr>
    </w:p>
    <w:p w14:paraId="28581E0F" w14:textId="5785F193" w:rsidR="00D522A1" w:rsidRDefault="00D522A1" w:rsidP="008B7AEF">
      <w:pPr>
        <w:spacing w:before="0" w:after="0"/>
        <w:rPr>
          <w:szCs w:val="24"/>
        </w:rPr>
      </w:pPr>
    </w:p>
    <w:p w14:paraId="48918339" w14:textId="1163EDFD" w:rsidR="00D522A1" w:rsidRDefault="00D522A1" w:rsidP="008B7AEF">
      <w:pPr>
        <w:spacing w:before="0" w:after="0"/>
        <w:rPr>
          <w:szCs w:val="24"/>
        </w:rPr>
      </w:pPr>
    </w:p>
    <w:p w14:paraId="41ADB2F0" w14:textId="3FB68B96" w:rsidR="00D522A1" w:rsidRDefault="00D522A1" w:rsidP="008B7AEF">
      <w:pPr>
        <w:spacing w:before="0" w:after="0"/>
        <w:rPr>
          <w:szCs w:val="24"/>
        </w:rPr>
      </w:pPr>
    </w:p>
    <w:p w14:paraId="5915D0A2" w14:textId="34F1BA35" w:rsidR="00D522A1" w:rsidRDefault="00D522A1" w:rsidP="008B7AEF">
      <w:pPr>
        <w:spacing w:before="0" w:after="0"/>
        <w:rPr>
          <w:szCs w:val="24"/>
        </w:rPr>
      </w:pPr>
    </w:p>
    <w:p w14:paraId="3881578D" w14:textId="55087CF6" w:rsidR="00D522A1" w:rsidRDefault="00D522A1" w:rsidP="008B7AEF">
      <w:pPr>
        <w:spacing w:before="0" w:after="0"/>
        <w:rPr>
          <w:szCs w:val="24"/>
        </w:rPr>
      </w:pPr>
    </w:p>
    <w:p w14:paraId="41AEC0CF" w14:textId="68279E10" w:rsidR="00D522A1" w:rsidRDefault="00D522A1" w:rsidP="008B7AEF">
      <w:pPr>
        <w:spacing w:before="0" w:after="0"/>
        <w:rPr>
          <w:szCs w:val="24"/>
        </w:rPr>
      </w:pPr>
    </w:p>
    <w:p w14:paraId="52E7B5FC" w14:textId="1E3D6D26" w:rsidR="00D522A1" w:rsidRDefault="00D522A1" w:rsidP="008B7AEF">
      <w:pPr>
        <w:spacing w:before="0" w:after="0"/>
        <w:rPr>
          <w:szCs w:val="24"/>
        </w:rPr>
      </w:pPr>
    </w:p>
    <w:p w14:paraId="35911429" w14:textId="19BF3C11" w:rsidR="00D522A1" w:rsidRDefault="00D522A1" w:rsidP="008B7AEF">
      <w:pPr>
        <w:spacing w:before="0" w:after="0"/>
        <w:rPr>
          <w:szCs w:val="24"/>
        </w:rPr>
      </w:pPr>
    </w:p>
    <w:p w14:paraId="5870237A" w14:textId="610DEE36" w:rsidR="00D522A1" w:rsidRDefault="00D522A1" w:rsidP="008B7AEF">
      <w:pPr>
        <w:spacing w:before="0" w:after="0"/>
        <w:rPr>
          <w:szCs w:val="24"/>
        </w:rPr>
      </w:pPr>
    </w:p>
    <w:p w14:paraId="6E788739" w14:textId="20E88E58" w:rsidR="00D522A1" w:rsidRDefault="00D522A1" w:rsidP="008B7AEF">
      <w:pPr>
        <w:spacing w:before="0" w:after="0"/>
        <w:rPr>
          <w:szCs w:val="24"/>
        </w:rPr>
      </w:pPr>
    </w:p>
    <w:p w14:paraId="14A98A88" w14:textId="47343E99" w:rsidR="00D522A1" w:rsidRDefault="00D522A1" w:rsidP="008B7AEF">
      <w:pPr>
        <w:spacing w:before="0" w:after="0"/>
        <w:rPr>
          <w:szCs w:val="24"/>
        </w:rPr>
      </w:pPr>
    </w:p>
    <w:p w14:paraId="3A526074" w14:textId="054B1910" w:rsidR="00D522A1" w:rsidRDefault="00D522A1" w:rsidP="008B7AEF">
      <w:pPr>
        <w:spacing w:before="0" w:after="0"/>
        <w:rPr>
          <w:szCs w:val="24"/>
        </w:rPr>
      </w:pPr>
    </w:p>
    <w:p w14:paraId="2D0D22E7" w14:textId="6C00B236" w:rsidR="00D522A1" w:rsidRDefault="00D522A1" w:rsidP="008B7AEF">
      <w:pPr>
        <w:spacing w:before="0" w:after="0"/>
        <w:rPr>
          <w:szCs w:val="24"/>
        </w:rPr>
      </w:pPr>
    </w:p>
    <w:p w14:paraId="71C1A798" w14:textId="2D47544D" w:rsidR="00D522A1" w:rsidRDefault="00D522A1" w:rsidP="008B7AEF">
      <w:pPr>
        <w:spacing w:before="0" w:after="0"/>
        <w:rPr>
          <w:szCs w:val="24"/>
        </w:rPr>
      </w:pPr>
    </w:p>
    <w:p w14:paraId="2479DEF9" w14:textId="726BB77E" w:rsidR="00D522A1" w:rsidRDefault="00D522A1" w:rsidP="008B7AEF">
      <w:pPr>
        <w:spacing w:before="0" w:after="0"/>
        <w:rPr>
          <w:szCs w:val="24"/>
        </w:rPr>
      </w:pPr>
    </w:p>
    <w:p w14:paraId="296B5017" w14:textId="14EC4AD0" w:rsidR="00D522A1" w:rsidRDefault="00D522A1" w:rsidP="008B7AEF">
      <w:pPr>
        <w:spacing w:before="0" w:after="0"/>
        <w:rPr>
          <w:szCs w:val="24"/>
        </w:rPr>
      </w:pPr>
    </w:p>
    <w:p w14:paraId="47FED9D7" w14:textId="16F7E380" w:rsidR="00D522A1" w:rsidRDefault="00D522A1" w:rsidP="008B7AEF">
      <w:pPr>
        <w:spacing w:before="0" w:after="0"/>
        <w:rPr>
          <w:szCs w:val="24"/>
        </w:rPr>
      </w:pPr>
    </w:p>
    <w:p w14:paraId="3EDF6989" w14:textId="1BE083EA" w:rsidR="00D522A1" w:rsidRDefault="00D522A1" w:rsidP="008B7AEF">
      <w:pPr>
        <w:spacing w:before="0" w:after="0"/>
        <w:rPr>
          <w:szCs w:val="24"/>
        </w:rPr>
      </w:pPr>
    </w:p>
    <w:p w14:paraId="0F316501" w14:textId="74FC854B" w:rsidR="00D522A1" w:rsidRDefault="00D522A1" w:rsidP="008B7AEF">
      <w:pPr>
        <w:spacing w:before="0" w:after="0"/>
        <w:rPr>
          <w:szCs w:val="24"/>
        </w:rPr>
      </w:pPr>
    </w:p>
    <w:p w14:paraId="1692755A" w14:textId="0BACAEC7" w:rsidR="00D522A1" w:rsidRDefault="00D522A1" w:rsidP="008B7AEF">
      <w:pPr>
        <w:spacing w:before="0" w:after="0"/>
        <w:rPr>
          <w:szCs w:val="24"/>
        </w:rPr>
      </w:pPr>
    </w:p>
    <w:p w14:paraId="7AB9BACB" w14:textId="423FE7EB" w:rsidR="00D522A1" w:rsidRDefault="00D522A1" w:rsidP="008B7AEF">
      <w:pPr>
        <w:spacing w:before="0" w:after="0"/>
        <w:rPr>
          <w:szCs w:val="24"/>
        </w:rPr>
      </w:pPr>
    </w:p>
    <w:p w14:paraId="28B10B0C" w14:textId="2B019BAF" w:rsidR="00D522A1" w:rsidRDefault="00D522A1" w:rsidP="008B7AEF">
      <w:pPr>
        <w:spacing w:before="0" w:after="0"/>
        <w:rPr>
          <w:szCs w:val="24"/>
        </w:rPr>
      </w:pPr>
    </w:p>
    <w:p w14:paraId="77BE579F" w14:textId="5C3460CD" w:rsidR="00D522A1" w:rsidRDefault="00D522A1" w:rsidP="008B7AEF">
      <w:pPr>
        <w:spacing w:before="0" w:after="0"/>
        <w:rPr>
          <w:szCs w:val="24"/>
        </w:rPr>
      </w:pPr>
    </w:p>
    <w:p w14:paraId="2401E704"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78085D17" w14:textId="77777777" w:rsidR="00D522A1" w:rsidRPr="00D522A1" w:rsidRDefault="00D522A1" w:rsidP="00D522A1">
      <w:pPr>
        <w:ind w:left="426"/>
        <w:rPr>
          <w:rFonts w:asciiTheme="minorBidi" w:eastAsiaTheme="minorHAnsi" w:hAnsiTheme="minorBidi" w:cstheme="minorBidi"/>
          <w:color w:val="1F4E79" w:themeColor="accent5" w:themeShade="80"/>
          <w:szCs w:val="24"/>
          <w:lang w:eastAsia="en-US"/>
        </w:rPr>
      </w:pPr>
      <w:r w:rsidRPr="00D522A1">
        <w:rPr>
          <w:rFonts w:asciiTheme="minorBidi" w:eastAsiaTheme="minorHAnsi" w:hAnsiTheme="minorBidi" w:cstheme="minorBidi"/>
          <w:noProof/>
          <w:color w:val="1F4E79" w:themeColor="accent5" w:themeShade="80"/>
          <w:szCs w:val="24"/>
        </w:rPr>
        <w:drawing>
          <wp:inline distT="0" distB="0" distL="0" distR="0" wp14:anchorId="07C81068" wp14:editId="212A0F12">
            <wp:extent cx="2215166" cy="1003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_Logo_c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317" cy="1070426"/>
                    </a:xfrm>
                    <a:prstGeom prst="rect">
                      <a:avLst/>
                    </a:prstGeom>
                  </pic:spPr>
                </pic:pic>
              </a:graphicData>
            </a:graphic>
          </wp:inline>
        </w:drawing>
      </w:r>
    </w:p>
    <w:p w14:paraId="73E836FC"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2E9256A9"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3F1367A3" w14:textId="77777777" w:rsidR="00D522A1" w:rsidRPr="00D522A1" w:rsidRDefault="00D522A1" w:rsidP="00D522A1">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D522A1">
        <w:rPr>
          <w:rFonts w:ascii="Arial" w:eastAsiaTheme="majorEastAsia" w:hAnsi="Arial" w:cstheme="majorBidi"/>
          <w:color w:val="1F4E79" w:themeColor="accent5" w:themeShade="80"/>
          <w:sz w:val="56"/>
          <w:szCs w:val="96"/>
          <w:lang w:eastAsia="en-US"/>
        </w:rPr>
        <w:t>Protective Services</w:t>
      </w:r>
    </w:p>
    <w:p w14:paraId="667BB4AD" w14:textId="77777777" w:rsidR="00D522A1" w:rsidRPr="00D522A1" w:rsidRDefault="00D522A1" w:rsidP="00D522A1">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D522A1">
        <w:rPr>
          <w:rFonts w:ascii="Arial" w:eastAsiaTheme="majorEastAsia" w:hAnsi="Arial" w:cstheme="majorBidi"/>
          <w:color w:val="1F4E79" w:themeColor="accent5" w:themeShade="80"/>
          <w:sz w:val="56"/>
          <w:szCs w:val="96"/>
          <w:lang w:eastAsia="en-US"/>
        </w:rPr>
        <w:t>Performance Report 2018/19</w:t>
      </w:r>
    </w:p>
    <w:p w14:paraId="32CF303C" w14:textId="77777777" w:rsidR="00D522A1" w:rsidRPr="00D522A1" w:rsidRDefault="00D522A1" w:rsidP="00D522A1">
      <w:pPr>
        <w:rPr>
          <w:rFonts w:asciiTheme="minorBidi" w:eastAsiaTheme="minorHAnsi" w:hAnsiTheme="minorBidi" w:cstheme="minorBidi"/>
          <w:color w:val="1F4E79"/>
          <w:sz w:val="36"/>
          <w:szCs w:val="36"/>
          <w:lang w:eastAsia="en-US"/>
        </w:rPr>
      </w:pPr>
    </w:p>
    <w:tbl>
      <w:tblPr>
        <w:tblStyle w:val="TableGrid1"/>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811"/>
        <w:gridCol w:w="4811"/>
      </w:tblGrid>
      <w:tr w:rsidR="00D522A1" w:rsidRPr="00D522A1" w14:paraId="1A40244C" w14:textId="77777777" w:rsidTr="008F28BA">
        <w:trPr>
          <w:trHeight w:val="8720"/>
        </w:trPr>
        <w:tc>
          <w:tcPr>
            <w:tcW w:w="2500" w:type="pct"/>
          </w:tcPr>
          <w:p w14:paraId="517A2A0A" w14:textId="77777777" w:rsidR="00D522A1" w:rsidRPr="00D522A1" w:rsidRDefault="00D522A1" w:rsidP="00D522A1">
            <w:pPr>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This report provides a strategic overview of performance against key indicators. We’ve worked hard to maintain and improve performance, and this year has seen a number of important achievements for Protective Services:</w:t>
            </w:r>
          </w:p>
          <w:p w14:paraId="56AB9CF8" w14:textId="77777777" w:rsidR="00D522A1" w:rsidRPr="00D522A1" w:rsidRDefault="00D522A1" w:rsidP="00D522A1">
            <w:pPr>
              <w:rPr>
                <w:rFonts w:ascii="Arial" w:eastAsiaTheme="minorHAnsi" w:hAnsi="Arial" w:cs="Arial"/>
                <w:color w:val="1F4E79" w:themeColor="accent5" w:themeShade="80"/>
                <w:sz w:val="22"/>
                <w:szCs w:val="22"/>
                <w:lang w:eastAsia="en-US"/>
              </w:rPr>
            </w:pPr>
          </w:p>
          <w:p w14:paraId="10B1C00C" w14:textId="77777777" w:rsidR="00D522A1" w:rsidRPr="00D522A1" w:rsidRDefault="00D522A1" w:rsidP="00D522A1">
            <w:pPr>
              <w:numPr>
                <w:ilvl w:val="0"/>
                <w:numId w:val="29"/>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 xml:space="preserve">Building Standards was awarded the best large verifier award at the Local Authority Building Standards Scotland AGM in 2019. </w:t>
            </w:r>
          </w:p>
          <w:p w14:paraId="0E2139B2"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2BAF1105"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762CBEDC" w14:textId="77777777" w:rsidR="00D522A1" w:rsidRPr="00D522A1" w:rsidRDefault="00D522A1" w:rsidP="00D522A1">
            <w:pPr>
              <w:numPr>
                <w:ilvl w:val="0"/>
                <w:numId w:val="29"/>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Absence rates within EPES continues to fall with the latest figure of 3.72% compared with the Fife average of 5.30%.</w:t>
            </w:r>
          </w:p>
          <w:p w14:paraId="2DA2FA28"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60638A4D"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65BD8788" w14:textId="77777777" w:rsidR="00D522A1" w:rsidRPr="00D522A1" w:rsidRDefault="00D522A1" w:rsidP="00D522A1">
            <w:pPr>
              <w:numPr>
                <w:ilvl w:val="0"/>
                <w:numId w:val="29"/>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The percentage of broadly compliant food hygiene premises has increased for the 2nd year running.</w:t>
            </w:r>
          </w:p>
          <w:p w14:paraId="33056B43" w14:textId="77777777" w:rsidR="00D522A1" w:rsidRPr="00D522A1" w:rsidRDefault="00D522A1" w:rsidP="00D522A1">
            <w:pPr>
              <w:rPr>
                <w:rFonts w:ascii="Arial" w:eastAsiaTheme="minorHAnsi" w:hAnsi="Arial" w:cs="Arial"/>
                <w:color w:val="1F4E79" w:themeColor="accent5" w:themeShade="80"/>
                <w:sz w:val="22"/>
                <w:szCs w:val="22"/>
                <w:lang w:eastAsia="en-US"/>
              </w:rPr>
            </w:pPr>
          </w:p>
          <w:p w14:paraId="71F0B0AB" w14:textId="77777777" w:rsidR="00D522A1" w:rsidRPr="00D522A1" w:rsidRDefault="00D522A1" w:rsidP="00D522A1">
            <w:pPr>
              <w:rPr>
                <w:rFonts w:ascii="Arial" w:eastAsiaTheme="minorHAnsi" w:hAnsi="Arial" w:cs="Arial"/>
                <w:color w:val="1F4E79" w:themeColor="accent5" w:themeShade="80"/>
                <w:sz w:val="22"/>
                <w:szCs w:val="22"/>
                <w:lang w:eastAsia="en-US"/>
              </w:rPr>
            </w:pPr>
          </w:p>
        </w:tc>
        <w:tc>
          <w:tcPr>
            <w:tcW w:w="2500" w:type="pct"/>
          </w:tcPr>
          <w:p w14:paraId="39B68D54" w14:textId="77777777" w:rsidR="00D522A1" w:rsidRPr="00D522A1" w:rsidRDefault="00D522A1" w:rsidP="00D522A1">
            <w:pPr>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However, we continue to face significant challenges etc</w:t>
            </w:r>
          </w:p>
          <w:p w14:paraId="2B589713" w14:textId="77777777" w:rsidR="00D522A1" w:rsidRPr="00D522A1" w:rsidRDefault="00D522A1" w:rsidP="00D522A1">
            <w:pPr>
              <w:rPr>
                <w:rFonts w:ascii="Arial" w:eastAsiaTheme="minorHAnsi" w:hAnsi="Arial" w:cs="Arial"/>
                <w:color w:val="1F4E79" w:themeColor="accent5" w:themeShade="80"/>
                <w:sz w:val="22"/>
                <w:szCs w:val="22"/>
                <w:lang w:eastAsia="en-US"/>
              </w:rPr>
            </w:pPr>
          </w:p>
          <w:p w14:paraId="00A8794A" w14:textId="77777777" w:rsidR="00D522A1" w:rsidRPr="00D522A1" w:rsidRDefault="00D522A1" w:rsidP="00D522A1">
            <w:pPr>
              <w:rPr>
                <w:rFonts w:ascii="Arial" w:eastAsiaTheme="minorHAnsi" w:hAnsi="Arial" w:cs="Arial"/>
                <w:color w:val="1F4E79" w:themeColor="accent5" w:themeShade="80"/>
                <w:sz w:val="22"/>
                <w:szCs w:val="22"/>
                <w:lang w:eastAsia="en-US"/>
              </w:rPr>
            </w:pPr>
          </w:p>
          <w:p w14:paraId="5A41C700" w14:textId="77777777" w:rsidR="00D522A1" w:rsidRPr="00D522A1" w:rsidRDefault="00D522A1" w:rsidP="00D522A1">
            <w:pPr>
              <w:numPr>
                <w:ilvl w:val="0"/>
                <w:numId w:val="30"/>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The Food Standards Scotland Capacity and Capability Audit in August 2018 identified a failure to meet statutory duties in food safety due to resources.</w:t>
            </w:r>
          </w:p>
          <w:p w14:paraId="287C30E8"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3F6CF46C"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51E9994B" w14:textId="77777777" w:rsidR="00D522A1" w:rsidRPr="00D522A1" w:rsidRDefault="00D522A1" w:rsidP="00D522A1">
            <w:pPr>
              <w:numPr>
                <w:ilvl w:val="0"/>
                <w:numId w:val="30"/>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We continue to face challenges in recruiting new staff within Environmental Health and Trading Standards.</w:t>
            </w:r>
          </w:p>
          <w:p w14:paraId="09AAA5B8"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72A444A7" w14:textId="77777777" w:rsidR="00D522A1" w:rsidRPr="00D522A1" w:rsidRDefault="00D522A1" w:rsidP="00D522A1">
            <w:pPr>
              <w:numPr>
                <w:ilvl w:val="0"/>
                <w:numId w:val="28"/>
              </w:numPr>
              <w:ind w:left="720"/>
              <w:contextualSpacing/>
              <w:rPr>
                <w:rFonts w:ascii="Arial" w:eastAsiaTheme="minorHAnsi" w:hAnsi="Arial" w:cs="Arial"/>
                <w:color w:val="1F4E79" w:themeColor="accent5" w:themeShade="80"/>
                <w:sz w:val="22"/>
                <w:szCs w:val="22"/>
                <w:lang w:eastAsia="en-US"/>
              </w:rPr>
            </w:pPr>
          </w:p>
          <w:p w14:paraId="22EABF71" w14:textId="77777777" w:rsidR="00D522A1" w:rsidRPr="00D522A1" w:rsidRDefault="00D522A1" w:rsidP="00D522A1">
            <w:pPr>
              <w:numPr>
                <w:ilvl w:val="0"/>
                <w:numId w:val="30"/>
              </w:numPr>
              <w:contextualSpacing/>
              <w:rPr>
                <w:rFonts w:ascii="Arial" w:eastAsiaTheme="minorHAnsi" w:hAnsi="Arial" w:cs="Arial"/>
                <w:color w:val="1F4E79" w:themeColor="accent5" w:themeShade="80"/>
                <w:sz w:val="22"/>
                <w:szCs w:val="22"/>
                <w:lang w:eastAsia="en-US"/>
              </w:rPr>
            </w:pPr>
            <w:r w:rsidRPr="00D522A1">
              <w:rPr>
                <w:rFonts w:ascii="Arial" w:eastAsiaTheme="minorHAnsi" w:hAnsi="Arial" w:cs="Arial"/>
                <w:color w:val="1F4E79" w:themeColor="accent5" w:themeShade="80"/>
                <w:sz w:val="22"/>
                <w:szCs w:val="22"/>
                <w:lang w:eastAsia="en-US"/>
              </w:rPr>
              <w:t>Budget savings are putting pressure on the provision of statutory services.</w:t>
            </w:r>
          </w:p>
          <w:p w14:paraId="22BF26CC" w14:textId="77777777" w:rsidR="00D522A1" w:rsidRPr="00D522A1" w:rsidRDefault="00D522A1" w:rsidP="00D522A1">
            <w:pPr>
              <w:rPr>
                <w:rFonts w:ascii="Arial" w:eastAsiaTheme="minorHAnsi" w:hAnsi="Arial" w:cs="Arial"/>
                <w:color w:val="1F4E79" w:themeColor="accent5" w:themeShade="80"/>
                <w:sz w:val="22"/>
                <w:szCs w:val="22"/>
                <w:lang w:eastAsia="en-US"/>
              </w:rPr>
            </w:pPr>
          </w:p>
        </w:tc>
      </w:tr>
    </w:tbl>
    <w:p w14:paraId="29BD3653"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5AD9E944" w14:textId="77777777" w:rsidR="00D522A1" w:rsidRPr="00D522A1" w:rsidRDefault="00D522A1" w:rsidP="00D522A1">
      <w:pPr>
        <w:spacing w:before="0" w:after="0"/>
        <w:rPr>
          <w:rFonts w:ascii="Arial" w:eastAsiaTheme="minorHAnsi" w:hAnsi="Arial" w:cs="Arial"/>
          <w:color w:val="1F4E79" w:themeColor="accent5" w:themeShade="80"/>
          <w:szCs w:val="24"/>
          <w:lang w:eastAsia="en-US"/>
        </w:rPr>
      </w:pPr>
      <w:r w:rsidRPr="00D522A1">
        <w:rPr>
          <w:rFonts w:asciiTheme="minorBidi" w:eastAsiaTheme="minorHAnsi" w:hAnsiTheme="minorBidi" w:cstheme="minorBidi"/>
          <w:color w:val="1F4E79" w:themeColor="accent5" w:themeShade="80"/>
          <w:szCs w:val="24"/>
          <w:lang w:eastAsia="en-US"/>
        </w:rPr>
        <w:br w:type="page"/>
      </w:r>
      <w:bookmarkStart w:id="0" w:name="_Hlk14182235"/>
      <w:r w:rsidRPr="00D522A1">
        <w:rPr>
          <w:rFonts w:ascii="Arial" w:eastAsiaTheme="minorHAnsi" w:hAnsi="Arial" w:cs="Arial"/>
          <w:color w:val="1F4E79" w:themeColor="accent5" w:themeShade="80"/>
          <w:sz w:val="56"/>
          <w:szCs w:val="56"/>
          <w:lang w:eastAsia="en-US"/>
        </w:rPr>
        <w:lastRenderedPageBreak/>
        <w:t>Customer</w:t>
      </w:r>
    </w:p>
    <w:tbl>
      <w:tblPr>
        <w:tblStyle w:val="TableGrid1"/>
        <w:tblW w:w="10206"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3969"/>
      </w:tblGrid>
      <w:tr w:rsidR="00D522A1" w:rsidRPr="00D522A1" w14:paraId="30188729" w14:textId="77777777" w:rsidTr="00576311">
        <w:tc>
          <w:tcPr>
            <w:tcW w:w="6237" w:type="dxa"/>
            <w:shd w:val="clear" w:color="auto" w:fill="1F4E79" w:themeFill="accent5" w:themeFillShade="80"/>
            <w:vAlign w:val="center"/>
          </w:tcPr>
          <w:p w14:paraId="74D6AABE" w14:textId="77777777" w:rsidR="00D522A1" w:rsidRPr="00D522A1" w:rsidRDefault="00D522A1" w:rsidP="00D522A1">
            <w:pPr>
              <w:jc w:val="center"/>
              <w:rPr>
                <w:rFonts w:ascii="Arial" w:eastAsiaTheme="minorHAnsi" w:hAnsi="Arial" w:cs="Arial"/>
                <w:b/>
                <w:bCs/>
                <w:color w:val="FFFFFF" w:themeColor="background1"/>
                <w:lang w:eastAsia="en-US"/>
              </w:rPr>
            </w:pPr>
            <w:bookmarkStart w:id="1" w:name="_Hlk14170503"/>
            <w:bookmarkEnd w:id="0"/>
            <w:r w:rsidRPr="00D522A1">
              <w:rPr>
                <w:rFonts w:ascii="Arial" w:eastAsiaTheme="minorHAnsi" w:hAnsi="Arial" w:cs="Arial"/>
                <w:b/>
                <w:bCs/>
                <w:color w:val="FFFFFF" w:themeColor="background1"/>
                <w:lang w:eastAsia="en-US"/>
              </w:rPr>
              <w:t>Performance</w:t>
            </w:r>
          </w:p>
        </w:tc>
        <w:tc>
          <w:tcPr>
            <w:tcW w:w="3969" w:type="dxa"/>
            <w:shd w:val="clear" w:color="auto" w:fill="1F4E79" w:themeFill="accent5" w:themeFillShade="80"/>
            <w:vAlign w:val="center"/>
          </w:tcPr>
          <w:p w14:paraId="6A614171" w14:textId="77777777" w:rsidR="00D522A1" w:rsidRPr="00D522A1" w:rsidRDefault="00D522A1" w:rsidP="00D522A1">
            <w:pPr>
              <w:jc w:val="center"/>
              <w:rPr>
                <w:rFonts w:ascii="Arial" w:eastAsiaTheme="minorHAnsi" w:hAnsi="Arial" w:cs="Arial"/>
                <w:b/>
                <w:bCs/>
                <w:color w:val="FFFFFF" w:themeColor="background1"/>
                <w:lang w:eastAsia="en-US"/>
              </w:rPr>
            </w:pPr>
            <w:r w:rsidRPr="00D522A1">
              <w:rPr>
                <w:rFonts w:ascii="Arial" w:eastAsiaTheme="minorHAnsi" w:hAnsi="Arial" w:cs="Arial"/>
                <w:b/>
                <w:bCs/>
                <w:color w:val="FFFFFF" w:themeColor="background1"/>
                <w:lang w:eastAsia="en-US"/>
              </w:rPr>
              <w:t>Progress</w:t>
            </w:r>
          </w:p>
        </w:tc>
      </w:tr>
      <w:bookmarkEnd w:id="1"/>
      <w:tr w:rsidR="00D522A1" w:rsidRPr="00D522A1" w14:paraId="486F8017" w14:textId="77777777" w:rsidTr="00576311">
        <w:trPr>
          <w:trHeight w:val="2661"/>
        </w:trPr>
        <w:tc>
          <w:tcPr>
            <w:tcW w:w="6237" w:type="dxa"/>
          </w:tcPr>
          <w:p w14:paraId="3805F415"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6590DC3C" wp14:editId="015DDA91">
                  <wp:extent cx="3657600" cy="2300288"/>
                  <wp:effectExtent l="0" t="0" r="0" b="5080"/>
                  <wp:docPr id="12" name="Chart 12">
                    <a:extLst xmlns:a="http://schemas.openxmlformats.org/drawingml/2006/main">
                      <a:ext uri="{FF2B5EF4-FFF2-40B4-BE49-F238E27FC236}">
                        <a16:creationId xmlns:a16="http://schemas.microsoft.com/office/drawing/2014/main" id="{A41F06A5-D726-4DA7-8213-80B8C1122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969" w:type="dxa"/>
            <w:vMerge w:val="restart"/>
          </w:tcPr>
          <w:p w14:paraId="57718858"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Protective Services still continue to maintain a high level of compliance when dealing with complaints within timescales and were broadly on target for 2018/19.</w:t>
            </w:r>
          </w:p>
          <w:p w14:paraId="39887315" w14:textId="77777777" w:rsidR="00D522A1" w:rsidRPr="00D522A1" w:rsidRDefault="00D522A1" w:rsidP="00D522A1">
            <w:pPr>
              <w:rPr>
                <w:rFonts w:ascii="Arial" w:eastAsia="Arial" w:hAnsi="Arial" w:cs="Arial"/>
                <w:color w:val="1F4E79"/>
                <w:lang w:eastAsia="en-US"/>
              </w:rPr>
            </w:pPr>
          </w:p>
          <w:p w14:paraId="42B3C1AC"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The number of stage 1 complaints received by Protective Services has reduced since 2017/18 however stage 2 complaints have more than doubled.  Despite this the dip in performance for stage 2, is the result of one complaint not being answered within timescale and there were a number of complex enquires related to these complaints.</w:t>
            </w:r>
          </w:p>
          <w:p w14:paraId="0519C38C" w14:textId="77777777" w:rsidR="00D522A1" w:rsidRPr="00D522A1" w:rsidRDefault="00D522A1" w:rsidP="00D522A1">
            <w:pPr>
              <w:rPr>
                <w:rFonts w:asciiTheme="minorBidi" w:eastAsiaTheme="minorHAnsi" w:hAnsiTheme="minorBidi"/>
                <w:color w:val="1F4E79" w:themeColor="accent5" w:themeShade="80"/>
                <w:lang w:eastAsia="en-US"/>
              </w:rPr>
            </w:pPr>
          </w:p>
        </w:tc>
      </w:tr>
      <w:tr w:rsidR="00D522A1" w:rsidRPr="00D522A1" w14:paraId="678A1829" w14:textId="77777777" w:rsidTr="00576311">
        <w:tc>
          <w:tcPr>
            <w:tcW w:w="6237" w:type="dxa"/>
          </w:tcPr>
          <w:p w14:paraId="7891CEF7"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0896AE51" wp14:editId="17AA1167">
                  <wp:extent cx="3662363" cy="2290763"/>
                  <wp:effectExtent l="0" t="0" r="14605" b="14605"/>
                  <wp:docPr id="8" name="Chart 8">
                    <a:extLst xmlns:a="http://schemas.openxmlformats.org/drawingml/2006/main">
                      <a:ext uri="{FF2B5EF4-FFF2-40B4-BE49-F238E27FC236}">
                        <a16:creationId xmlns:a16="http://schemas.microsoft.com/office/drawing/2014/main" id="{A683CA09-449F-4B5D-AC2E-D66FF51BA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969" w:type="dxa"/>
            <w:vMerge/>
          </w:tcPr>
          <w:p w14:paraId="0CBDC70E" w14:textId="77777777" w:rsidR="00D522A1" w:rsidRPr="00D522A1" w:rsidRDefault="00D522A1" w:rsidP="00D522A1">
            <w:pPr>
              <w:rPr>
                <w:rFonts w:asciiTheme="minorBidi" w:eastAsiaTheme="minorHAnsi" w:hAnsiTheme="minorBidi"/>
                <w:color w:val="1F4E79" w:themeColor="accent5" w:themeShade="80"/>
                <w:lang w:eastAsia="en-US"/>
              </w:rPr>
            </w:pPr>
          </w:p>
        </w:tc>
      </w:tr>
      <w:tr w:rsidR="00D522A1" w:rsidRPr="00D522A1" w14:paraId="26933637" w14:textId="77777777" w:rsidTr="00576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7" w:type="dxa"/>
          </w:tcPr>
          <w:p w14:paraId="37CDBFF3" w14:textId="77777777" w:rsidR="00D522A1" w:rsidRPr="00D522A1" w:rsidRDefault="00D522A1" w:rsidP="00D522A1">
            <w:pPr>
              <w:jc w:val="center"/>
              <w:rPr>
                <w:rFonts w:asciiTheme="minorBidi" w:eastAsiaTheme="minorHAnsi" w:hAnsiTheme="minorBidi"/>
                <w:noProof/>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726A4F54" wp14:editId="737246D5">
                  <wp:extent cx="3662363" cy="2271713"/>
                  <wp:effectExtent l="0" t="0" r="14605" b="14605"/>
                  <wp:docPr id="10" name="Chart 10">
                    <a:extLst xmlns:a="http://schemas.openxmlformats.org/drawingml/2006/main">
                      <a:ext uri="{FF2B5EF4-FFF2-40B4-BE49-F238E27FC236}">
                        <a16:creationId xmlns:a16="http://schemas.microsoft.com/office/drawing/2014/main" id="{801459BF-9646-4AA2-A7B9-9EBF80E69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969" w:type="dxa"/>
          </w:tcPr>
          <w:p w14:paraId="6B49AC0F" w14:textId="77777777" w:rsidR="00D522A1" w:rsidRPr="00D522A1" w:rsidRDefault="00D522A1" w:rsidP="00D522A1">
            <w:pPr>
              <w:rPr>
                <w:rFonts w:asciiTheme="minorBidi" w:eastAsiaTheme="minorHAnsi" w:hAnsiTheme="minorBidi"/>
                <w:color w:val="1F4E79"/>
                <w:lang w:eastAsia="en-US"/>
              </w:rPr>
            </w:pPr>
            <w:r w:rsidRPr="00D522A1">
              <w:rPr>
                <w:rFonts w:ascii="Arial" w:eastAsia="Arial" w:hAnsi="Arial" w:cs="Arial"/>
                <w:color w:val="1F4E79"/>
                <w:lang w:eastAsia="en-US"/>
              </w:rPr>
              <w:t>The slight reduction this year may be related to recent Scottish Government drive for verifiers to support customers to meet building standards applications procedural deadlines and requirements – resulting in less flexibility in approach being available to verifiers.</w:t>
            </w:r>
          </w:p>
          <w:p w14:paraId="045AB30A" w14:textId="77777777" w:rsidR="00D522A1" w:rsidRPr="00D522A1" w:rsidRDefault="00D522A1" w:rsidP="00D522A1">
            <w:pPr>
              <w:rPr>
                <w:rFonts w:asciiTheme="minorBidi" w:eastAsiaTheme="minorHAnsi" w:hAnsiTheme="minorBidi"/>
                <w:color w:val="1F4E79"/>
                <w:lang w:eastAsia="en-US"/>
              </w:rPr>
            </w:pPr>
          </w:p>
        </w:tc>
      </w:tr>
    </w:tbl>
    <w:p w14:paraId="78939C91"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51EA568B" w14:textId="77777777" w:rsidR="00D522A1" w:rsidRPr="00D522A1" w:rsidRDefault="00D522A1" w:rsidP="00D522A1">
      <w:pPr>
        <w:spacing w:before="0" w:after="0"/>
        <w:rPr>
          <w:rFonts w:asciiTheme="minorBidi" w:eastAsiaTheme="minorHAnsi" w:hAnsiTheme="minorBidi" w:cstheme="minorBidi"/>
          <w:color w:val="1F4E79" w:themeColor="accent5" w:themeShade="80"/>
          <w:szCs w:val="24"/>
          <w:lang w:eastAsia="en-US"/>
        </w:rPr>
      </w:pPr>
      <w:r w:rsidRPr="00D522A1">
        <w:rPr>
          <w:rFonts w:asciiTheme="minorBidi" w:eastAsiaTheme="minorHAnsi" w:hAnsiTheme="minorBidi" w:cstheme="minorBidi"/>
          <w:color w:val="1F4E79" w:themeColor="accent5" w:themeShade="80"/>
          <w:szCs w:val="24"/>
          <w:lang w:eastAsia="en-US"/>
        </w:rPr>
        <w:br w:type="page"/>
      </w:r>
    </w:p>
    <w:p w14:paraId="2606F3AE" w14:textId="77777777" w:rsidR="00D522A1" w:rsidRPr="00D522A1" w:rsidRDefault="00D522A1" w:rsidP="00D522A1">
      <w:pPr>
        <w:rPr>
          <w:rFonts w:ascii="Arial" w:eastAsiaTheme="minorHAnsi" w:hAnsi="Arial" w:cs="Arial"/>
          <w:color w:val="1F4E79" w:themeColor="accent5" w:themeShade="80"/>
          <w:sz w:val="56"/>
          <w:szCs w:val="56"/>
          <w:lang w:eastAsia="en-US"/>
        </w:rPr>
      </w:pPr>
      <w:bookmarkStart w:id="2" w:name="_Hlk14170914"/>
      <w:bookmarkStart w:id="3" w:name="_Hlk14170694"/>
      <w:r w:rsidRPr="00D522A1">
        <w:rPr>
          <w:rFonts w:ascii="Arial" w:eastAsiaTheme="minorHAnsi" w:hAnsi="Arial" w:cs="Arial"/>
          <w:color w:val="1F4E79" w:themeColor="accent5" w:themeShade="80"/>
          <w:sz w:val="56"/>
          <w:szCs w:val="56"/>
          <w:lang w:eastAsia="en-US"/>
        </w:rPr>
        <w:lastRenderedPageBreak/>
        <w:t>People</w:t>
      </w:r>
    </w:p>
    <w:tbl>
      <w:tblPr>
        <w:tblStyle w:val="TableGrid1"/>
        <w:tblW w:w="10490" w:type="dxa"/>
        <w:tblInd w:w="-289"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663"/>
        <w:gridCol w:w="3827"/>
      </w:tblGrid>
      <w:tr w:rsidR="00D522A1" w:rsidRPr="00D522A1" w14:paraId="130BBD3B" w14:textId="77777777" w:rsidTr="00576311">
        <w:tc>
          <w:tcPr>
            <w:tcW w:w="6663" w:type="dxa"/>
            <w:shd w:val="clear" w:color="auto" w:fill="1F4E79" w:themeFill="accent5" w:themeFillShade="80"/>
            <w:vAlign w:val="center"/>
          </w:tcPr>
          <w:bookmarkEnd w:id="3"/>
          <w:p w14:paraId="73BF243D" w14:textId="77777777" w:rsidR="00D522A1" w:rsidRPr="00D522A1" w:rsidRDefault="00D522A1" w:rsidP="00D522A1">
            <w:pPr>
              <w:jc w:val="center"/>
              <w:rPr>
                <w:rFonts w:ascii="Arial" w:eastAsiaTheme="minorHAnsi" w:hAnsi="Arial" w:cs="Arial"/>
                <w:b/>
                <w:bCs/>
                <w:color w:val="FFFFFF" w:themeColor="background1"/>
                <w:lang w:eastAsia="en-US"/>
              </w:rPr>
            </w:pPr>
            <w:r w:rsidRPr="00D522A1">
              <w:rPr>
                <w:rFonts w:ascii="Arial" w:eastAsiaTheme="minorHAnsi" w:hAnsi="Arial" w:cs="Arial"/>
                <w:b/>
                <w:bCs/>
                <w:color w:val="FFFFFF" w:themeColor="background1"/>
                <w:lang w:eastAsia="en-US"/>
              </w:rPr>
              <w:t>Performance</w:t>
            </w:r>
          </w:p>
        </w:tc>
        <w:tc>
          <w:tcPr>
            <w:tcW w:w="3827" w:type="dxa"/>
            <w:shd w:val="clear" w:color="auto" w:fill="1F4E79" w:themeFill="accent5" w:themeFillShade="80"/>
            <w:vAlign w:val="center"/>
          </w:tcPr>
          <w:p w14:paraId="06DE23B0" w14:textId="77777777" w:rsidR="00D522A1" w:rsidRPr="00D522A1" w:rsidRDefault="00D522A1" w:rsidP="00D522A1">
            <w:pPr>
              <w:jc w:val="center"/>
              <w:rPr>
                <w:rFonts w:ascii="Arial" w:eastAsiaTheme="minorHAnsi" w:hAnsi="Arial" w:cs="Arial"/>
                <w:b/>
                <w:bCs/>
                <w:color w:val="FFFFFF" w:themeColor="background1"/>
                <w:lang w:eastAsia="en-US"/>
              </w:rPr>
            </w:pPr>
            <w:r w:rsidRPr="00D522A1">
              <w:rPr>
                <w:rFonts w:ascii="Arial" w:eastAsiaTheme="minorHAnsi" w:hAnsi="Arial" w:cs="Arial"/>
                <w:b/>
                <w:bCs/>
                <w:color w:val="FFFFFF" w:themeColor="background1"/>
                <w:lang w:eastAsia="en-US"/>
              </w:rPr>
              <w:t>Progress</w:t>
            </w:r>
          </w:p>
        </w:tc>
      </w:tr>
      <w:tr w:rsidR="00D522A1" w:rsidRPr="00D522A1" w14:paraId="0FDE0587" w14:textId="77777777" w:rsidTr="00576311">
        <w:tc>
          <w:tcPr>
            <w:tcW w:w="6663" w:type="dxa"/>
          </w:tcPr>
          <w:p w14:paraId="44672CF1"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02143E9C" wp14:editId="5DB2A96E">
                  <wp:extent cx="3662363" cy="2281238"/>
                  <wp:effectExtent l="0" t="0" r="14605" b="5080"/>
                  <wp:docPr id="13" name="Chart 13">
                    <a:extLst xmlns:a="http://schemas.openxmlformats.org/drawingml/2006/main">
                      <a:ext uri="{FF2B5EF4-FFF2-40B4-BE49-F238E27FC236}">
                        <a16:creationId xmlns:a16="http://schemas.microsoft.com/office/drawing/2014/main" id="{0B7DAC63-7178-4B39-96BA-C860BA219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827" w:type="dxa"/>
            <w:vMerge w:val="restart"/>
          </w:tcPr>
          <w:p w14:paraId="4533EF58"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 xml:space="preserve">There are several performance indicators under development in this area.  Currently staff absence is only available on </w:t>
            </w:r>
            <w:proofErr w:type="spellStart"/>
            <w:r w:rsidRPr="00D522A1">
              <w:rPr>
                <w:rFonts w:ascii="Arial" w:eastAsia="Arial" w:hAnsi="Arial" w:cs="Arial"/>
                <w:color w:val="1F4E79"/>
                <w:lang w:eastAsia="en-US"/>
              </w:rPr>
              <w:t>Pentana</w:t>
            </w:r>
            <w:proofErr w:type="spellEnd"/>
            <w:r w:rsidRPr="00D522A1">
              <w:rPr>
                <w:rFonts w:ascii="Arial" w:eastAsia="Arial" w:hAnsi="Arial" w:cs="Arial"/>
                <w:color w:val="1F4E79"/>
                <w:lang w:eastAsia="en-US"/>
              </w:rPr>
              <w:t xml:space="preserve"> at Service Level (see graph) but will be broken down further during the upcoming year. There is also work being done to develop staff satisfaction indicators within protective services.</w:t>
            </w:r>
          </w:p>
          <w:p w14:paraId="7471DBFB" w14:textId="77777777" w:rsidR="00D522A1" w:rsidRPr="00D522A1" w:rsidRDefault="00D522A1" w:rsidP="00D522A1">
            <w:pPr>
              <w:rPr>
                <w:rFonts w:ascii="Arial" w:eastAsia="Arial" w:hAnsi="Arial" w:cs="Arial"/>
                <w:color w:val="1F4E79"/>
                <w:lang w:eastAsia="en-US"/>
              </w:rPr>
            </w:pPr>
          </w:p>
          <w:p w14:paraId="4F11244B"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At service level we are managing absence by supporting our employees by using all mechanisms available including our health provider services and Reality Check tools.</w:t>
            </w:r>
          </w:p>
          <w:p w14:paraId="5FAA31AD" w14:textId="77777777" w:rsidR="00D522A1" w:rsidRPr="00D522A1" w:rsidRDefault="00D522A1" w:rsidP="00D522A1">
            <w:pPr>
              <w:rPr>
                <w:rFonts w:ascii="Arial" w:eastAsia="Arial" w:hAnsi="Arial" w:cs="Arial"/>
                <w:color w:val="1F4E79"/>
                <w:lang w:eastAsia="en-US"/>
              </w:rPr>
            </w:pPr>
          </w:p>
          <w:p w14:paraId="1F40B149" w14:textId="77777777" w:rsidR="00D522A1" w:rsidRPr="00D522A1" w:rsidRDefault="00D522A1" w:rsidP="00D522A1">
            <w:pPr>
              <w:rPr>
                <w:rFonts w:asciiTheme="minorBidi" w:eastAsiaTheme="minorHAnsi" w:hAnsiTheme="minorBidi"/>
                <w:color w:val="1F4E79" w:themeColor="accent5" w:themeShade="80"/>
                <w:lang w:eastAsia="en-US"/>
              </w:rPr>
            </w:pPr>
            <w:r w:rsidRPr="00D522A1">
              <w:rPr>
                <w:rFonts w:ascii="Arial" w:eastAsia="Arial" w:hAnsi="Arial" w:cs="Arial"/>
                <w:color w:val="1F4E79"/>
                <w:lang w:eastAsia="en-US"/>
              </w:rPr>
              <w:t>The absence rates at service level continue to fall.</w:t>
            </w:r>
          </w:p>
        </w:tc>
      </w:tr>
      <w:tr w:rsidR="00D522A1" w:rsidRPr="00D522A1" w14:paraId="27A50024" w14:textId="77777777" w:rsidTr="00576311">
        <w:tc>
          <w:tcPr>
            <w:tcW w:w="6663" w:type="dxa"/>
          </w:tcPr>
          <w:p w14:paraId="5386D4DF"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2A1ADB19" wp14:editId="63541B68">
                  <wp:extent cx="3652838" cy="2281238"/>
                  <wp:effectExtent l="0" t="0" r="5080" b="5080"/>
                  <wp:docPr id="14" name="Chart 14">
                    <a:extLst xmlns:a="http://schemas.openxmlformats.org/drawingml/2006/main">
                      <a:ext uri="{FF2B5EF4-FFF2-40B4-BE49-F238E27FC236}">
                        <a16:creationId xmlns:a16="http://schemas.microsoft.com/office/drawing/2014/main" id="{30C355DE-B203-458B-BA0B-70C630247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827" w:type="dxa"/>
            <w:vMerge/>
          </w:tcPr>
          <w:p w14:paraId="76A15E21" w14:textId="77777777" w:rsidR="00D522A1" w:rsidRPr="00D522A1" w:rsidRDefault="00D522A1" w:rsidP="00D522A1">
            <w:pPr>
              <w:rPr>
                <w:rFonts w:asciiTheme="minorBidi" w:eastAsiaTheme="minorHAnsi" w:hAnsiTheme="minorBidi"/>
                <w:color w:val="1F4E79"/>
                <w:lang w:eastAsia="en-US"/>
              </w:rPr>
            </w:pPr>
          </w:p>
        </w:tc>
      </w:tr>
      <w:tr w:rsidR="00D522A1" w:rsidRPr="00D522A1" w14:paraId="0D8C3F41" w14:textId="77777777" w:rsidTr="00576311">
        <w:tc>
          <w:tcPr>
            <w:tcW w:w="6663" w:type="dxa"/>
          </w:tcPr>
          <w:p w14:paraId="00032B24"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2CAC5001" wp14:editId="69860D6E">
                  <wp:extent cx="3652838" cy="2281238"/>
                  <wp:effectExtent l="0" t="0" r="5080" b="5080"/>
                  <wp:docPr id="6" name="Chart 6">
                    <a:extLst xmlns:a="http://schemas.openxmlformats.org/drawingml/2006/main">
                      <a:ext uri="{FF2B5EF4-FFF2-40B4-BE49-F238E27FC236}">
                        <a16:creationId xmlns:a16="http://schemas.microsoft.com/office/drawing/2014/main" id="{DE314750-62A0-4982-8BCF-04C34A4F5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827" w:type="dxa"/>
            <w:vMerge/>
          </w:tcPr>
          <w:p w14:paraId="149AB130" w14:textId="77777777" w:rsidR="00D522A1" w:rsidRPr="00D522A1" w:rsidRDefault="00D522A1" w:rsidP="00D522A1">
            <w:pPr>
              <w:rPr>
                <w:rFonts w:asciiTheme="minorBidi" w:eastAsiaTheme="minorHAnsi" w:hAnsiTheme="minorBidi"/>
                <w:color w:val="1F4E79"/>
                <w:lang w:eastAsia="en-US"/>
              </w:rPr>
            </w:pPr>
          </w:p>
        </w:tc>
      </w:tr>
    </w:tbl>
    <w:p w14:paraId="5863667C"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785F7846"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01961A0F"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7672520A"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1AC24A5D" w14:textId="77777777" w:rsidR="00D522A1" w:rsidRPr="00D522A1" w:rsidRDefault="00D522A1" w:rsidP="00D522A1">
      <w:pPr>
        <w:rPr>
          <w:rFonts w:ascii="Arial" w:eastAsiaTheme="minorHAnsi" w:hAnsi="Arial" w:cs="Arial"/>
          <w:color w:val="1F4E79" w:themeColor="accent5" w:themeShade="80"/>
          <w:sz w:val="56"/>
          <w:szCs w:val="56"/>
          <w:lang w:eastAsia="en-US"/>
        </w:rPr>
      </w:pPr>
      <w:bookmarkStart w:id="4" w:name="_Hlk14182278"/>
      <w:bookmarkEnd w:id="2"/>
      <w:r w:rsidRPr="00D522A1">
        <w:rPr>
          <w:rFonts w:ascii="Arial" w:eastAsiaTheme="minorHAnsi" w:hAnsi="Arial" w:cs="Arial"/>
          <w:color w:val="1F4E79" w:themeColor="accent5" w:themeShade="80"/>
          <w:sz w:val="56"/>
          <w:szCs w:val="56"/>
          <w:lang w:eastAsia="en-US"/>
        </w:rPr>
        <w:lastRenderedPageBreak/>
        <w:t>Responsiveness</w:t>
      </w:r>
    </w:p>
    <w:tbl>
      <w:tblPr>
        <w:tblStyle w:val="TableGrid1"/>
        <w:tblW w:w="10490" w:type="dxa"/>
        <w:tblInd w:w="-289"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663"/>
        <w:gridCol w:w="3827"/>
      </w:tblGrid>
      <w:tr w:rsidR="00D522A1" w:rsidRPr="00D522A1" w14:paraId="767BC15C" w14:textId="77777777" w:rsidTr="00576311">
        <w:tc>
          <w:tcPr>
            <w:tcW w:w="6663" w:type="dxa"/>
            <w:shd w:val="clear" w:color="auto" w:fill="1F4E79" w:themeFill="accent5" w:themeFillShade="80"/>
            <w:vAlign w:val="center"/>
          </w:tcPr>
          <w:p w14:paraId="2AAB930D" w14:textId="77777777" w:rsidR="00D522A1" w:rsidRPr="00D522A1" w:rsidRDefault="00D522A1" w:rsidP="00D522A1">
            <w:pPr>
              <w:jc w:val="center"/>
              <w:rPr>
                <w:rFonts w:asciiTheme="minorBidi" w:eastAsiaTheme="minorHAnsi" w:hAnsiTheme="minorBidi"/>
                <w:b/>
                <w:bCs/>
                <w:color w:val="FFFFFF" w:themeColor="background1"/>
                <w:lang w:eastAsia="en-US"/>
              </w:rPr>
            </w:pPr>
            <w:bookmarkStart w:id="5" w:name="_Hlk14171017"/>
            <w:bookmarkEnd w:id="4"/>
            <w:r w:rsidRPr="00D522A1">
              <w:rPr>
                <w:rFonts w:asciiTheme="minorBidi" w:eastAsiaTheme="minorHAnsi" w:hAnsiTheme="minorBidi"/>
                <w:b/>
                <w:bCs/>
                <w:color w:val="FFFFFF" w:themeColor="background1"/>
                <w:lang w:eastAsia="en-US"/>
              </w:rPr>
              <w:t>Performance</w:t>
            </w:r>
          </w:p>
        </w:tc>
        <w:tc>
          <w:tcPr>
            <w:tcW w:w="3827" w:type="dxa"/>
            <w:shd w:val="clear" w:color="auto" w:fill="1F4E79" w:themeFill="accent5" w:themeFillShade="80"/>
            <w:vAlign w:val="center"/>
          </w:tcPr>
          <w:p w14:paraId="13351538" w14:textId="77777777" w:rsidR="00D522A1" w:rsidRPr="00D522A1" w:rsidRDefault="00D522A1" w:rsidP="00D522A1">
            <w:pPr>
              <w:jc w:val="center"/>
              <w:rPr>
                <w:rFonts w:asciiTheme="minorBidi" w:eastAsiaTheme="minorHAnsi" w:hAnsiTheme="minorBidi"/>
                <w:b/>
                <w:bCs/>
                <w:color w:val="FFFFFF" w:themeColor="background1"/>
                <w:lang w:eastAsia="en-US"/>
              </w:rPr>
            </w:pPr>
            <w:r w:rsidRPr="00D522A1">
              <w:rPr>
                <w:rFonts w:asciiTheme="minorBidi" w:eastAsiaTheme="minorHAnsi" w:hAnsiTheme="minorBidi"/>
                <w:b/>
                <w:bCs/>
                <w:color w:val="FFFFFF" w:themeColor="background1"/>
                <w:lang w:eastAsia="en-US"/>
              </w:rPr>
              <w:t>Progress</w:t>
            </w:r>
          </w:p>
        </w:tc>
      </w:tr>
      <w:bookmarkEnd w:id="5"/>
      <w:tr w:rsidR="00D522A1" w:rsidRPr="00D522A1" w14:paraId="49929835" w14:textId="77777777" w:rsidTr="00576311">
        <w:tc>
          <w:tcPr>
            <w:tcW w:w="6663" w:type="dxa"/>
          </w:tcPr>
          <w:p w14:paraId="04B5D339"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56BE1159" wp14:editId="54AC5BBF">
                  <wp:extent cx="3648075" cy="2462213"/>
                  <wp:effectExtent l="0" t="0" r="9525" b="14605"/>
                  <wp:docPr id="17" name="Chart 17">
                    <a:extLst xmlns:a="http://schemas.openxmlformats.org/drawingml/2006/main">
                      <a:ext uri="{FF2B5EF4-FFF2-40B4-BE49-F238E27FC236}">
                        <a16:creationId xmlns:a16="http://schemas.microsoft.com/office/drawing/2014/main" id="{9E9B80CF-D144-45D8-9FCE-0DF048F8C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27" w:type="dxa"/>
          </w:tcPr>
          <w:p w14:paraId="4E74DB4B"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The national target for this measure is 95%. Fife’s performance is currently amber but steady and above the Scottish average. The planned team realignment which took place from April 2019 will support improvements across each indicator area.</w:t>
            </w:r>
          </w:p>
          <w:p w14:paraId="740D9ED0" w14:textId="77777777" w:rsidR="00D522A1" w:rsidRPr="00D522A1" w:rsidRDefault="00D522A1" w:rsidP="00D522A1">
            <w:pPr>
              <w:rPr>
                <w:rFonts w:asciiTheme="minorBidi" w:eastAsiaTheme="minorHAnsi" w:hAnsiTheme="minorBidi"/>
                <w:color w:val="FF0000"/>
                <w:lang w:eastAsia="en-US"/>
              </w:rPr>
            </w:pPr>
          </w:p>
        </w:tc>
      </w:tr>
      <w:tr w:rsidR="00D522A1" w:rsidRPr="00D522A1" w14:paraId="26608FC2" w14:textId="77777777" w:rsidTr="00576311">
        <w:tc>
          <w:tcPr>
            <w:tcW w:w="6663" w:type="dxa"/>
          </w:tcPr>
          <w:p w14:paraId="17E612D5"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7348951C" wp14:editId="428D5480">
                  <wp:extent cx="3652838" cy="2281238"/>
                  <wp:effectExtent l="0" t="0" r="5080" b="5080"/>
                  <wp:docPr id="19" name="Chart 19">
                    <a:extLst xmlns:a="http://schemas.openxmlformats.org/drawingml/2006/main">
                      <a:ext uri="{FF2B5EF4-FFF2-40B4-BE49-F238E27FC236}">
                        <a16:creationId xmlns:a16="http://schemas.microsoft.com/office/drawing/2014/main" id="{5EC2301D-49D9-422F-A043-3C5E5DB4F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827" w:type="dxa"/>
          </w:tcPr>
          <w:p w14:paraId="706D263B" w14:textId="77777777" w:rsidR="00D522A1" w:rsidRPr="00D522A1" w:rsidRDefault="00D522A1" w:rsidP="00D522A1">
            <w:pPr>
              <w:rPr>
                <w:rFonts w:asciiTheme="minorBidi" w:eastAsiaTheme="minorHAnsi" w:hAnsiTheme="minorBidi"/>
                <w:color w:val="1F4E79" w:themeColor="accent5" w:themeShade="80"/>
                <w:lang w:eastAsia="en-US"/>
              </w:rPr>
            </w:pPr>
            <w:r w:rsidRPr="00D522A1">
              <w:rPr>
                <w:rFonts w:ascii="Arial" w:eastAsia="Arial" w:hAnsi="Arial" w:cs="Arial"/>
                <w:color w:val="1F4E79"/>
                <w:lang w:eastAsia="en-US"/>
              </w:rPr>
              <w:t>The national target for this measure is 90%. This measure has been given higher priority in Enterprise workflow system from start of quarter 4 2018/19 and subsequently improving.  (previous local target was 15 working days).</w:t>
            </w:r>
            <w:r w:rsidRPr="00D522A1">
              <w:rPr>
                <w:rFonts w:asciiTheme="minorBidi" w:eastAsiaTheme="minorHAnsi" w:hAnsiTheme="minorBidi"/>
                <w:color w:val="1F4E79" w:themeColor="accent5" w:themeShade="80"/>
                <w:lang w:eastAsia="en-US"/>
              </w:rPr>
              <w:t xml:space="preserve">  </w:t>
            </w:r>
          </w:p>
        </w:tc>
      </w:tr>
      <w:tr w:rsidR="00D522A1" w:rsidRPr="00D522A1" w14:paraId="6C0BBE77" w14:textId="77777777" w:rsidTr="00576311">
        <w:tc>
          <w:tcPr>
            <w:tcW w:w="6663" w:type="dxa"/>
          </w:tcPr>
          <w:p w14:paraId="6177D5B9" w14:textId="77777777" w:rsidR="00D522A1" w:rsidRPr="00D522A1" w:rsidRDefault="00D522A1" w:rsidP="00D522A1">
            <w:pPr>
              <w:jc w:val="center"/>
              <w:rPr>
                <w:rFonts w:asciiTheme="minorBidi" w:eastAsiaTheme="minorHAnsi" w:hAnsiTheme="minorBidi"/>
                <w:noProof/>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42EF79C2" wp14:editId="781ED759">
                  <wp:extent cx="3652838" cy="2281238"/>
                  <wp:effectExtent l="0" t="0" r="5080" b="5080"/>
                  <wp:docPr id="20" name="Chart 20">
                    <a:extLst xmlns:a="http://schemas.openxmlformats.org/drawingml/2006/main">
                      <a:ext uri="{FF2B5EF4-FFF2-40B4-BE49-F238E27FC236}">
                        <a16:creationId xmlns:a16="http://schemas.microsoft.com/office/drawing/2014/main" id="{A25E2969-7BAF-4E7A-A168-BE64F82D0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827" w:type="dxa"/>
          </w:tcPr>
          <w:p w14:paraId="4D4F08A7" w14:textId="77777777" w:rsidR="00D522A1" w:rsidRPr="00D522A1" w:rsidRDefault="00D522A1" w:rsidP="00D522A1">
            <w:pPr>
              <w:rPr>
                <w:rFonts w:asciiTheme="minorBidi" w:eastAsiaTheme="minorHAnsi" w:hAnsiTheme="minorBidi"/>
                <w:noProof/>
                <w:color w:val="1F4E79" w:themeColor="accent5" w:themeShade="80"/>
                <w:lang w:eastAsia="en-US"/>
              </w:rPr>
            </w:pPr>
            <w:r w:rsidRPr="00D522A1">
              <w:rPr>
                <w:rFonts w:ascii="Arial" w:eastAsia="Arial" w:hAnsi="Arial" w:cs="Arial"/>
                <w:color w:val="1F4E79"/>
                <w:lang w:eastAsia="en-US"/>
              </w:rPr>
              <w:t>Long term average remains steady and this year we are significantly lower than the Scottish average.  Work has continued to reduce the number of historic pending applications that influence this result when determined, but this figure will still likely continue to fluctuate as we further refine our deemed refusal process and support customers to meet legislative deadlines.</w:t>
            </w:r>
          </w:p>
        </w:tc>
      </w:tr>
    </w:tbl>
    <w:p w14:paraId="1996C63B"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483F8798"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4841BAF8" w14:textId="77777777" w:rsidR="00D522A1" w:rsidRPr="00D522A1" w:rsidRDefault="00D522A1" w:rsidP="00D522A1">
      <w:pPr>
        <w:rPr>
          <w:rFonts w:asciiTheme="minorBidi" w:eastAsiaTheme="minorHAnsi" w:hAnsiTheme="minorBidi" w:cstheme="minorBidi"/>
          <w:color w:val="1F4E79" w:themeColor="accent5" w:themeShade="80"/>
          <w:szCs w:val="24"/>
          <w:lang w:eastAsia="en-US"/>
        </w:rPr>
      </w:pPr>
    </w:p>
    <w:p w14:paraId="1CAE9363" w14:textId="77777777" w:rsidR="00D522A1" w:rsidRPr="00D522A1" w:rsidRDefault="00D522A1" w:rsidP="00D522A1">
      <w:pPr>
        <w:rPr>
          <w:rFonts w:ascii="Arial" w:eastAsiaTheme="minorHAnsi" w:hAnsi="Arial" w:cs="Arial"/>
          <w:color w:val="1F4E79" w:themeColor="accent5" w:themeShade="80"/>
          <w:szCs w:val="24"/>
          <w:lang w:eastAsia="en-US"/>
        </w:rPr>
      </w:pPr>
      <w:r w:rsidRPr="00D522A1">
        <w:rPr>
          <w:rFonts w:ascii="Arial" w:eastAsiaTheme="minorHAnsi" w:hAnsi="Arial" w:cs="Arial"/>
          <w:color w:val="1F4E79" w:themeColor="accent5" w:themeShade="80"/>
          <w:sz w:val="56"/>
          <w:szCs w:val="56"/>
          <w:lang w:eastAsia="en-US"/>
        </w:rPr>
        <w:lastRenderedPageBreak/>
        <w:t>Responsiveness – cont.</w:t>
      </w:r>
    </w:p>
    <w:tbl>
      <w:tblPr>
        <w:tblStyle w:val="TableGrid1"/>
        <w:tblW w:w="10774" w:type="dxa"/>
        <w:tblInd w:w="-431"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663"/>
        <w:gridCol w:w="4111"/>
      </w:tblGrid>
      <w:tr w:rsidR="00D522A1" w:rsidRPr="00D522A1" w14:paraId="22933A73" w14:textId="77777777" w:rsidTr="00576311">
        <w:tc>
          <w:tcPr>
            <w:tcW w:w="6663" w:type="dxa"/>
            <w:shd w:val="clear" w:color="auto" w:fill="1F4E79" w:themeFill="accent5" w:themeFillShade="80"/>
            <w:vAlign w:val="center"/>
          </w:tcPr>
          <w:p w14:paraId="705907E4" w14:textId="77777777" w:rsidR="00D522A1" w:rsidRPr="00D522A1" w:rsidRDefault="00D522A1" w:rsidP="00D522A1">
            <w:pPr>
              <w:jc w:val="center"/>
              <w:rPr>
                <w:rFonts w:asciiTheme="minorBidi" w:eastAsiaTheme="minorHAnsi" w:hAnsiTheme="minorBidi"/>
                <w:b/>
                <w:bCs/>
                <w:color w:val="FFFFFF" w:themeColor="background1"/>
                <w:lang w:eastAsia="en-US"/>
              </w:rPr>
            </w:pPr>
            <w:r w:rsidRPr="00D522A1">
              <w:rPr>
                <w:rFonts w:asciiTheme="minorBidi" w:eastAsiaTheme="minorHAnsi" w:hAnsiTheme="minorBidi"/>
                <w:b/>
                <w:bCs/>
                <w:color w:val="FFFFFF" w:themeColor="background1"/>
                <w:lang w:eastAsia="en-US"/>
              </w:rPr>
              <w:t>Performance</w:t>
            </w:r>
          </w:p>
        </w:tc>
        <w:tc>
          <w:tcPr>
            <w:tcW w:w="4111" w:type="dxa"/>
            <w:shd w:val="clear" w:color="auto" w:fill="1F4E79" w:themeFill="accent5" w:themeFillShade="80"/>
            <w:vAlign w:val="center"/>
          </w:tcPr>
          <w:p w14:paraId="2290A83F" w14:textId="77777777" w:rsidR="00D522A1" w:rsidRPr="00D522A1" w:rsidRDefault="00D522A1" w:rsidP="00D522A1">
            <w:pPr>
              <w:jc w:val="center"/>
              <w:rPr>
                <w:rFonts w:asciiTheme="minorBidi" w:eastAsiaTheme="minorHAnsi" w:hAnsiTheme="minorBidi"/>
                <w:b/>
                <w:bCs/>
                <w:color w:val="FFFFFF" w:themeColor="background1"/>
                <w:lang w:eastAsia="en-US"/>
              </w:rPr>
            </w:pPr>
            <w:r w:rsidRPr="00D522A1">
              <w:rPr>
                <w:rFonts w:asciiTheme="minorBidi" w:eastAsiaTheme="minorHAnsi" w:hAnsiTheme="minorBidi"/>
                <w:b/>
                <w:bCs/>
                <w:color w:val="FFFFFF" w:themeColor="background1"/>
                <w:lang w:eastAsia="en-US"/>
              </w:rPr>
              <w:t>Progress</w:t>
            </w:r>
          </w:p>
        </w:tc>
      </w:tr>
      <w:tr w:rsidR="00D522A1" w:rsidRPr="00D522A1" w14:paraId="637F7583" w14:textId="77777777" w:rsidTr="00576311">
        <w:trPr>
          <w:trHeight w:val="207"/>
        </w:trPr>
        <w:tc>
          <w:tcPr>
            <w:tcW w:w="6663" w:type="dxa"/>
          </w:tcPr>
          <w:p w14:paraId="05362526"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5238634C" wp14:editId="58463F16">
                  <wp:extent cx="3657600" cy="2271713"/>
                  <wp:effectExtent l="0" t="0" r="0" b="14605"/>
                  <wp:docPr id="5" name="Chart 5">
                    <a:extLst xmlns:a="http://schemas.openxmlformats.org/drawingml/2006/main">
                      <a:ext uri="{FF2B5EF4-FFF2-40B4-BE49-F238E27FC236}">
                        <a16:creationId xmlns:a16="http://schemas.microsoft.com/office/drawing/2014/main" id="{4006A61D-CE1D-4B41-8EA7-5CBC1C017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111" w:type="dxa"/>
            <w:vMerge w:val="restart"/>
          </w:tcPr>
          <w:p w14:paraId="093BCE57"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A new code of practice was issued in early 2019, followed by an additional interventions code in late June 2019.  As a result, this will be the final presentation of broadly compliant data in this format. Work is underway to identify a suitable replacement.</w:t>
            </w:r>
          </w:p>
          <w:p w14:paraId="5667A789" w14:textId="77777777" w:rsidR="00D522A1" w:rsidRPr="00D522A1" w:rsidRDefault="00D522A1" w:rsidP="00D522A1">
            <w:pPr>
              <w:rPr>
                <w:rFonts w:asciiTheme="minorBidi" w:eastAsiaTheme="minorHAnsi" w:hAnsiTheme="minorBidi"/>
                <w:color w:val="1F4E79" w:themeColor="accent5" w:themeShade="80"/>
                <w:lang w:eastAsia="en-US"/>
              </w:rPr>
            </w:pPr>
            <w:r w:rsidRPr="00D522A1">
              <w:rPr>
                <w:rFonts w:ascii="Arial" w:eastAsia="Arial" w:hAnsi="Arial" w:cs="Arial"/>
                <w:color w:val="1F4E79" w:themeColor="accent5" w:themeShade="80"/>
                <w:lang w:eastAsia="en-US"/>
              </w:rPr>
              <w:t>The percentage of broadly compliant food standards premises remains static at 87%, however, there has been an improvement in the food hygiene premises indicator.</w:t>
            </w:r>
          </w:p>
          <w:p w14:paraId="61931AFE" w14:textId="77777777" w:rsidR="00D522A1" w:rsidRPr="00D522A1" w:rsidRDefault="00D522A1" w:rsidP="00D522A1">
            <w:pPr>
              <w:rPr>
                <w:rFonts w:asciiTheme="minorBidi" w:eastAsiaTheme="minorHAnsi" w:hAnsiTheme="minorBidi"/>
                <w:color w:val="1F4E79" w:themeColor="accent5" w:themeShade="80"/>
                <w:lang w:eastAsia="en-US"/>
              </w:rPr>
            </w:pPr>
          </w:p>
        </w:tc>
      </w:tr>
      <w:tr w:rsidR="00D522A1" w:rsidRPr="00D522A1" w14:paraId="6D95E4E7" w14:textId="77777777" w:rsidTr="00576311">
        <w:trPr>
          <w:trHeight w:val="207"/>
        </w:trPr>
        <w:tc>
          <w:tcPr>
            <w:tcW w:w="6663" w:type="dxa"/>
          </w:tcPr>
          <w:p w14:paraId="2BCC0A5E" w14:textId="77777777" w:rsidR="00D522A1" w:rsidRPr="00D522A1" w:rsidRDefault="00D522A1" w:rsidP="00D522A1">
            <w:pPr>
              <w:jc w:val="center"/>
              <w:rPr>
                <w:rFonts w:asciiTheme="minorBidi" w:eastAsiaTheme="minorHAnsi" w:hAnsiTheme="minorBidi"/>
                <w:noProof/>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19EF1F16" wp14:editId="05885EA5">
                  <wp:extent cx="3676651" cy="2319338"/>
                  <wp:effectExtent l="0" t="0" r="0" b="5080"/>
                  <wp:docPr id="2" name="Chart 2">
                    <a:extLst xmlns:a="http://schemas.openxmlformats.org/drawingml/2006/main">
                      <a:ext uri="{FF2B5EF4-FFF2-40B4-BE49-F238E27FC236}">
                        <a16:creationId xmlns:a16="http://schemas.microsoft.com/office/drawing/2014/main" id="{18A6F538-FE42-4B1B-92E3-A13CD7B7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111" w:type="dxa"/>
            <w:vMerge/>
          </w:tcPr>
          <w:p w14:paraId="4DB68194" w14:textId="77777777" w:rsidR="00D522A1" w:rsidRPr="00D522A1" w:rsidRDefault="00D522A1" w:rsidP="00D522A1">
            <w:pPr>
              <w:rPr>
                <w:rFonts w:asciiTheme="minorBidi" w:eastAsiaTheme="minorHAnsi" w:hAnsiTheme="minorBidi"/>
                <w:color w:val="1F4E79" w:themeColor="accent5" w:themeShade="80"/>
                <w:lang w:eastAsia="en-US"/>
              </w:rPr>
            </w:pPr>
          </w:p>
        </w:tc>
      </w:tr>
      <w:tr w:rsidR="00D522A1" w:rsidRPr="00D522A1" w14:paraId="68B2698D" w14:textId="77777777" w:rsidTr="00576311">
        <w:tc>
          <w:tcPr>
            <w:tcW w:w="6663" w:type="dxa"/>
          </w:tcPr>
          <w:p w14:paraId="2A7B5F77"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5BA396A3" wp14:editId="2DD6DBFC">
                  <wp:extent cx="3638550"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111" w:type="dxa"/>
          </w:tcPr>
          <w:p w14:paraId="5A0A2149"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 xml:space="preserve">The number of Below Tolerable Standard (BTS) properties improved continues to exceed targets. </w:t>
            </w:r>
          </w:p>
          <w:p w14:paraId="51ABCB2E"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A private sector housing condition survey was completed in August 2019 to inform a revised action plan that aims to improve house conditions in this sector.</w:t>
            </w:r>
          </w:p>
          <w:p w14:paraId="469E7F7F"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We are in the process of identifying a revised BTS Indicator to drive forward the improvement to private sector accommodation across Fife.</w:t>
            </w:r>
          </w:p>
          <w:p w14:paraId="498E1888" w14:textId="77777777" w:rsidR="00D522A1" w:rsidRPr="00D522A1" w:rsidRDefault="00D522A1" w:rsidP="00D522A1">
            <w:pPr>
              <w:spacing w:before="100" w:beforeAutospacing="1"/>
              <w:rPr>
                <w:rFonts w:ascii="Arial" w:eastAsia="Arial" w:hAnsi="Arial" w:cs="Arial"/>
                <w:color w:val="1F4E79"/>
                <w:lang w:eastAsia="en-US"/>
              </w:rPr>
            </w:pPr>
          </w:p>
          <w:p w14:paraId="7652FC9F" w14:textId="77777777" w:rsidR="00D522A1" w:rsidRPr="00D522A1" w:rsidRDefault="00D522A1" w:rsidP="00D522A1">
            <w:pPr>
              <w:rPr>
                <w:rFonts w:asciiTheme="minorBidi" w:eastAsiaTheme="minorHAnsi" w:hAnsiTheme="minorBidi"/>
                <w:color w:val="1F4E79" w:themeColor="accent5" w:themeShade="80"/>
                <w:lang w:eastAsia="en-US"/>
              </w:rPr>
            </w:pPr>
          </w:p>
        </w:tc>
      </w:tr>
    </w:tbl>
    <w:p w14:paraId="1F8847ED" w14:textId="77777777" w:rsidR="00D522A1" w:rsidRPr="00D522A1" w:rsidRDefault="00D522A1" w:rsidP="00D522A1">
      <w:pPr>
        <w:spacing w:before="0" w:after="0"/>
        <w:rPr>
          <w:rFonts w:asciiTheme="minorBidi" w:eastAsiaTheme="minorHAnsi" w:hAnsiTheme="minorBidi" w:cstheme="minorBidi"/>
          <w:color w:val="1F4E79" w:themeColor="accent5" w:themeShade="80"/>
          <w:szCs w:val="24"/>
          <w:lang w:eastAsia="en-US"/>
        </w:rPr>
      </w:pPr>
      <w:r w:rsidRPr="00D522A1">
        <w:rPr>
          <w:rFonts w:asciiTheme="minorBidi" w:eastAsiaTheme="minorHAnsi" w:hAnsiTheme="minorBidi" w:cstheme="minorBidi"/>
          <w:color w:val="1F4E79" w:themeColor="accent5" w:themeShade="80"/>
          <w:szCs w:val="24"/>
          <w:lang w:eastAsia="en-US"/>
        </w:rPr>
        <w:br w:type="page"/>
      </w:r>
    </w:p>
    <w:p w14:paraId="4A3C12AF" w14:textId="77777777" w:rsidR="00D522A1" w:rsidRPr="00D522A1" w:rsidRDefault="00D522A1" w:rsidP="00D522A1">
      <w:pPr>
        <w:rPr>
          <w:rFonts w:ascii="Arial" w:eastAsiaTheme="minorHAnsi" w:hAnsi="Arial" w:cs="Arial"/>
          <w:color w:val="1F4E79" w:themeColor="accent5" w:themeShade="80"/>
          <w:sz w:val="56"/>
          <w:szCs w:val="56"/>
          <w:lang w:eastAsia="en-US"/>
        </w:rPr>
      </w:pPr>
      <w:r w:rsidRPr="00D522A1">
        <w:rPr>
          <w:rFonts w:ascii="Arial" w:eastAsiaTheme="minorHAnsi" w:hAnsi="Arial" w:cs="Arial"/>
          <w:color w:val="1F4E79" w:themeColor="accent5" w:themeShade="80"/>
          <w:sz w:val="56"/>
          <w:szCs w:val="56"/>
          <w:lang w:eastAsia="en-US"/>
        </w:rPr>
        <w:lastRenderedPageBreak/>
        <w:t>Cost</w:t>
      </w:r>
    </w:p>
    <w:tbl>
      <w:tblPr>
        <w:tblStyle w:val="TableGrid1"/>
        <w:tblW w:w="10206"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3827"/>
      </w:tblGrid>
      <w:tr w:rsidR="00D522A1" w:rsidRPr="00D522A1" w14:paraId="739C7C10" w14:textId="77777777" w:rsidTr="00503F05">
        <w:tc>
          <w:tcPr>
            <w:tcW w:w="6379" w:type="dxa"/>
            <w:shd w:val="clear" w:color="auto" w:fill="1F4E79" w:themeFill="accent5" w:themeFillShade="80"/>
            <w:vAlign w:val="center"/>
          </w:tcPr>
          <w:p w14:paraId="7DA59744" w14:textId="77777777" w:rsidR="00D522A1" w:rsidRPr="00D522A1" w:rsidRDefault="00D522A1" w:rsidP="00D522A1">
            <w:pPr>
              <w:jc w:val="center"/>
              <w:rPr>
                <w:rFonts w:ascii="Arial" w:eastAsiaTheme="minorHAnsi" w:hAnsi="Arial" w:cs="Arial"/>
                <w:b/>
                <w:bCs/>
                <w:color w:val="FFFFFF" w:themeColor="background1"/>
                <w:lang w:eastAsia="en-US"/>
              </w:rPr>
            </w:pPr>
            <w:r w:rsidRPr="00D522A1">
              <w:rPr>
                <w:rFonts w:ascii="Arial" w:eastAsiaTheme="minorHAnsi" w:hAnsi="Arial" w:cs="Arial"/>
                <w:b/>
                <w:bCs/>
                <w:color w:val="FFFFFF" w:themeColor="background1"/>
                <w:lang w:eastAsia="en-US"/>
              </w:rPr>
              <w:t>Performance</w:t>
            </w:r>
          </w:p>
        </w:tc>
        <w:tc>
          <w:tcPr>
            <w:tcW w:w="3827" w:type="dxa"/>
            <w:shd w:val="clear" w:color="auto" w:fill="1F4E79" w:themeFill="accent5" w:themeFillShade="80"/>
            <w:vAlign w:val="center"/>
          </w:tcPr>
          <w:p w14:paraId="54A907C9" w14:textId="77777777" w:rsidR="00D522A1" w:rsidRPr="00D522A1" w:rsidRDefault="00D522A1" w:rsidP="00D522A1">
            <w:pPr>
              <w:jc w:val="center"/>
              <w:rPr>
                <w:rFonts w:ascii="Arial" w:eastAsiaTheme="minorHAnsi" w:hAnsi="Arial" w:cs="Arial"/>
                <w:b/>
                <w:bCs/>
                <w:color w:val="FFFFFF" w:themeColor="background1"/>
                <w:lang w:eastAsia="en-US"/>
              </w:rPr>
            </w:pPr>
            <w:r w:rsidRPr="00D522A1">
              <w:rPr>
                <w:rFonts w:ascii="Arial" w:eastAsiaTheme="minorHAnsi" w:hAnsi="Arial" w:cs="Arial"/>
                <w:b/>
                <w:bCs/>
                <w:color w:val="FFFFFF" w:themeColor="background1"/>
                <w:lang w:eastAsia="en-US"/>
              </w:rPr>
              <w:t>Progress</w:t>
            </w:r>
          </w:p>
        </w:tc>
      </w:tr>
      <w:tr w:rsidR="00D522A1" w:rsidRPr="00D522A1" w14:paraId="6EAD09CF" w14:textId="77777777" w:rsidTr="00503F05">
        <w:tc>
          <w:tcPr>
            <w:tcW w:w="6379" w:type="dxa"/>
          </w:tcPr>
          <w:p w14:paraId="55506E0B" w14:textId="77777777" w:rsidR="00D522A1" w:rsidRPr="00D522A1" w:rsidRDefault="00D522A1" w:rsidP="00D522A1">
            <w:pPr>
              <w:jc w:val="cente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26C21430" wp14:editId="7E8D2D68">
                  <wp:extent cx="3652838" cy="2281238"/>
                  <wp:effectExtent l="0" t="0" r="5080" b="5080"/>
                  <wp:docPr id="9" name="Chart 9">
                    <a:extLst xmlns:a="http://schemas.openxmlformats.org/drawingml/2006/main">
                      <a:ext uri="{FF2B5EF4-FFF2-40B4-BE49-F238E27FC236}">
                        <a16:creationId xmlns:a16="http://schemas.microsoft.com/office/drawing/2014/main" id="{695DF9E7-C850-469F-A53C-D4029291B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827" w:type="dxa"/>
          </w:tcPr>
          <w:p w14:paraId="099A7C22"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The cost of trading standards per 1000 population has increased over the last 3 years and sits at £3770 above the Scottish average.</w:t>
            </w:r>
          </w:p>
          <w:p w14:paraId="0698D98E" w14:textId="77777777" w:rsidR="00D522A1" w:rsidRPr="00D522A1" w:rsidRDefault="00D522A1" w:rsidP="00D522A1">
            <w:pPr>
              <w:rPr>
                <w:rFonts w:ascii="Arial" w:eastAsia="Arial" w:hAnsi="Arial" w:cs="Arial"/>
                <w:color w:val="1F4E79"/>
                <w:lang w:eastAsia="en-US"/>
              </w:rPr>
            </w:pPr>
            <w:r w:rsidRPr="00D522A1">
              <w:rPr>
                <w:rFonts w:ascii="Arial" w:eastAsia="Arial" w:hAnsi="Arial" w:cs="Arial"/>
                <w:color w:val="1F4E79"/>
                <w:lang w:eastAsia="en-US"/>
              </w:rPr>
              <w:t>These costs are influenced by the inclusion of costs for the Money and Consumer Advice service which Fife Council pays an annual sum.  These costs are not included within some LGBT returns for other local authorities.</w:t>
            </w:r>
          </w:p>
          <w:p w14:paraId="30DECEB7" w14:textId="77777777" w:rsidR="00D522A1" w:rsidRPr="00D522A1" w:rsidRDefault="00D522A1" w:rsidP="00D522A1">
            <w:pPr>
              <w:rPr>
                <w:rFonts w:asciiTheme="minorBidi" w:eastAsiaTheme="minorHAnsi" w:hAnsiTheme="minorBidi"/>
                <w:color w:val="FF0000"/>
                <w:lang w:eastAsia="en-US"/>
              </w:rPr>
            </w:pPr>
          </w:p>
        </w:tc>
      </w:tr>
      <w:tr w:rsidR="00D522A1" w:rsidRPr="00D522A1" w14:paraId="3EA65710" w14:textId="77777777" w:rsidTr="00503F05">
        <w:tc>
          <w:tcPr>
            <w:tcW w:w="6379" w:type="dxa"/>
          </w:tcPr>
          <w:p w14:paraId="7F5E4767" w14:textId="77777777" w:rsidR="00D522A1" w:rsidRPr="00D522A1" w:rsidRDefault="00D522A1" w:rsidP="00D522A1">
            <w:pPr>
              <w:jc w:val="center"/>
              <w:rPr>
                <w:rFonts w:asciiTheme="minorBidi" w:eastAsiaTheme="minorHAnsi" w:hAnsiTheme="minorBidi"/>
                <w:noProof/>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0913E2EC" wp14:editId="5AF54030">
                  <wp:extent cx="3657600" cy="2281238"/>
                  <wp:effectExtent l="0" t="0" r="0" b="5080"/>
                  <wp:docPr id="11" name="Chart 11">
                    <a:extLst xmlns:a="http://schemas.openxmlformats.org/drawingml/2006/main">
                      <a:ext uri="{FF2B5EF4-FFF2-40B4-BE49-F238E27FC236}">
                        <a16:creationId xmlns:a16="http://schemas.microsoft.com/office/drawing/2014/main" id="{426016F6-FF9B-4E88-B814-BDEC9CB46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827" w:type="dxa"/>
            <w:shd w:val="clear" w:color="auto" w:fill="FFFFFF" w:themeFill="background1"/>
          </w:tcPr>
          <w:p w14:paraId="5EE62856" w14:textId="77777777" w:rsidR="00D522A1" w:rsidRPr="00D522A1" w:rsidRDefault="00D522A1" w:rsidP="00503F05">
            <w:pPr>
              <w:rPr>
                <w:rFonts w:asciiTheme="minorBidi" w:eastAsiaTheme="minorHAnsi" w:hAnsiTheme="minorBidi"/>
                <w:color w:val="FF0000"/>
                <w:lang w:eastAsia="en-US"/>
              </w:rPr>
            </w:pPr>
            <w:r w:rsidRPr="00D522A1">
              <w:rPr>
                <w:rFonts w:ascii="Arial" w:eastAsia="Arial" w:hAnsi="Arial" w:cs="Arial"/>
                <w:color w:val="1F4E79"/>
                <w:lang w:eastAsia="en-US"/>
              </w:rPr>
              <w:t xml:space="preserve">These costs do not include the Money and Consumer Advice payments.  Although the costs are increasing slightly year on year we compare well with the average for the family group. </w:t>
            </w:r>
          </w:p>
        </w:tc>
      </w:tr>
      <w:tr w:rsidR="00D522A1" w:rsidRPr="00D522A1" w14:paraId="793F2DAC" w14:textId="77777777" w:rsidTr="00503F05">
        <w:trPr>
          <w:trHeight w:val="5039"/>
        </w:trPr>
        <w:tc>
          <w:tcPr>
            <w:tcW w:w="6379" w:type="dxa"/>
          </w:tcPr>
          <w:p w14:paraId="0E66E944" w14:textId="77777777" w:rsidR="00D522A1" w:rsidRPr="00D522A1" w:rsidRDefault="00D522A1" w:rsidP="00503F05">
            <w:pPr>
              <w:rPr>
                <w:rFonts w:asciiTheme="minorBidi" w:eastAsiaTheme="minorHAnsi" w:hAnsiTheme="minorBidi"/>
                <w:color w:val="1F4E79" w:themeColor="accent5" w:themeShade="80"/>
                <w:lang w:eastAsia="en-US"/>
              </w:rPr>
            </w:pPr>
            <w:r w:rsidRPr="00D522A1">
              <w:rPr>
                <w:rFonts w:asciiTheme="minorBidi" w:eastAsiaTheme="minorHAnsi" w:hAnsiTheme="minorBidi"/>
                <w:noProof/>
                <w:color w:val="1F4E79" w:themeColor="accent5" w:themeShade="80"/>
              </w:rPr>
              <w:drawing>
                <wp:inline distT="0" distB="0" distL="0" distR="0" wp14:anchorId="0DAC6415" wp14:editId="298829A9">
                  <wp:extent cx="3652520" cy="2952750"/>
                  <wp:effectExtent l="0" t="0" r="5080" b="0"/>
                  <wp:docPr id="7" name="Chart 7">
                    <a:extLst xmlns:a="http://schemas.openxmlformats.org/drawingml/2006/main">
                      <a:ext uri="{FF2B5EF4-FFF2-40B4-BE49-F238E27FC236}">
                        <a16:creationId xmlns:a16="http://schemas.microsoft.com/office/drawing/2014/main" id="{93F9FFBE-1F7E-49DF-9C5E-B7E72C5DC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827" w:type="dxa"/>
            <w:shd w:val="clear" w:color="auto" w:fill="FFFFFF" w:themeFill="background1"/>
          </w:tcPr>
          <w:p w14:paraId="1D0F9120" w14:textId="77777777" w:rsidR="00D522A1" w:rsidRPr="00D522A1" w:rsidRDefault="00D522A1" w:rsidP="00503F05">
            <w:pPr>
              <w:rPr>
                <w:rFonts w:asciiTheme="minorBidi" w:eastAsiaTheme="minorHAnsi" w:hAnsiTheme="minorBidi"/>
                <w:color w:val="FF0000"/>
                <w:lang w:eastAsia="en-US"/>
              </w:rPr>
            </w:pPr>
            <w:r w:rsidRPr="00D522A1">
              <w:rPr>
                <w:rFonts w:ascii="Arial" w:eastAsia="Arial" w:hAnsi="Arial" w:cs="Arial"/>
                <w:color w:val="1F4E79"/>
                <w:lang w:eastAsia="en-US"/>
              </w:rPr>
              <w:t>The costs for Environmental Health per 1000 population have increased slightly from last year but compare with the top quartile of local auth</w:t>
            </w:r>
            <w:bookmarkStart w:id="6" w:name="_GoBack"/>
            <w:bookmarkEnd w:id="6"/>
            <w:r w:rsidRPr="00D522A1">
              <w:rPr>
                <w:rFonts w:ascii="Arial" w:eastAsia="Arial" w:hAnsi="Arial" w:cs="Arial"/>
                <w:color w:val="1F4E79"/>
                <w:lang w:eastAsia="en-US"/>
              </w:rPr>
              <w:t>orities in Scotland.</w:t>
            </w:r>
          </w:p>
        </w:tc>
      </w:tr>
    </w:tbl>
    <w:p w14:paraId="607283FE" w14:textId="243E9A37" w:rsidR="00D522A1" w:rsidRDefault="00D522A1" w:rsidP="008B7AEF">
      <w:pPr>
        <w:spacing w:before="0" w:after="0"/>
        <w:rPr>
          <w:szCs w:val="24"/>
        </w:rPr>
      </w:pPr>
    </w:p>
    <w:p w14:paraId="10AEFBE3" w14:textId="77777777" w:rsidR="00D522A1" w:rsidRPr="00910BBF" w:rsidRDefault="00D522A1" w:rsidP="008B7AEF">
      <w:pPr>
        <w:spacing w:before="0" w:after="0"/>
        <w:rPr>
          <w:szCs w:val="24"/>
        </w:rPr>
      </w:pPr>
    </w:p>
    <w:sectPr w:rsidR="00D522A1" w:rsidRPr="00910BBF" w:rsidSect="0031357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AF148" w14:textId="77777777" w:rsidR="000D7747" w:rsidRDefault="000D7747">
      <w:r>
        <w:separator/>
      </w:r>
    </w:p>
  </w:endnote>
  <w:endnote w:type="continuationSeparator" w:id="0">
    <w:p w14:paraId="34612FA9" w14:textId="77777777" w:rsidR="000D7747" w:rsidRDefault="000D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A307D" w14:textId="77777777" w:rsidR="000D7747" w:rsidRDefault="000D7747">
      <w:r>
        <w:separator/>
      </w:r>
    </w:p>
  </w:footnote>
  <w:footnote w:type="continuationSeparator" w:id="0">
    <w:p w14:paraId="4A5B7A11" w14:textId="77777777" w:rsidR="000D7747" w:rsidRDefault="000D7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766BBB"/>
    <w:multiLevelType w:val="hybridMultilevel"/>
    <w:tmpl w:val="20722B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27769"/>
    <w:multiLevelType w:val="multilevel"/>
    <w:tmpl w:val="FE1E739C"/>
    <w:lvl w:ilvl="0">
      <w:start w:val="1"/>
      <w:numFmt w:val="decimal"/>
      <w:pStyle w:val="NumberedList4"/>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E533627"/>
    <w:multiLevelType w:val="hybridMultilevel"/>
    <w:tmpl w:val="3056DC58"/>
    <w:lvl w:ilvl="0" w:tplc="1CDA2E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FF3D88"/>
    <w:multiLevelType w:val="multilevel"/>
    <w:tmpl w:val="A75E61C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9063464"/>
    <w:multiLevelType w:val="hybridMultilevel"/>
    <w:tmpl w:val="DCEC00CE"/>
    <w:lvl w:ilvl="0" w:tplc="21DAEEF4">
      <w:start w:val="1"/>
      <w:numFmt w:val="lowerRoman"/>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FB527F"/>
    <w:multiLevelType w:val="multilevel"/>
    <w:tmpl w:val="3E34B372"/>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5491394"/>
    <w:multiLevelType w:val="multilevel"/>
    <w:tmpl w:val="CAE2BB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681F7E"/>
    <w:multiLevelType w:val="hybridMultilevel"/>
    <w:tmpl w:val="AB00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B31D8"/>
    <w:multiLevelType w:val="hybridMultilevel"/>
    <w:tmpl w:val="E88A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828A8"/>
    <w:multiLevelType w:val="multilevel"/>
    <w:tmpl w:val="EDE2B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007504"/>
    <w:multiLevelType w:val="multilevel"/>
    <w:tmpl w:val="E91A1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510283"/>
    <w:multiLevelType w:val="hybridMultilevel"/>
    <w:tmpl w:val="CDA00E6C"/>
    <w:lvl w:ilvl="0" w:tplc="2C60B148">
      <w:numFmt w:val="bullet"/>
      <w:lvlText w:val=""/>
      <w:lvlJc w:val="left"/>
      <w:pPr>
        <w:ind w:left="1080" w:hanging="360"/>
      </w:pPr>
      <w:rPr>
        <w:rFonts w:ascii="SymbolMT" w:eastAsia="SymbolMT" w:hAnsi="Arial"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0D42FB"/>
    <w:multiLevelType w:val="multilevel"/>
    <w:tmpl w:val="9F64273C"/>
    <w:lvl w:ilvl="0">
      <w:start w:val="1"/>
      <w:numFmt w:val="decimal"/>
      <w:lvlText w:val="%1"/>
      <w:lvlJc w:val="left"/>
      <w:pPr>
        <w:ind w:left="780" w:hanging="780"/>
      </w:pPr>
      <w:rPr>
        <w:rFonts w:hint="default"/>
        <w:color w:val="000000"/>
        <w:sz w:val="24"/>
      </w:rPr>
    </w:lvl>
    <w:lvl w:ilvl="1">
      <w:start w:val="1"/>
      <w:numFmt w:val="decimal"/>
      <w:lvlText w:val="%1.%2"/>
      <w:lvlJc w:val="left"/>
      <w:pPr>
        <w:ind w:left="780" w:hanging="780"/>
      </w:pPr>
      <w:rPr>
        <w:rFonts w:hint="default"/>
        <w:color w:val="000000"/>
        <w:sz w:val="24"/>
      </w:rPr>
    </w:lvl>
    <w:lvl w:ilvl="2">
      <w:start w:val="1"/>
      <w:numFmt w:val="decimal"/>
      <w:lvlText w:val="%1.%2.%3"/>
      <w:lvlJc w:val="left"/>
      <w:pPr>
        <w:ind w:left="780" w:hanging="780"/>
      </w:pPr>
      <w:rPr>
        <w:rFonts w:hint="default"/>
        <w:color w:val="000000"/>
        <w:sz w:val="24"/>
      </w:rPr>
    </w:lvl>
    <w:lvl w:ilvl="3">
      <w:start w:val="1"/>
      <w:numFmt w:val="decimal"/>
      <w:lvlText w:val="%1.%2.%3.%4"/>
      <w:lvlJc w:val="left"/>
      <w:pPr>
        <w:ind w:left="780" w:hanging="7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13" w15:restartNumberingAfterBreak="0">
    <w:nsid w:val="3DEC3F89"/>
    <w:multiLevelType w:val="multilevel"/>
    <w:tmpl w:val="718EBB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0538F9"/>
    <w:multiLevelType w:val="hybridMultilevel"/>
    <w:tmpl w:val="D626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E4E6D"/>
    <w:multiLevelType w:val="hybridMultilevel"/>
    <w:tmpl w:val="B7F48BD6"/>
    <w:lvl w:ilvl="0" w:tplc="048815E8">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317CB3"/>
    <w:multiLevelType w:val="hybridMultilevel"/>
    <w:tmpl w:val="D85CFD48"/>
    <w:lvl w:ilvl="0" w:tplc="08090001">
      <w:start w:val="1"/>
      <w:numFmt w:val="bullet"/>
      <w:lvlText w:val=""/>
      <w:lvlJc w:val="left"/>
      <w:pPr>
        <w:ind w:left="11226" w:hanging="360"/>
      </w:pPr>
      <w:rPr>
        <w:rFonts w:ascii="Symbol" w:hAnsi="Symbol" w:hint="default"/>
      </w:rPr>
    </w:lvl>
    <w:lvl w:ilvl="1" w:tplc="08090003">
      <w:start w:val="1"/>
      <w:numFmt w:val="bullet"/>
      <w:lvlText w:val="o"/>
      <w:lvlJc w:val="left"/>
      <w:pPr>
        <w:ind w:left="11946" w:hanging="360"/>
      </w:pPr>
      <w:rPr>
        <w:rFonts w:ascii="Courier New" w:hAnsi="Courier New" w:cs="Courier New" w:hint="default"/>
      </w:rPr>
    </w:lvl>
    <w:lvl w:ilvl="2" w:tplc="08090005" w:tentative="1">
      <w:start w:val="1"/>
      <w:numFmt w:val="bullet"/>
      <w:lvlText w:val=""/>
      <w:lvlJc w:val="left"/>
      <w:pPr>
        <w:ind w:left="12666" w:hanging="360"/>
      </w:pPr>
      <w:rPr>
        <w:rFonts w:ascii="Wingdings" w:hAnsi="Wingdings" w:hint="default"/>
      </w:rPr>
    </w:lvl>
    <w:lvl w:ilvl="3" w:tplc="08090001" w:tentative="1">
      <w:start w:val="1"/>
      <w:numFmt w:val="bullet"/>
      <w:lvlText w:val=""/>
      <w:lvlJc w:val="left"/>
      <w:pPr>
        <w:ind w:left="13386" w:hanging="360"/>
      </w:pPr>
      <w:rPr>
        <w:rFonts w:ascii="Symbol" w:hAnsi="Symbol" w:hint="default"/>
      </w:rPr>
    </w:lvl>
    <w:lvl w:ilvl="4" w:tplc="08090003" w:tentative="1">
      <w:start w:val="1"/>
      <w:numFmt w:val="bullet"/>
      <w:lvlText w:val="o"/>
      <w:lvlJc w:val="left"/>
      <w:pPr>
        <w:ind w:left="14106" w:hanging="360"/>
      </w:pPr>
      <w:rPr>
        <w:rFonts w:ascii="Courier New" w:hAnsi="Courier New" w:cs="Courier New" w:hint="default"/>
      </w:rPr>
    </w:lvl>
    <w:lvl w:ilvl="5" w:tplc="08090005" w:tentative="1">
      <w:start w:val="1"/>
      <w:numFmt w:val="bullet"/>
      <w:lvlText w:val=""/>
      <w:lvlJc w:val="left"/>
      <w:pPr>
        <w:ind w:left="14826" w:hanging="360"/>
      </w:pPr>
      <w:rPr>
        <w:rFonts w:ascii="Wingdings" w:hAnsi="Wingdings" w:hint="default"/>
      </w:rPr>
    </w:lvl>
    <w:lvl w:ilvl="6" w:tplc="08090001" w:tentative="1">
      <w:start w:val="1"/>
      <w:numFmt w:val="bullet"/>
      <w:lvlText w:val=""/>
      <w:lvlJc w:val="left"/>
      <w:pPr>
        <w:ind w:left="15546" w:hanging="360"/>
      </w:pPr>
      <w:rPr>
        <w:rFonts w:ascii="Symbol" w:hAnsi="Symbol" w:hint="default"/>
      </w:rPr>
    </w:lvl>
    <w:lvl w:ilvl="7" w:tplc="08090003" w:tentative="1">
      <w:start w:val="1"/>
      <w:numFmt w:val="bullet"/>
      <w:lvlText w:val="o"/>
      <w:lvlJc w:val="left"/>
      <w:pPr>
        <w:ind w:left="16266" w:hanging="360"/>
      </w:pPr>
      <w:rPr>
        <w:rFonts w:ascii="Courier New" w:hAnsi="Courier New" w:cs="Courier New" w:hint="default"/>
      </w:rPr>
    </w:lvl>
    <w:lvl w:ilvl="8" w:tplc="08090005" w:tentative="1">
      <w:start w:val="1"/>
      <w:numFmt w:val="bullet"/>
      <w:lvlText w:val=""/>
      <w:lvlJc w:val="left"/>
      <w:pPr>
        <w:ind w:left="16986" w:hanging="360"/>
      </w:pPr>
      <w:rPr>
        <w:rFonts w:ascii="Wingdings" w:hAnsi="Wingdings" w:hint="default"/>
      </w:rPr>
    </w:lvl>
  </w:abstractNum>
  <w:abstractNum w:abstractNumId="17" w15:restartNumberingAfterBreak="0">
    <w:nsid w:val="50D372BD"/>
    <w:multiLevelType w:val="multilevel"/>
    <w:tmpl w:val="EB42F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0562A6"/>
    <w:multiLevelType w:val="hybridMultilevel"/>
    <w:tmpl w:val="B78AB74C"/>
    <w:lvl w:ilvl="0" w:tplc="CF34BC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8672AF6"/>
    <w:multiLevelType w:val="hybridMultilevel"/>
    <w:tmpl w:val="9258DB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5C05054F"/>
    <w:multiLevelType w:val="hybridMultilevel"/>
    <w:tmpl w:val="BCAA4D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4E7758"/>
    <w:multiLevelType w:val="hybridMultilevel"/>
    <w:tmpl w:val="76A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B51B8"/>
    <w:multiLevelType w:val="hybridMultilevel"/>
    <w:tmpl w:val="E61EB844"/>
    <w:lvl w:ilvl="0" w:tplc="0700F2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00603CE"/>
    <w:multiLevelType w:val="hybridMultilevel"/>
    <w:tmpl w:val="84BCC9FE"/>
    <w:lvl w:ilvl="0" w:tplc="8A4E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4C809A7"/>
    <w:multiLevelType w:val="multilevel"/>
    <w:tmpl w:val="104EC67E"/>
    <w:lvl w:ilvl="0">
      <w:start w:val="3"/>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4DC2AC9"/>
    <w:multiLevelType w:val="multilevel"/>
    <w:tmpl w:val="C53C18CC"/>
    <w:lvl w:ilvl="0">
      <w:start w:val="2"/>
      <w:numFmt w:val="decimal"/>
      <w:lvlText w:val="%1.0"/>
      <w:lvlJc w:val="left"/>
      <w:pPr>
        <w:ind w:left="495" w:hanging="495"/>
      </w:pPr>
      <w:rPr>
        <w:rFonts w:cs="Times New Roman" w:hint="default"/>
        <w:b/>
        <w:sz w:val="36"/>
      </w:rPr>
    </w:lvl>
    <w:lvl w:ilvl="1">
      <w:start w:val="1"/>
      <w:numFmt w:val="decimal"/>
      <w:lvlText w:val="%1.%2"/>
      <w:lvlJc w:val="left"/>
      <w:pPr>
        <w:ind w:left="1215" w:hanging="495"/>
      </w:pPr>
      <w:rPr>
        <w:rFonts w:cs="Times New Roman" w:hint="default"/>
        <w:b/>
        <w:sz w:val="36"/>
      </w:rPr>
    </w:lvl>
    <w:lvl w:ilvl="2">
      <w:start w:val="1"/>
      <w:numFmt w:val="decimal"/>
      <w:lvlText w:val="%1.%2.%3"/>
      <w:lvlJc w:val="left"/>
      <w:pPr>
        <w:ind w:left="2160" w:hanging="720"/>
      </w:pPr>
      <w:rPr>
        <w:rFonts w:cs="Times New Roman" w:hint="default"/>
        <w:b/>
        <w:sz w:val="36"/>
      </w:rPr>
    </w:lvl>
    <w:lvl w:ilvl="3">
      <w:start w:val="1"/>
      <w:numFmt w:val="decimal"/>
      <w:lvlText w:val="%1.%2.%3.%4"/>
      <w:lvlJc w:val="left"/>
      <w:pPr>
        <w:ind w:left="3240" w:hanging="1080"/>
      </w:pPr>
      <w:rPr>
        <w:rFonts w:cs="Times New Roman" w:hint="default"/>
        <w:b/>
        <w:sz w:val="36"/>
      </w:rPr>
    </w:lvl>
    <w:lvl w:ilvl="4">
      <w:start w:val="1"/>
      <w:numFmt w:val="decimal"/>
      <w:lvlText w:val="%1.%2.%3.%4.%5"/>
      <w:lvlJc w:val="left"/>
      <w:pPr>
        <w:ind w:left="3960" w:hanging="1080"/>
      </w:pPr>
      <w:rPr>
        <w:rFonts w:cs="Times New Roman" w:hint="default"/>
        <w:b/>
        <w:sz w:val="36"/>
      </w:rPr>
    </w:lvl>
    <w:lvl w:ilvl="5">
      <w:start w:val="1"/>
      <w:numFmt w:val="decimal"/>
      <w:lvlText w:val="%1.%2.%3.%4.%5.%6"/>
      <w:lvlJc w:val="left"/>
      <w:pPr>
        <w:ind w:left="5040" w:hanging="1440"/>
      </w:pPr>
      <w:rPr>
        <w:rFonts w:cs="Times New Roman" w:hint="default"/>
        <w:b/>
        <w:sz w:val="36"/>
      </w:rPr>
    </w:lvl>
    <w:lvl w:ilvl="6">
      <w:start w:val="1"/>
      <w:numFmt w:val="decimal"/>
      <w:lvlText w:val="%1.%2.%3.%4.%5.%6.%7"/>
      <w:lvlJc w:val="left"/>
      <w:pPr>
        <w:ind w:left="5760" w:hanging="1440"/>
      </w:pPr>
      <w:rPr>
        <w:rFonts w:cs="Times New Roman" w:hint="default"/>
        <w:b/>
        <w:sz w:val="36"/>
      </w:rPr>
    </w:lvl>
    <w:lvl w:ilvl="7">
      <w:start w:val="1"/>
      <w:numFmt w:val="decimal"/>
      <w:lvlText w:val="%1.%2.%3.%4.%5.%6.%7.%8"/>
      <w:lvlJc w:val="left"/>
      <w:pPr>
        <w:ind w:left="6840" w:hanging="1800"/>
      </w:pPr>
      <w:rPr>
        <w:rFonts w:cs="Times New Roman" w:hint="default"/>
        <w:b/>
        <w:sz w:val="36"/>
      </w:rPr>
    </w:lvl>
    <w:lvl w:ilvl="8">
      <w:start w:val="1"/>
      <w:numFmt w:val="decimal"/>
      <w:lvlText w:val="%1.%2.%3.%4.%5.%6.%7.%8.%9"/>
      <w:lvlJc w:val="left"/>
      <w:pPr>
        <w:ind w:left="7560" w:hanging="1800"/>
      </w:pPr>
      <w:rPr>
        <w:rFonts w:cs="Times New Roman" w:hint="default"/>
        <w:b/>
        <w:sz w:val="36"/>
      </w:rPr>
    </w:lvl>
  </w:abstractNum>
  <w:abstractNum w:abstractNumId="26" w15:restartNumberingAfterBreak="0">
    <w:nsid w:val="6C2E5FDE"/>
    <w:multiLevelType w:val="hybridMultilevel"/>
    <w:tmpl w:val="F7564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4A7F7B"/>
    <w:multiLevelType w:val="hybridMultilevel"/>
    <w:tmpl w:val="A2401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A3769"/>
    <w:multiLevelType w:val="hybridMultilevel"/>
    <w:tmpl w:val="6F0CBB76"/>
    <w:lvl w:ilvl="0" w:tplc="4BEAE1C2">
      <w:start w:val="1"/>
      <w:numFmt w:val="lowerLetter"/>
      <w:lvlText w:val="%1)"/>
      <w:lvlJc w:val="left"/>
      <w:pPr>
        <w:ind w:left="1080" w:hanging="360"/>
      </w:pPr>
      <w:rPr>
        <w:rFonts w:ascii="Helvetica" w:eastAsia="Times" w:hAnsi="Helvetic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9352F79"/>
    <w:multiLevelType w:val="multilevel"/>
    <w:tmpl w:val="FF807026"/>
    <w:lvl w:ilvl="0">
      <w:start w:val="1"/>
      <w:numFmt w:val="decimal"/>
      <w:lvlText w:val="%1"/>
      <w:lvlJc w:val="left"/>
      <w:pPr>
        <w:ind w:left="495" w:hanging="495"/>
      </w:pPr>
      <w:rPr>
        <w:rFonts w:hint="default"/>
        <w:b w:val="0"/>
        <w:color w:val="000000"/>
        <w:sz w:val="24"/>
      </w:rPr>
    </w:lvl>
    <w:lvl w:ilvl="1">
      <w:start w:val="1"/>
      <w:numFmt w:val="decimal"/>
      <w:lvlText w:val="%1.%2"/>
      <w:lvlJc w:val="left"/>
      <w:pPr>
        <w:ind w:left="495" w:hanging="495"/>
      </w:pPr>
      <w:rPr>
        <w:rFonts w:hint="default"/>
        <w:b w:val="0"/>
        <w:color w:val="000000"/>
        <w:sz w:val="24"/>
      </w:rPr>
    </w:lvl>
    <w:lvl w:ilvl="2">
      <w:start w:val="1"/>
      <w:numFmt w:val="decimal"/>
      <w:lvlText w:val="%1.%2.%3"/>
      <w:lvlJc w:val="left"/>
      <w:pPr>
        <w:ind w:left="720" w:hanging="720"/>
      </w:pPr>
      <w:rPr>
        <w:rFonts w:hint="default"/>
        <w:b w:val="0"/>
        <w:color w:val="000000"/>
        <w:sz w:val="24"/>
      </w:rPr>
    </w:lvl>
    <w:lvl w:ilvl="3">
      <w:start w:val="1"/>
      <w:numFmt w:val="decimal"/>
      <w:lvlText w:val="%1.%2.%3.%4"/>
      <w:lvlJc w:val="left"/>
      <w:pPr>
        <w:ind w:left="720" w:hanging="720"/>
      </w:pPr>
      <w:rPr>
        <w:rFonts w:hint="default"/>
        <w:b w:val="0"/>
        <w:color w:val="000000"/>
        <w:sz w:val="24"/>
      </w:rPr>
    </w:lvl>
    <w:lvl w:ilvl="4">
      <w:start w:val="1"/>
      <w:numFmt w:val="decimal"/>
      <w:lvlText w:val="%1.%2.%3.%4.%5"/>
      <w:lvlJc w:val="left"/>
      <w:pPr>
        <w:ind w:left="1080" w:hanging="1080"/>
      </w:pPr>
      <w:rPr>
        <w:rFonts w:hint="default"/>
        <w:b w:val="0"/>
        <w:color w:val="000000"/>
        <w:sz w:val="24"/>
      </w:rPr>
    </w:lvl>
    <w:lvl w:ilvl="5">
      <w:start w:val="1"/>
      <w:numFmt w:val="decimal"/>
      <w:lvlText w:val="%1.%2.%3.%4.%5.%6"/>
      <w:lvlJc w:val="left"/>
      <w:pPr>
        <w:ind w:left="1440" w:hanging="1440"/>
      </w:pPr>
      <w:rPr>
        <w:rFonts w:hint="default"/>
        <w:b w:val="0"/>
        <w:color w:val="000000"/>
        <w:sz w:val="24"/>
      </w:rPr>
    </w:lvl>
    <w:lvl w:ilvl="6">
      <w:start w:val="1"/>
      <w:numFmt w:val="decimal"/>
      <w:lvlText w:val="%1.%2.%3.%4.%5.%6.%7"/>
      <w:lvlJc w:val="left"/>
      <w:pPr>
        <w:ind w:left="1440" w:hanging="1440"/>
      </w:pPr>
      <w:rPr>
        <w:rFonts w:hint="default"/>
        <w:b w:val="0"/>
        <w:color w:val="000000"/>
        <w:sz w:val="24"/>
      </w:rPr>
    </w:lvl>
    <w:lvl w:ilvl="7">
      <w:start w:val="1"/>
      <w:numFmt w:val="decimal"/>
      <w:lvlText w:val="%1.%2.%3.%4.%5.%6.%7.%8"/>
      <w:lvlJc w:val="left"/>
      <w:pPr>
        <w:ind w:left="1800" w:hanging="1800"/>
      </w:pPr>
      <w:rPr>
        <w:rFonts w:hint="default"/>
        <w:b w:val="0"/>
        <w:color w:val="000000"/>
        <w:sz w:val="24"/>
      </w:rPr>
    </w:lvl>
    <w:lvl w:ilvl="8">
      <w:start w:val="1"/>
      <w:numFmt w:val="decimal"/>
      <w:lvlText w:val="%1.%2.%3.%4.%5.%6.%7.%8.%9"/>
      <w:lvlJc w:val="left"/>
      <w:pPr>
        <w:ind w:left="1800" w:hanging="1800"/>
      </w:pPr>
      <w:rPr>
        <w:rFonts w:hint="default"/>
        <w:b w:val="0"/>
        <w:color w:val="000000"/>
        <w:sz w:val="24"/>
      </w:rPr>
    </w:lvl>
  </w:abstractNum>
  <w:num w:numId="1">
    <w:abstractNumId w:val="1"/>
  </w:num>
  <w:num w:numId="2">
    <w:abstractNumId w:val="13"/>
  </w:num>
  <w:num w:numId="3">
    <w:abstractNumId w:val="16"/>
  </w:num>
  <w:num w:numId="4">
    <w:abstractNumId w:val="24"/>
  </w:num>
  <w:num w:numId="5">
    <w:abstractNumId w:val="9"/>
  </w:num>
  <w:num w:numId="6">
    <w:abstractNumId w:val="19"/>
  </w:num>
  <w:num w:numId="7">
    <w:abstractNumId w:val="6"/>
  </w:num>
  <w:num w:numId="8">
    <w:abstractNumId w:val="27"/>
  </w:num>
  <w:num w:numId="9">
    <w:abstractNumId w:val="11"/>
  </w:num>
  <w:num w:numId="10">
    <w:abstractNumId w:val="3"/>
  </w:num>
  <w:num w:numId="11">
    <w:abstractNumId w:val="28"/>
  </w:num>
  <w:num w:numId="12">
    <w:abstractNumId w:val="29"/>
  </w:num>
  <w:num w:numId="13">
    <w:abstractNumId w:val="12"/>
  </w:num>
  <w:num w:numId="14">
    <w:abstractNumId w:val="17"/>
  </w:num>
  <w:num w:numId="15">
    <w:abstractNumId w:val="2"/>
  </w:num>
  <w:num w:numId="16">
    <w:abstractNumId w:val="8"/>
  </w:num>
  <w:num w:numId="17">
    <w:abstractNumId w:val="23"/>
  </w:num>
  <w:num w:numId="18">
    <w:abstractNumId w:val="14"/>
  </w:num>
  <w:num w:numId="19">
    <w:abstractNumId w:val="20"/>
  </w:num>
  <w:num w:numId="20">
    <w:abstractNumId w:val="5"/>
  </w:num>
  <w:num w:numId="21">
    <w:abstractNumId w:val="15"/>
  </w:num>
  <w:num w:numId="22">
    <w:abstractNumId w:val="26"/>
  </w:num>
  <w:num w:numId="23">
    <w:abstractNumId w:val="25"/>
  </w:num>
  <w:num w:numId="24">
    <w:abstractNumId w:val="10"/>
  </w:num>
  <w:num w:numId="25">
    <w:abstractNumId w:val="4"/>
  </w:num>
  <w:num w:numId="26">
    <w:abstractNumId w:val="22"/>
  </w:num>
  <w:num w:numId="27">
    <w:abstractNumId w:val="18"/>
  </w:num>
  <w:num w:numId="28">
    <w:abstractNumId w:val="0"/>
  </w:num>
  <w:num w:numId="29">
    <w:abstractNumId w:val="21"/>
  </w:num>
  <w:num w:numId="3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08"/>
    <w:rsid w:val="00000860"/>
    <w:rsid w:val="00001073"/>
    <w:rsid w:val="00001665"/>
    <w:rsid w:val="00002138"/>
    <w:rsid w:val="00002C42"/>
    <w:rsid w:val="000062A8"/>
    <w:rsid w:val="00006D87"/>
    <w:rsid w:val="00007631"/>
    <w:rsid w:val="00007A1A"/>
    <w:rsid w:val="00007B49"/>
    <w:rsid w:val="000108C6"/>
    <w:rsid w:val="0001191A"/>
    <w:rsid w:val="00011968"/>
    <w:rsid w:val="00011E02"/>
    <w:rsid w:val="000125B1"/>
    <w:rsid w:val="000133CB"/>
    <w:rsid w:val="000146B9"/>
    <w:rsid w:val="00022694"/>
    <w:rsid w:val="000228F5"/>
    <w:rsid w:val="00023336"/>
    <w:rsid w:val="0002371B"/>
    <w:rsid w:val="00025434"/>
    <w:rsid w:val="00025E8A"/>
    <w:rsid w:val="0002638E"/>
    <w:rsid w:val="00027CA5"/>
    <w:rsid w:val="0003033A"/>
    <w:rsid w:val="00030B94"/>
    <w:rsid w:val="0003194B"/>
    <w:rsid w:val="00031EF8"/>
    <w:rsid w:val="000335CB"/>
    <w:rsid w:val="000336BD"/>
    <w:rsid w:val="00037753"/>
    <w:rsid w:val="00037AB9"/>
    <w:rsid w:val="00037ACF"/>
    <w:rsid w:val="00040A65"/>
    <w:rsid w:val="000425E9"/>
    <w:rsid w:val="00042ACD"/>
    <w:rsid w:val="00043E1E"/>
    <w:rsid w:val="0004481E"/>
    <w:rsid w:val="0004510A"/>
    <w:rsid w:val="000452C1"/>
    <w:rsid w:val="00045739"/>
    <w:rsid w:val="000474A7"/>
    <w:rsid w:val="00047819"/>
    <w:rsid w:val="0005119B"/>
    <w:rsid w:val="000532D5"/>
    <w:rsid w:val="0005334E"/>
    <w:rsid w:val="0005592F"/>
    <w:rsid w:val="00056702"/>
    <w:rsid w:val="00056B39"/>
    <w:rsid w:val="000571BF"/>
    <w:rsid w:val="0006019F"/>
    <w:rsid w:val="00060D58"/>
    <w:rsid w:val="00061466"/>
    <w:rsid w:val="0006335A"/>
    <w:rsid w:val="00063E54"/>
    <w:rsid w:val="00064325"/>
    <w:rsid w:val="00065055"/>
    <w:rsid w:val="00065CAC"/>
    <w:rsid w:val="00066995"/>
    <w:rsid w:val="0006736D"/>
    <w:rsid w:val="000701F5"/>
    <w:rsid w:val="000704D5"/>
    <w:rsid w:val="00071207"/>
    <w:rsid w:val="00071D0F"/>
    <w:rsid w:val="0007263E"/>
    <w:rsid w:val="00072BF4"/>
    <w:rsid w:val="0007352D"/>
    <w:rsid w:val="00074624"/>
    <w:rsid w:val="00074861"/>
    <w:rsid w:val="0007599E"/>
    <w:rsid w:val="00076001"/>
    <w:rsid w:val="000761A9"/>
    <w:rsid w:val="00077492"/>
    <w:rsid w:val="0007793C"/>
    <w:rsid w:val="00080110"/>
    <w:rsid w:val="000813F1"/>
    <w:rsid w:val="0008174F"/>
    <w:rsid w:val="00083D78"/>
    <w:rsid w:val="0008508C"/>
    <w:rsid w:val="000855C9"/>
    <w:rsid w:val="000858A1"/>
    <w:rsid w:val="000860FA"/>
    <w:rsid w:val="000865F8"/>
    <w:rsid w:val="00086A2F"/>
    <w:rsid w:val="00086BCB"/>
    <w:rsid w:val="0008715E"/>
    <w:rsid w:val="00091DDC"/>
    <w:rsid w:val="0009223E"/>
    <w:rsid w:val="000932CB"/>
    <w:rsid w:val="0009444F"/>
    <w:rsid w:val="0009667B"/>
    <w:rsid w:val="00097366"/>
    <w:rsid w:val="00097399"/>
    <w:rsid w:val="000A0CCA"/>
    <w:rsid w:val="000A1C30"/>
    <w:rsid w:val="000A1ECC"/>
    <w:rsid w:val="000A2223"/>
    <w:rsid w:val="000A3A94"/>
    <w:rsid w:val="000A3F11"/>
    <w:rsid w:val="000A4267"/>
    <w:rsid w:val="000A42C7"/>
    <w:rsid w:val="000A5524"/>
    <w:rsid w:val="000A5AD9"/>
    <w:rsid w:val="000A67CC"/>
    <w:rsid w:val="000A69B3"/>
    <w:rsid w:val="000A7836"/>
    <w:rsid w:val="000A7C6F"/>
    <w:rsid w:val="000B15CC"/>
    <w:rsid w:val="000B1A8F"/>
    <w:rsid w:val="000B4B49"/>
    <w:rsid w:val="000B7240"/>
    <w:rsid w:val="000C054D"/>
    <w:rsid w:val="000C1D35"/>
    <w:rsid w:val="000C2D0D"/>
    <w:rsid w:val="000C366E"/>
    <w:rsid w:val="000C3D21"/>
    <w:rsid w:val="000C4709"/>
    <w:rsid w:val="000C5184"/>
    <w:rsid w:val="000C59EB"/>
    <w:rsid w:val="000C5B7F"/>
    <w:rsid w:val="000D0F44"/>
    <w:rsid w:val="000D171B"/>
    <w:rsid w:val="000D24BF"/>
    <w:rsid w:val="000D3E37"/>
    <w:rsid w:val="000D4C48"/>
    <w:rsid w:val="000D4DA2"/>
    <w:rsid w:val="000D647C"/>
    <w:rsid w:val="000D709B"/>
    <w:rsid w:val="000D7747"/>
    <w:rsid w:val="000E0C3E"/>
    <w:rsid w:val="000E1230"/>
    <w:rsid w:val="000E359F"/>
    <w:rsid w:val="000E3EE7"/>
    <w:rsid w:val="000E456C"/>
    <w:rsid w:val="000E4ABF"/>
    <w:rsid w:val="000E5301"/>
    <w:rsid w:val="000E5C88"/>
    <w:rsid w:val="000E702A"/>
    <w:rsid w:val="000F2663"/>
    <w:rsid w:val="000F38BA"/>
    <w:rsid w:val="000F549B"/>
    <w:rsid w:val="000F5650"/>
    <w:rsid w:val="000F6095"/>
    <w:rsid w:val="000F642C"/>
    <w:rsid w:val="000F6F96"/>
    <w:rsid w:val="00100A0E"/>
    <w:rsid w:val="00100F79"/>
    <w:rsid w:val="0010109A"/>
    <w:rsid w:val="0010149D"/>
    <w:rsid w:val="00101527"/>
    <w:rsid w:val="00101BD1"/>
    <w:rsid w:val="00104147"/>
    <w:rsid w:val="0010441D"/>
    <w:rsid w:val="00106779"/>
    <w:rsid w:val="001069B9"/>
    <w:rsid w:val="0010784A"/>
    <w:rsid w:val="00110403"/>
    <w:rsid w:val="00110AB4"/>
    <w:rsid w:val="00112DCD"/>
    <w:rsid w:val="00112FB6"/>
    <w:rsid w:val="00114D6A"/>
    <w:rsid w:val="00115569"/>
    <w:rsid w:val="00116E69"/>
    <w:rsid w:val="0011718D"/>
    <w:rsid w:val="00120371"/>
    <w:rsid w:val="00121E2D"/>
    <w:rsid w:val="00122223"/>
    <w:rsid w:val="00122DAE"/>
    <w:rsid w:val="0012428D"/>
    <w:rsid w:val="00132179"/>
    <w:rsid w:val="0013385C"/>
    <w:rsid w:val="00133F49"/>
    <w:rsid w:val="0013464E"/>
    <w:rsid w:val="0013542D"/>
    <w:rsid w:val="001402CF"/>
    <w:rsid w:val="001418F2"/>
    <w:rsid w:val="001432BB"/>
    <w:rsid w:val="00144EC6"/>
    <w:rsid w:val="00145EFD"/>
    <w:rsid w:val="00146EB2"/>
    <w:rsid w:val="00147469"/>
    <w:rsid w:val="00147C38"/>
    <w:rsid w:val="00147D6F"/>
    <w:rsid w:val="001509A7"/>
    <w:rsid w:val="00150C2E"/>
    <w:rsid w:val="00152CA6"/>
    <w:rsid w:val="00153338"/>
    <w:rsid w:val="00153486"/>
    <w:rsid w:val="00154F3F"/>
    <w:rsid w:val="00156A9B"/>
    <w:rsid w:val="001617C6"/>
    <w:rsid w:val="00161949"/>
    <w:rsid w:val="00165031"/>
    <w:rsid w:val="0016540C"/>
    <w:rsid w:val="001674F6"/>
    <w:rsid w:val="00170A4F"/>
    <w:rsid w:val="00171B3A"/>
    <w:rsid w:val="00171DE3"/>
    <w:rsid w:val="00173E9E"/>
    <w:rsid w:val="0017408A"/>
    <w:rsid w:val="00177B2C"/>
    <w:rsid w:val="00180738"/>
    <w:rsid w:val="0018096F"/>
    <w:rsid w:val="00180A34"/>
    <w:rsid w:val="00180D71"/>
    <w:rsid w:val="00181456"/>
    <w:rsid w:val="00181EC0"/>
    <w:rsid w:val="0018391E"/>
    <w:rsid w:val="00184322"/>
    <w:rsid w:val="00185309"/>
    <w:rsid w:val="00186A0F"/>
    <w:rsid w:val="00190F79"/>
    <w:rsid w:val="001927FC"/>
    <w:rsid w:val="001930DE"/>
    <w:rsid w:val="00193B24"/>
    <w:rsid w:val="00193D67"/>
    <w:rsid w:val="00195F25"/>
    <w:rsid w:val="00196208"/>
    <w:rsid w:val="001A0A5E"/>
    <w:rsid w:val="001A2321"/>
    <w:rsid w:val="001A2D0D"/>
    <w:rsid w:val="001A3F08"/>
    <w:rsid w:val="001A443F"/>
    <w:rsid w:val="001A5857"/>
    <w:rsid w:val="001A5E0C"/>
    <w:rsid w:val="001A5FE1"/>
    <w:rsid w:val="001A7F45"/>
    <w:rsid w:val="001B00CD"/>
    <w:rsid w:val="001B0AD3"/>
    <w:rsid w:val="001B0AE9"/>
    <w:rsid w:val="001B0BB1"/>
    <w:rsid w:val="001B0DAD"/>
    <w:rsid w:val="001B1746"/>
    <w:rsid w:val="001B34D0"/>
    <w:rsid w:val="001B38D6"/>
    <w:rsid w:val="001B6A09"/>
    <w:rsid w:val="001C0DC5"/>
    <w:rsid w:val="001C356D"/>
    <w:rsid w:val="001C3F16"/>
    <w:rsid w:val="001C4715"/>
    <w:rsid w:val="001C541F"/>
    <w:rsid w:val="001C6190"/>
    <w:rsid w:val="001C7DA1"/>
    <w:rsid w:val="001D0F2A"/>
    <w:rsid w:val="001D13BA"/>
    <w:rsid w:val="001D23EC"/>
    <w:rsid w:val="001D261C"/>
    <w:rsid w:val="001D315D"/>
    <w:rsid w:val="001D420A"/>
    <w:rsid w:val="001D479B"/>
    <w:rsid w:val="001D5820"/>
    <w:rsid w:val="001D5F25"/>
    <w:rsid w:val="001D758F"/>
    <w:rsid w:val="001E0D6D"/>
    <w:rsid w:val="001E2E6D"/>
    <w:rsid w:val="001E6FC4"/>
    <w:rsid w:val="001F23B0"/>
    <w:rsid w:val="001F477A"/>
    <w:rsid w:val="001F4F99"/>
    <w:rsid w:val="001F4F9E"/>
    <w:rsid w:val="001F5DD2"/>
    <w:rsid w:val="001F77B9"/>
    <w:rsid w:val="001F7B37"/>
    <w:rsid w:val="002018E8"/>
    <w:rsid w:val="00201C37"/>
    <w:rsid w:val="00202B2A"/>
    <w:rsid w:val="00202D8E"/>
    <w:rsid w:val="00204065"/>
    <w:rsid w:val="0020458F"/>
    <w:rsid w:val="00207984"/>
    <w:rsid w:val="002103A5"/>
    <w:rsid w:val="00210EB6"/>
    <w:rsid w:val="00211146"/>
    <w:rsid w:val="002125C9"/>
    <w:rsid w:val="00212A68"/>
    <w:rsid w:val="00214265"/>
    <w:rsid w:val="002149BB"/>
    <w:rsid w:val="0021557D"/>
    <w:rsid w:val="002157C1"/>
    <w:rsid w:val="00216397"/>
    <w:rsid w:val="002175BB"/>
    <w:rsid w:val="00220A84"/>
    <w:rsid w:val="00220DF1"/>
    <w:rsid w:val="002219D5"/>
    <w:rsid w:val="00221BBB"/>
    <w:rsid w:val="002234CA"/>
    <w:rsid w:val="00223BD4"/>
    <w:rsid w:val="00227586"/>
    <w:rsid w:val="002275BB"/>
    <w:rsid w:val="00231E55"/>
    <w:rsid w:val="002321AC"/>
    <w:rsid w:val="00232B9C"/>
    <w:rsid w:val="002339B4"/>
    <w:rsid w:val="0023459D"/>
    <w:rsid w:val="00235C8E"/>
    <w:rsid w:val="00236501"/>
    <w:rsid w:val="00237326"/>
    <w:rsid w:val="00241A4C"/>
    <w:rsid w:val="00241EEC"/>
    <w:rsid w:val="002423E2"/>
    <w:rsid w:val="00242972"/>
    <w:rsid w:val="00242978"/>
    <w:rsid w:val="00242C09"/>
    <w:rsid w:val="0024331E"/>
    <w:rsid w:val="002434C4"/>
    <w:rsid w:val="00245254"/>
    <w:rsid w:val="00246790"/>
    <w:rsid w:val="00246DFD"/>
    <w:rsid w:val="00247571"/>
    <w:rsid w:val="00247BA8"/>
    <w:rsid w:val="0025098F"/>
    <w:rsid w:val="002511E8"/>
    <w:rsid w:val="002512E1"/>
    <w:rsid w:val="00251E08"/>
    <w:rsid w:val="00252019"/>
    <w:rsid w:val="00253BE3"/>
    <w:rsid w:val="00254CEA"/>
    <w:rsid w:val="002577F4"/>
    <w:rsid w:val="00260375"/>
    <w:rsid w:val="00261DB3"/>
    <w:rsid w:val="00262BFD"/>
    <w:rsid w:val="00265298"/>
    <w:rsid w:val="00265668"/>
    <w:rsid w:val="00265E08"/>
    <w:rsid w:val="00266333"/>
    <w:rsid w:val="00267015"/>
    <w:rsid w:val="00267405"/>
    <w:rsid w:val="002675F2"/>
    <w:rsid w:val="00270401"/>
    <w:rsid w:val="00272DC8"/>
    <w:rsid w:val="00273520"/>
    <w:rsid w:val="00274DEE"/>
    <w:rsid w:val="00277E1E"/>
    <w:rsid w:val="002810D1"/>
    <w:rsid w:val="0028164F"/>
    <w:rsid w:val="00282032"/>
    <w:rsid w:val="00284BBC"/>
    <w:rsid w:val="0029157C"/>
    <w:rsid w:val="00293A02"/>
    <w:rsid w:val="0029452C"/>
    <w:rsid w:val="00294B88"/>
    <w:rsid w:val="0029702E"/>
    <w:rsid w:val="00297560"/>
    <w:rsid w:val="00297BBD"/>
    <w:rsid w:val="00297D74"/>
    <w:rsid w:val="002A02E9"/>
    <w:rsid w:val="002A201A"/>
    <w:rsid w:val="002A264C"/>
    <w:rsid w:val="002A4412"/>
    <w:rsid w:val="002B0C29"/>
    <w:rsid w:val="002B2107"/>
    <w:rsid w:val="002B2DDF"/>
    <w:rsid w:val="002B3387"/>
    <w:rsid w:val="002B353D"/>
    <w:rsid w:val="002B3C1A"/>
    <w:rsid w:val="002B6935"/>
    <w:rsid w:val="002B73D9"/>
    <w:rsid w:val="002B7FA0"/>
    <w:rsid w:val="002C2826"/>
    <w:rsid w:val="002C386E"/>
    <w:rsid w:val="002C4672"/>
    <w:rsid w:val="002C57E0"/>
    <w:rsid w:val="002C5813"/>
    <w:rsid w:val="002C5F4A"/>
    <w:rsid w:val="002C6537"/>
    <w:rsid w:val="002C7621"/>
    <w:rsid w:val="002D0F80"/>
    <w:rsid w:val="002D19C3"/>
    <w:rsid w:val="002D365A"/>
    <w:rsid w:val="002D6A47"/>
    <w:rsid w:val="002D73AB"/>
    <w:rsid w:val="002E16D9"/>
    <w:rsid w:val="002E16E3"/>
    <w:rsid w:val="002E1A15"/>
    <w:rsid w:val="002E1BAB"/>
    <w:rsid w:val="002E275B"/>
    <w:rsid w:val="002E27F7"/>
    <w:rsid w:val="002E28E3"/>
    <w:rsid w:val="002E301F"/>
    <w:rsid w:val="002E328D"/>
    <w:rsid w:val="002E3748"/>
    <w:rsid w:val="002E37B8"/>
    <w:rsid w:val="002E438B"/>
    <w:rsid w:val="002E56D6"/>
    <w:rsid w:val="002E6C34"/>
    <w:rsid w:val="002F0164"/>
    <w:rsid w:val="002F137E"/>
    <w:rsid w:val="002F1B31"/>
    <w:rsid w:val="002F23E7"/>
    <w:rsid w:val="002F3464"/>
    <w:rsid w:val="002F5BFE"/>
    <w:rsid w:val="0030238C"/>
    <w:rsid w:val="00302BE6"/>
    <w:rsid w:val="00303AE4"/>
    <w:rsid w:val="00304567"/>
    <w:rsid w:val="00305039"/>
    <w:rsid w:val="00305832"/>
    <w:rsid w:val="003067F0"/>
    <w:rsid w:val="00306B6D"/>
    <w:rsid w:val="003114C4"/>
    <w:rsid w:val="003117EE"/>
    <w:rsid w:val="00313576"/>
    <w:rsid w:val="00313CBB"/>
    <w:rsid w:val="003155B0"/>
    <w:rsid w:val="00315A3F"/>
    <w:rsid w:val="00316BB0"/>
    <w:rsid w:val="0031708F"/>
    <w:rsid w:val="003174EC"/>
    <w:rsid w:val="00317850"/>
    <w:rsid w:val="00320F69"/>
    <w:rsid w:val="00323AD2"/>
    <w:rsid w:val="00323F00"/>
    <w:rsid w:val="00324158"/>
    <w:rsid w:val="00324F9C"/>
    <w:rsid w:val="00326B8A"/>
    <w:rsid w:val="003273EE"/>
    <w:rsid w:val="003314ED"/>
    <w:rsid w:val="003317B0"/>
    <w:rsid w:val="00331B39"/>
    <w:rsid w:val="0033257B"/>
    <w:rsid w:val="00332C60"/>
    <w:rsid w:val="00335D1F"/>
    <w:rsid w:val="00335DEA"/>
    <w:rsid w:val="00337EC9"/>
    <w:rsid w:val="00340EC0"/>
    <w:rsid w:val="00341FF6"/>
    <w:rsid w:val="0034434D"/>
    <w:rsid w:val="00344EB0"/>
    <w:rsid w:val="0034691C"/>
    <w:rsid w:val="00347FA9"/>
    <w:rsid w:val="003504D1"/>
    <w:rsid w:val="0035098E"/>
    <w:rsid w:val="00351F8D"/>
    <w:rsid w:val="003520A6"/>
    <w:rsid w:val="00352997"/>
    <w:rsid w:val="00352B85"/>
    <w:rsid w:val="00354932"/>
    <w:rsid w:val="0035575E"/>
    <w:rsid w:val="00355B5B"/>
    <w:rsid w:val="003561EA"/>
    <w:rsid w:val="00357DC1"/>
    <w:rsid w:val="003601F1"/>
    <w:rsid w:val="003604B7"/>
    <w:rsid w:val="00360A46"/>
    <w:rsid w:val="00360F35"/>
    <w:rsid w:val="0036108A"/>
    <w:rsid w:val="00362FAD"/>
    <w:rsid w:val="003630B4"/>
    <w:rsid w:val="003633D5"/>
    <w:rsid w:val="003652AC"/>
    <w:rsid w:val="00365C85"/>
    <w:rsid w:val="00367333"/>
    <w:rsid w:val="003676F6"/>
    <w:rsid w:val="00367B81"/>
    <w:rsid w:val="00370D91"/>
    <w:rsid w:val="00371018"/>
    <w:rsid w:val="00372994"/>
    <w:rsid w:val="00373741"/>
    <w:rsid w:val="00373B8E"/>
    <w:rsid w:val="00374D1E"/>
    <w:rsid w:val="003750F2"/>
    <w:rsid w:val="00377D22"/>
    <w:rsid w:val="003802C3"/>
    <w:rsid w:val="00381078"/>
    <w:rsid w:val="003832B4"/>
    <w:rsid w:val="00383A89"/>
    <w:rsid w:val="00384000"/>
    <w:rsid w:val="003853B3"/>
    <w:rsid w:val="00385522"/>
    <w:rsid w:val="00385FA4"/>
    <w:rsid w:val="0038700D"/>
    <w:rsid w:val="00390932"/>
    <w:rsid w:val="003911EC"/>
    <w:rsid w:val="00392EB0"/>
    <w:rsid w:val="00394534"/>
    <w:rsid w:val="003952B3"/>
    <w:rsid w:val="0039762D"/>
    <w:rsid w:val="00397D45"/>
    <w:rsid w:val="00397F11"/>
    <w:rsid w:val="003A18EE"/>
    <w:rsid w:val="003A2259"/>
    <w:rsid w:val="003A2503"/>
    <w:rsid w:val="003A4B9C"/>
    <w:rsid w:val="003A56ED"/>
    <w:rsid w:val="003A70A8"/>
    <w:rsid w:val="003A73DF"/>
    <w:rsid w:val="003A789E"/>
    <w:rsid w:val="003A7EFA"/>
    <w:rsid w:val="003B1ADA"/>
    <w:rsid w:val="003B2B9A"/>
    <w:rsid w:val="003B35D6"/>
    <w:rsid w:val="003B470D"/>
    <w:rsid w:val="003B5230"/>
    <w:rsid w:val="003B525E"/>
    <w:rsid w:val="003B5480"/>
    <w:rsid w:val="003B5CD6"/>
    <w:rsid w:val="003B6F31"/>
    <w:rsid w:val="003B785B"/>
    <w:rsid w:val="003C0615"/>
    <w:rsid w:val="003C134F"/>
    <w:rsid w:val="003C289B"/>
    <w:rsid w:val="003C2C4D"/>
    <w:rsid w:val="003C6043"/>
    <w:rsid w:val="003D1402"/>
    <w:rsid w:val="003D2962"/>
    <w:rsid w:val="003D2FCB"/>
    <w:rsid w:val="003D34B3"/>
    <w:rsid w:val="003D54AD"/>
    <w:rsid w:val="003D579C"/>
    <w:rsid w:val="003D6752"/>
    <w:rsid w:val="003E4FEF"/>
    <w:rsid w:val="003E6058"/>
    <w:rsid w:val="003E631E"/>
    <w:rsid w:val="003E7D99"/>
    <w:rsid w:val="003E7F32"/>
    <w:rsid w:val="003F04E4"/>
    <w:rsid w:val="003F10F7"/>
    <w:rsid w:val="003F22B5"/>
    <w:rsid w:val="003F263E"/>
    <w:rsid w:val="003F30B3"/>
    <w:rsid w:val="003F390F"/>
    <w:rsid w:val="003F3999"/>
    <w:rsid w:val="003F6265"/>
    <w:rsid w:val="004007C9"/>
    <w:rsid w:val="00401374"/>
    <w:rsid w:val="00402077"/>
    <w:rsid w:val="004049D8"/>
    <w:rsid w:val="00405C9D"/>
    <w:rsid w:val="00405FB5"/>
    <w:rsid w:val="004064E6"/>
    <w:rsid w:val="004066BC"/>
    <w:rsid w:val="004066E4"/>
    <w:rsid w:val="0040677A"/>
    <w:rsid w:val="00407791"/>
    <w:rsid w:val="0041057F"/>
    <w:rsid w:val="00411584"/>
    <w:rsid w:val="00412771"/>
    <w:rsid w:val="004135B9"/>
    <w:rsid w:val="00413C1A"/>
    <w:rsid w:val="00413F0C"/>
    <w:rsid w:val="00414448"/>
    <w:rsid w:val="004149D2"/>
    <w:rsid w:val="00417F6D"/>
    <w:rsid w:val="00420272"/>
    <w:rsid w:val="004217D3"/>
    <w:rsid w:val="00421B07"/>
    <w:rsid w:val="004232F2"/>
    <w:rsid w:val="00423464"/>
    <w:rsid w:val="00424BDA"/>
    <w:rsid w:val="0042536A"/>
    <w:rsid w:val="00426C88"/>
    <w:rsid w:val="00426DB7"/>
    <w:rsid w:val="00430558"/>
    <w:rsid w:val="00430F51"/>
    <w:rsid w:val="004312AC"/>
    <w:rsid w:val="004317CA"/>
    <w:rsid w:val="0043281D"/>
    <w:rsid w:val="004328AB"/>
    <w:rsid w:val="00433008"/>
    <w:rsid w:val="00433389"/>
    <w:rsid w:val="00435B66"/>
    <w:rsid w:val="00440F62"/>
    <w:rsid w:val="004426F3"/>
    <w:rsid w:val="00444821"/>
    <w:rsid w:val="00445FAB"/>
    <w:rsid w:val="00446F66"/>
    <w:rsid w:val="004477B7"/>
    <w:rsid w:val="00447ED6"/>
    <w:rsid w:val="00447F26"/>
    <w:rsid w:val="0045143B"/>
    <w:rsid w:val="00451D0E"/>
    <w:rsid w:val="00454890"/>
    <w:rsid w:val="00454AC8"/>
    <w:rsid w:val="00456264"/>
    <w:rsid w:val="004563F1"/>
    <w:rsid w:val="0046075D"/>
    <w:rsid w:val="004619DA"/>
    <w:rsid w:val="00465164"/>
    <w:rsid w:val="00465241"/>
    <w:rsid w:val="00465F51"/>
    <w:rsid w:val="00467B2E"/>
    <w:rsid w:val="00470AEA"/>
    <w:rsid w:val="00471F38"/>
    <w:rsid w:val="00472FF6"/>
    <w:rsid w:val="0047455C"/>
    <w:rsid w:val="0047482E"/>
    <w:rsid w:val="00474D44"/>
    <w:rsid w:val="00477AD3"/>
    <w:rsid w:val="00480B42"/>
    <w:rsid w:val="0048112F"/>
    <w:rsid w:val="0048123F"/>
    <w:rsid w:val="00482253"/>
    <w:rsid w:val="004827B1"/>
    <w:rsid w:val="00484836"/>
    <w:rsid w:val="0048683E"/>
    <w:rsid w:val="00486DE9"/>
    <w:rsid w:val="00486F0B"/>
    <w:rsid w:val="00487BD3"/>
    <w:rsid w:val="004908CE"/>
    <w:rsid w:val="00490EFF"/>
    <w:rsid w:val="004912F2"/>
    <w:rsid w:val="00492DE4"/>
    <w:rsid w:val="00494E1F"/>
    <w:rsid w:val="00494FCA"/>
    <w:rsid w:val="00495A4A"/>
    <w:rsid w:val="004961BA"/>
    <w:rsid w:val="004A21C3"/>
    <w:rsid w:val="004A28F8"/>
    <w:rsid w:val="004A38A6"/>
    <w:rsid w:val="004A5E06"/>
    <w:rsid w:val="004A7985"/>
    <w:rsid w:val="004B126C"/>
    <w:rsid w:val="004B1477"/>
    <w:rsid w:val="004B3D80"/>
    <w:rsid w:val="004B4537"/>
    <w:rsid w:val="004B73A7"/>
    <w:rsid w:val="004C1691"/>
    <w:rsid w:val="004C2221"/>
    <w:rsid w:val="004C23C8"/>
    <w:rsid w:val="004C31E9"/>
    <w:rsid w:val="004C3AD6"/>
    <w:rsid w:val="004C3D9D"/>
    <w:rsid w:val="004C51C1"/>
    <w:rsid w:val="004C714C"/>
    <w:rsid w:val="004C74BD"/>
    <w:rsid w:val="004D0081"/>
    <w:rsid w:val="004D1234"/>
    <w:rsid w:val="004D1C37"/>
    <w:rsid w:val="004D24EC"/>
    <w:rsid w:val="004D3017"/>
    <w:rsid w:val="004D430B"/>
    <w:rsid w:val="004D7718"/>
    <w:rsid w:val="004E05C8"/>
    <w:rsid w:val="004E1B07"/>
    <w:rsid w:val="004E1E55"/>
    <w:rsid w:val="004E23B3"/>
    <w:rsid w:val="004E4106"/>
    <w:rsid w:val="004E49E4"/>
    <w:rsid w:val="004E4F18"/>
    <w:rsid w:val="004E5E72"/>
    <w:rsid w:val="004E5E84"/>
    <w:rsid w:val="004E7325"/>
    <w:rsid w:val="004F0890"/>
    <w:rsid w:val="004F3DE2"/>
    <w:rsid w:val="004F47DD"/>
    <w:rsid w:val="004F48C9"/>
    <w:rsid w:val="004F5849"/>
    <w:rsid w:val="004F5D18"/>
    <w:rsid w:val="004F5DFD"/>
    <w:rsid w:val="004F6ABC"/>
    <w:rsid w:val="00500A72"/>
    <w:rsid w:val="00500B0A"/>
    <w:rsid w:val="00502E22"/>
    <w:rsid w:val="00503F05"/>
    <w:rsid w:val="005044A3"/>
    <w:rsid w:val="00504F9B"/>
    <w:rsid w:val="0050507B"/>
    <w:rsid w:val="00505A45"/>
    <w:rsid w:val="00507583"/>
    <w:rsid w:val="00511FB5"/>
    <w:rsid w:val="005149BA"/>
    <w:rsid w:val="00514A2B"/>
    <w:rsid w:val="00514BE8"/>
    <w:rsid w:val="00514BFD"/>
    <w:rsid w:val="00515ED1"/>
    <w:rsid w:val="00516143"/>
    <w:rsid w:val="0051617A"/>
    <w:rsid w:val="00516B18"/>
    <w:rsid w:val="005178B1"/>
    <w:rsid w:val="005206AD"/>
    <w:rsid w:val="00520993"/>
    <w:rsid w:val="00520B6D"/>
    <w:rsid w:val="005221FD"/>
    <w:rsid w:val="005229F8"/>
    <w:rsid w:val="005238F0"/>
    <w:rsid w:val="00525387"/>
    <w:rsid w:val="00526EE8"/>
    <w:rsid w:val="005306F5"/>
    <w:rsid w:val="0053183D"/>
    <w:rsid w:val="00531868"/>
    <w:rsid w:val="00531E60"/>
    <w:rsid w:val="00532045"/>
    <w:rsid w:val="005333A6"/>
    <w:rsid w:val="00533D8F"/>
    <w:rsid w:val="005346C1"/>
    <w:rsid w:val="00534DED"/>
    <w:rsid w:val="005367A3"/>
    <w:rsid w:val="00536DFA"/>
    <w:rsid w:val="00536E6E"/>
    <w:rsid w:val="00537078"/>
    <w:rsid w:val="005408A7"/>
    <w:rsid w:val="0054145C"/>
    <w:rsid w:val="0054229C"/>
    <w:rsid w:val="00542641"/>
    <w:rsid w:val="0054358E"/>
    <w:rsid w:val="00544553"/>
    <w:rsid w:val="005447E1"/>
    <w:rsid w:val="00547122"/>
    <w:rsid w:val="0054726B"/>
    <w:rsid w:val="005473D4"/>
    <w:rsid w:val="00547880"/>
    <w:rsid w:val="00550F9D"/>
    <w:rsid w:val="005510A6"/>
    <w:rsid w:val="00553002"/>
    <w:rsid w:val="00553079"/>
    <w:rsid w:val="00553E86"/>
    <w:rsid w:val="00553FE0"/>
    <w:rsid w:val="00554F78"/>
    <w:rsid w:val="0055518B"/>
    <w:rsid w:val="0055772C"/>
    <w:rsid w:val="00561BD6"/>
    <w:rsid w:val="00561FBB"/>
    <w:rsid w:val="0056254E"/>
    <w:rsid w:val="005639E6"/>
    <w:rsid w:val="00564162"/>
    <w:rsid w:val="005645BA"/>
    <w:rsid w:val="005651B7"/>
    <w:rsid w:val="00565319"/>
    <w:rsid w:val="005678E3"/>
    <w:rsid w:val="00567D42"/>
    <w:rsid w:val="00572158"/>
    <w:rsid w:val="0057236F"/>
    <w:rsid w:val="00572D58"/>
    <w:rsid w:val="005732ED"/>
    <w:rsid w:val="00574531"/>
    <w:rsid w:val="00575052"/>
    <w:rsid w:val="00576157"/>
    <w:rsid w:val="00576311"/>
    <w:rsid w:val="005763DF"/>
    <w:rsid w:val="00576DC1"/>
    <w:rsid w:val="00577287"/>
    <w:rsid w:val="00580247"/>
    <w:rsid w:val="00580295"/>
    <w:rsid w:val="00581884"/>
    <w:rsid w:val="00582712"/>
    <w:rsid w:val="005832F3"/>
    <w:rsid w:val="00583459"/>
    <w:rsid w:val="0058498F"/>
    <w:rsid w:val="0058542D"/>
    <w:rsid w:val="005858F2"/>
    <w:rsid w:val="00586707"/>
    <w:rsid w:val="00586DF7"/>
    <w:rsid w:val="00587D95"/>
    <w:rsid w:val="00590540"/>
    <w:rsid w:val="00590A46"/>
    <w:rsid w:val="005914BC"/>
    <w:rsid w:val="00591F93"/>
    <w:rsid w:val="0059328D"/>
    <w:rsid w:val="00594B4A"/>
    <w:rsid w:val="00596060"/>
    <w:rsid w:val="005A0377"/>
    <w:rsid w:val="005A3666"/>
    <w:rsid w:val="005A476D"/>
    <w:rsid w:val="005A4960"/>
    <w:rsid w:val="005A7251"/>
    <w:rsid w:val="005A72E2"/>
    <w:rsid w:val="005A7CAF"/>
    <w:rsid w:val="005A7DBB"/>
    <w:rsid w:val="005B0536"/>
    <w:rsid w:val="005B0639"/>
    <w:rsid w:val="005B06ED"/>
    <w:rsid w:val="005B0F38"/>
    <w:rsid w:val="005B1E6A"/>
    <w:rsid w:val="005B26C2"/>
    <w:rsid w:val="005B3D23"/>
    <w:rsid w:val="005B45D1"/>
    <w:rsid w:val="005B6296"/>
    <w:rsid w:val="005B65A1"/>
    <w:rsid w:val="005B7980"/>
    <w:rsid w:val="005C1B80"/>
    <w:rsid w:val="005C35AE"/>
    <w:rsid w:val="005C49FB"/>
    <w:rsid w:val="005C6416"/>
    <w:rsid w:val="005C6761"/>
    <w:rsid w:val="005C6EB6"/>
    <w:rsid w:val="005D00B5"/>
    <w:rsid w:val="005D2DD4"/>
    <w:rsid w:val="005D42AB"/>
    <w:rsid w:val="005D4D9F"/>
    <w:rsid w:val="005D50D7"/>
    <w:rsid w:val="005D5167"/>
    <w:rsid w:val="005D632B"/>
    <w:rsid w:val="005D68DA"/>
    <w:rsid w:val="005D6C29"/>
    <w:rsid w:val="005D6C3D"/>
    <w:rsid w:val="005D6FDE"/>
    <w:rsid w:val="005D71DB"/>
    <w:rsid w:val="005D7329"/>
    <w:rsid w:val="005E06A6"/>
    <w:rsid w:val="005E113C"/>
    <w:rsid w:val="005E144A"/>
    <w:rsid w:val="005E22A2"/>
    <w:rsid w:val="005E2869"/>
    <w:rsid w:val="005E3491"/>
    <w:rsid w:val="005E3E02"/>
    <w:rsid w:val="005E5F06"/>
    <w:rsid w:val="005E7321"/>
    <w:rsid w:val="005E7CDB"/>
    <w:rsid w:val="005F03B8"/>
    <w:rsid w:val="005F0D01"/>
    <w:rsid w:val="005F1428"/>
    <w:rsid w:val="005F2DB3"/>
    <w:rsid w:val="005F3EDB"/>
    <w:rsid w:val="005F497A"/>
    <w:rsid w:val="005F49FE"/>
    <w:rsid w:val="005F4D83"/>
    <w:rsid w:val="005F5F9E"/>
    <w:rsid w:val="00601E88"/>
    <w:rsid w:val="00603139"/>
    <w:rsid w:val="00604201"/>
    <w:rsid w:val="00605791"/>
    <w:rsid w:val="0060772D"/>
    <w:rsid w:val="006077C3"/>
    <w:rsid w:val="006125DA"/>
    <w:rsid w:val="0061264E"/>
    <w:rsid w:val="00613431"/>
    <w:rsid w:val="00613929"/>
    <w:rsid w:val="00613BA1"/>
    <w:rsid w:val="00613D47"/>
    <w:rsid w:val="00613F2E"/>
    <w:rsid w:val="0061464E"/>
    <w:rsid w:val="00614D1A"/>
    <w:rsid w:val="0061680F"/>
    <w:rsid w:val="00616D1F"/>
    <w:rsid w:val="0061707D"/>
    <w:rsid w:val="006172D6"/>
    <w:rsid w:val="00617381"/>
    <w:rsid w:val="00621245"/>
    <w:rsid w:val="00621335"/>
    <w:rsid w:val="00623511"/>
    <w:rsid w:val="0062482E"/>
    <w:rsid w:val="00625D9F"/>
    <w:rsid w:val="0062612D"/>
    <w:rsid w:val="006268C3"/>
    <w:rsid w:val="00626908"/>
    <w:rsid w:val="00626FF7"/>
    <w:rsid w:val="00627068"/>
    <w:rsid w:val="006272F3"/>
    <w:rsid w:val="00627E74"/>
    <w:rsid w:val="006339BF"/>
    <w:rsid w:val="00634671"/>
    <w:rsid w:val="00634BF6"/>
    <w:rsid w:val="006358CD"/>
    <w:rsid w:val="00635D9A"/>
    <w:rsid w:val="00636530"/>
    <w:rsid w:val="006374B9"/>
    <w:rsid w:val="00637C3F"/>
    <w:rsid w:val="00640C92"/>
    <w:rsid w:val="00642121"/>
    <w:rsid w:val="00643873"/>
    <w:rsid w:val="00644049"/>
    <w:rsid w:val="00644A3B"/>
    <w:rsid w:val="00644B3E"/>
    <w:rsid w:val="0064622B"/>
    <w:rsid w:val="0064704D"/>
    <w:rsid w:val="00647555"/>
    <w:rsid w:val="0065076C"/>
    <w:rsid w:val="00650BB8"/>
    <w:rsid w:val="006534A3"/>
    <w:rsid w:val="00653AF3"/>
    <w:rsid w:val="006550CE"/>
    <w:rsid w:val="006566A6"/>
    <w:rsid w:val="0065673C"/>
    <w:rsid w:val="00656B98"/>
    <w:rsid w:val="0065789E"/>
    <w:rsid w:val="00660FF7"/>
    <w:rsid w:val="006625C8"/>
    <w:rsid w:val="00662BB4"/>
    <w:rsid w:val="00663165"/>
    <w:rsid w:val="00663C06"/>
    <w:rsid w:val="00663D41"/>
    <w:rsid w:val="006644B2"/>
    <w:rsid w:val="006648D4"/>
    <w:rsid w:val="00664C36"/>
    <w:rsid w:val="006650A5"/>
    <w:rsid w:val="006657B2"/>
    <w:rsid w:val="006721CC"/>
    <w:rsid w:val="006731A7"/>
    <w:rsid w:val="00673283"/>
    <w:rsid w:val="006733A1"/>
    <w:rsid w:val="006735E6"/>
    <w:rsid w:val="00674547"/>
    <w:rsid w:val="0067514B"/>
    <w:rsid w:val="00677C8D"/>
    <w:rsid w:val="00680927"/>
    <w:rsid w:val="00681B6D"/>
    <w:rsid w:val="00682B3C"/>
    <w:rsid w:val="006837C5"/>
    <w:rsid w:val="006852D2"/>
    <w:rsid w:val="00686120"/>
    <w:rsid w:val="006863DB"/>
    <w:rsid w:val="006867E6"/>
    <w:rsid w:val="00687088"/>
    <w:rsid w:val="00687B26"/>
    <w:rsid w:val="00687D3A"/>
    <w:rsid w:val="00690BD0"/>
    <w:rsid w:val="006914C8"/>
    <w:rsid w:val="00691973"/>
    <w:rsid w:val="006921B6"/>
    <w:rsid w:val="006955FD"/>
    <w:rsid w:val="00695674"/>
    <w:rsid w:val="006A1566"/>
    <w:rsid w:val="006A17FA"/>
    <w:rsid w:val="006A1ADD"/>
    <w:rsid w:val="006A3001"/>
    <w:rsid w:val="006A30DF"/>
    <w:rsid w:val="006A6505"/>
    <w:rsid w:val="006A65F8"/>
    <w:rsid w:val="006A69D4"/>
    <w:rsid w:val="006B0162"/>
    <w:rsid w:val="006B0EB5"/>
    <w:rsid w:val="006B1739"/>
    <w:rsid w:val="006B1B85"/>
    <w:rsid w:val="006B2171"/>
    <w:rsid w:val="006B444C"/>
    <w:rsid w:val="006B5EC5"/>
    <w:rsid w:val="006B734D"/>
    <w:rsid w:val="006B7E99"/>
    <w:rsid w:val="006C02C0"/>
    <w:rsid w:val="006C2AB7"/>
    <w:rsid w:val="006C2E4E"/>
    <w:rsid w:val="006C3FE4"/>
    <w:rsid w:val="006C4026"/>
    <w:rsid w:val="006C61CD"/>
    <w:rsid w:val="006C65D5"/>
    <w:rsid w:val="006C681C"/>
    <w:rsid w:val="006C7641"/>
    <w:rsid w:val="006D0246"/>
    <w:rsid w:val="006D41BF"/>
    <w:rsid w:val="006D6332"/>
    <w:rsid w:val="006D64DF"/>
    <w:rsid w:val="006D6D00"/>
    <w:rsid w:val="006D7827"/>
    <w:rsid w:val="006D7FE9"/>
    <w:rsid w:val="006E0E56"/>
    <w:rsid w:val="006E11DC"/>
    <w:rsid w:val="006E254F"/>
    <w:rsid w:val="006E25CC"/>
    <w:rsid w:val="006E2AE2"/>
    <w:rsid w:val="006E2BB0"/>
    <w:rsid w:val="006E316E"/>
    <w:rsid w:val="006E40BA"/>
    <w:rsid w:val="006E4238"/>
    <w:rsid w:val="006E51F2"/>
    <w:rsid w:val="006E66D5"/>
    <w:rsid w:val="006F615D"/>
    <w:rsid w:val="006F66C5"/>
    <w:rsid w:val="006F6C69"/>
    <w:rsid w:val="006F7DED"/>
    <w:rsid w:val="00700FCB"/>
    <w:rsid w:val="0070206E"/>
    <w:rsid w:val="007029A9"/>
    <w:rsid w:val="00703F22"/>
    <w:rsid w:val="00704C8D"/>
    <w:rsid w:val="00707118"/>
    <w:rsid w:val="007078EC"/>
    <w:rsid w:val="00710177"/>
    <w:rsid w:val="007106E8"/>
    <w:rsid w:val="00711E78"/>
    <w:rsid w:val="007129DE"/>
    <w:rsid w:val="007131A6"/>
    <w:rsid w:val="0071410D"/>
    <w:rsid w:val="007149D9"/>
    <w:rsid w:val="00714B15"/>
    <w:rsid w:val="00714FCC"/>
    <w:rsid w:val="00715890"/>
    <w:rsid w:val="00715958"/>
    <w:rsid w:val="00717DA4"/>
    <w:rsid w:val="00720313"/>
    <w:rsid w:val="00720562"/>
    <w:rsid w:val="007213A2"/>
    <w:rsid w:val="00721416"/>
    <w:rsid w:val="00721E32"/>
    <w:rsid w:val="00722001"/>
    <w:rsid w:val="007250AF"/>
    <w:rsid w:val="0072551B"/>
    <w:rsid w:val="007257A4"/>
    <w:rsid w:val="00726405"/>
    <w:rsid w:val="0072688E"/>
    <w:rsid w:val="00727142"/>
    <w:rsid w:val="00727726"/>
    <w:rsid w:val="00727AB3"/>
    <w:rsid w:val="00727DEA"/>
    <w:rsid w:val="00730705"/>
    <w:rsid w:val="00730E2A"/>
    <w:rsid w:val="00730F47"/>
    <w:rsid w:val="007328C8"/>
    <w:rsid w:val="00732982"/>
    <w:rsid w:val="00732997"/>
    <w:rsid w:val="00732D7C"/>
    <w:rsid w:val="00732EDE"/>
    <w:rsid w:val="00734D6F"/>
    <w:rsid w:val="007364C8"/>
    <w:rsid w:val="00736EFE"/>
    <w:rsid w:val="00737947"/>
    <w:rsid w:val="007408A5"/>
    <w:rsid w:val="0074153F"/>
    <w:rsid w:val="00741E9E"/>
    <w:rsid w:val="007423AB"/>
    <w:rsid w:val="007439DE"/>
    <w:rsid w:val="0074599F"/>
    <w:rsid w:val="00745CFB"/>
    <w:rsid w:val="0074664E"/>
    <w:rsid w:val="00746C87"/>
    <w:rsid w:val="00747552"/>
    <w:rsid w:val="00750471"/>
    <w:rsid w:val="00751D76"/>
    <w:rsid w:val="00752306"/>
    <w:rsid w:val="007527BD"/>
    <w:rsid w:val="00752D9C"/>
    <w:rsid w:val="00754BA3"/>
    <w:rsid w:val="00755775"/>
    <w:rsid w:val="00755DBE"/>
    <w:rsid w:val="007563BE"/>
    <w:rsid w:val="007607C4"/>
    <w:rsid w:val="00760A89"/>
    <w:rsid w:val="0076299E"/>
    <w:rsid w:val="00763274"/>
    <w:rsid w:val="007636B1"/>
    <w:rsid w:val="00763D98"/>
    <w:rsid w:val="007642B7"/>
    <w:rsid w:val="00766717"/>
    <w:rsid w:val="00766DF1"/>
    <w:rsid w:val="00766F68"/>
    <w:rsid w:val="00766FD5"/>
    <w:rsid w:val="0076730C"/>
    <w:rsid w:val="00771580"/>
    <w:rsid w:val="00773306"/>
    <w:rsid w:val="007743B9"/>
    <w:rsid w:val="0077529A"/>
    <w:rsid w:val="0077665F"/>
    <w:rsid w:val="00777BAA"/>
    <w:rsid w:val="00777D42"/>
    <w:rsid w:val="00780213"/>
    <w:rsid w:val="007803F5"/>
    <w:rsid w:val="00780466"/>
    <w:rsid w:val="007843A3"/>
    <w:rsid w:val="0078789E"/>
    <w:rsid w:val="007912F3"/>
    <w:rsid w:val="0079137F"/>
    <w:rsid w:val="00795F32"/>
    <w:rsid w:val="00796CAC"/>
    <w:rsid w:val="0079753C"/>
    <w:rsid w:val="007A0E6C"/>
    <w:rsid w:val="007A251A"/>
    <w:rsid w:val="007A6CBF"/>
    <w:rsid w:val="007A7573"/>
    <w:rsid w:val="007B287E"/>
    <w:rsid w:val="007B316C"/>
    <w:rsid w:val="007B3EBA"/>
    <w:rsid w:val="007B5191"/>
    <w:rsid w:val="007C0E35"/>
    <w:rsid w:val="007C0EEB"/>
    <w:rsid w:val="007C14C4"/>
    <w:rsid w:val="007C2090"/>
    <w:rsid w:val="007C2631"/>
    <w:rsid w:val="007C3083"/>
    <w:rsid w:val="007C58E5"/>
    <w:rsid w:val="007C5B91"/>
    <w:rsid w:val="007C6ABE"/>
    <w:rsid w:val="007C7197"/>
    <w:rsid w:val="007D1204"/>
    <w:rsid w:val="007D2D78"/>
    <w:rsid w:val="007D39EF"/>
    <w:rsid w:val="007D3EBB"/>
    <w:rsid w:val="007D3FEF"/>
    <w:rsid w:val="007D4E6A"/>
    <w:rsid w:val="007D4E87"/>
    <w:rsid w:val="007D56BF"/>
    <w:rsid w:val="007D56F1"/>
    <w:rsid w:val="007D5CCF"/>
    <w:rsid w:val="007D6367"/>
    <w:rsid w:val="007D7507"/>
    <w:rsid w:val="007D7BA3"/>
    <w:rsid w:val="007E02DA"/>
    <w:rsid w:val="007E0D64"/>
    <w:rsid w:val="007E41BA"/>
    <w:rsid w:val="007E44E4"/>
    <w:rsid w:val="007E4F85"/>
    <w:rsid w:val="007E6506"/>
    <w:rsid w:val="007E680C"/>
    <w:rsid w:val="007F2F85"/>
    <w:rsid w:val="007F34FC"/>
    <w:rsid w:val="007F4CD9"/>
    <w:rsid w:val="007F5AF7"/>
    <w:rsid w:val="007F6119"/>
    <w:rsid w:val="007F6C72"/>
    <w:rsid w:val="007F7AA6"/>
    <w:rsid w:val="008000E5"/>
    <w:rsid w:val="008004EF"/>
    <w:rsid w:val="0080109B"/>
    <w:rsid w:val="00802449"/>
    <w:rsid w:val="0080266B"/>
    <w:rsid w:val="00802C21"/>
    <w:rsid w:val="00802C2C"/>
    <w:rsid w:val="00802E8D"/>
    <w:rsid w:val="00803C50"/>
    <w:rsid w:val="00804965"/>
    <w:rsid w:val="00805578"/>
    <w:rsid w:val="0080676C"/>
    <w:rsid w:val="0080764B"/>
    <w:rsid w:val="0080780B"/>
    <w:rsid w:val="00810BDD"/>
    <w:rsid w:val="008115FF"/>
    <w:rsid w:val="00811DB5"/>
    <w:rsid w:val="00812676"/>
    <w:rsid w:val="00813226"/>
    <w:rsid w:val="00813E53"/>
    <w:rsid w:val="008157DE"/>
    <w:rsid w:val="00816FEB"/>
    <w:rsid w:val="0081700F"/>
    <w:rsid w:val="0081798F"/>
    <w:rsid w:val="00817F85"/>
    <w:rsid w:val="0082210E"/>
    <w:rsid w:val="0082255F"/>
    <w:rsid w:val="00822FCD"/>
    <w:rsid w:val="00823143"/>
    <w:rsid w:val="0082336D"/>
    <w:rsid w:val="00823E0E"/>
    <w:rsid w:val="00823F90"/>
    <w:rsid w:val="008243AC"/>
    <w:rsid w:val="008248B3"/>
    <w:rsid w:val="00824950"/>
    <w:rsid w:val="0082611E"/>
    <w:rsid w:val="0082765D"/>
    <w:rsid w:val="00827E79"/>
    <w:rsid w:val="0083245D"/>
    <w:rsid w:val="00832AF3"/>
    <w:rsid w:val="0083482B"/>
    <w:rsid w:val="00834A48"/>
    <w:rsid w:val="00834F5A"/>
    <w:rsid w:val="00835BAE"/>
    <w:rsid w:val="0083738C"/>
    <w:rsid w:val="008404CB"/>
    <w:rsid w:val="00841311"/>
    <w:rsid w:val="00841B16"/>
    <w:rsid w:val="0084301F"/>
    <w:rsid w:val="008449D7"/>
    <w:rsid w:val="00845D97"/>
    <w:rsid w:val="00847C9C"/>
    <w:rsid w:val="00850BEF"/>
    <w:rsid w:val="00853BC5"/>
    <w:rsid w:val="00854669"/>
    <w:rsid w:val="008576C9"/>
    <w:rsid w:val="00860F3A"/>
    <w:rsid w:val="00864AB5"/>
    <w:rsid w:val="00866454"/>
    <w:rsid w:val="00866A3A"/>
    <w:rsid w:val="00870693"/>
    <w:rsid w:val="00870DF7"/>
    <w:rsid w:val="0087109B"/>
    <w:rsid w:val="0087134A"/>
    <w:rsid w:val="00871774"/>
    <w:rsid w:val="008751B7"/>
    <w:rsid w:val="008770B8"/>
    <w:rsid w:val="008813F1"/>
    <w:rsid w:val="008816F2"/>
    <w:rsid w:val="008833A7"/>
    <w:rsid w:val="008834A1"/>
    <w:rsid w:val="008836A6"/>
    <w:rsid w:val="008864B2"/>
    <w:rsid w:val="008869B0"/>
    <w:rsid w:val="008870D8"/>
    <w:rsid w:val="008908B7"/>
    <w:rsid w:val="00892684"/>
    <w:rsid w:val="008969E5"/>
    <w:rsid w:val="008977A0"/>
    <w:rsid w:val="008A1344"/>
    <w:rsid w:val="008A1F6E"/>
    <w:rsid w:val="008A300E"/>
    <w:rsid w:val="008A3587"/>
    <w:rsid w:val="008A388F"/>
    <w:rsid w:val="008A39C1"/>
    <w:rsid w:val="008A3CAE"/>
    <w:rsid w:val="008A40A7"/>
    <w:rsid w:val="008A4412"/>
    <w:rsid w:val="008A596D"/>
    <w:rsid w:val="008A5C1C"/>
    <w:rsid w:val="008A7100"/>
    <w:rsid w:val="008A7120"/>
    <w:rsid w:val="008A76AB"/>
    <w:rsid w:val="008A7FE9"/>
    <w:rsid w:val="008B167A"/>
    <w:rsid w:val="008B1F8B"/>
    <w:rsid w:val="008B360C"/>
    <w:rsid w:val="008B37C1"/>
    <w:rsid w:val="008B4061"/>
    <w:rsid w:val="008B4442"/>
    <w:rsid w:val="008B543B"/>
    <w:rsid w:val="008B5485"/>
    <w:rsid w:val="008B7AEF"/>
    <w:rsid w:val="008B7D2E"/>
    <w:rsid w:val="008C0B3D"/>
    <w:rsid w:val="008C1610"/>
    <w:rsid w:val="008C18BA"/>
    <w:rsid w:val="008C35E1"/>
    <w:rsid w:val="008C464C"/>
    <w:rsid w:val="008C6147"/>
    <w:rsid w:val="008C6F41"/>
    <w:rsid w:val="008D0653"/>
    <w:rsid w:val="008D0ACC"/>
    <w:rsid w:val="008D114E"/>
    <w:rsid w:val="008D20CA"/>
    <w:rsid w:val="008D2B49"/>
    <w:rsid w:val="008D47DE"/>
    <w:rsid w:val="008D5EBE"/>
    <w:rsid w:val="008D6DB4"/>
    <w:rsid w:val="008E00F0"/>
    <w:rsid w:val="008E1B5E"/>
    <w:rsid w:val="008E26AF"/>
    <w:rsid w:val="008E2D16"/>
    <w:rsid w:val="008E3D00"/>
    <w:rsid w:val="008E3FAD"/>
    <w:rsid w:val="008E493F"/>
    <w:rsid w:val="008E4D85"/>
    <w:rsid w:val="008E5854"/>
    <w:rsid w:val="008E74AD"/>
    <w:rsid w:val="008E7562"/>
    <w:rsid w:val="008E7F5D"/>
    <w:rsid w:val="008F03B5"/>
    <w:rsid w:val="008F050D"/>
    <w:rsid w:val="008F1400"/>
    <w:rsid w:val="008F2005"/>
    <w:rsid w:val="008F25C7"/>
    <w:rsid w:val="008F31D4"/>
    <w:rsid w:val="008F4E9C"/>
    <w:rsid w:val="008F5AD0"/>
    <w:rsid w:val="00901F2D"/>
    <w:rsid w:val="00903499"/>
    <w:rsid w:val="00903731"/>
    <w:rsid w:val="00903C25"/>
    <w:rsid w:val="009054CE"/>
    <w:rsid w:val="00906514"/>
    <w:rsid w:val="00910BBF"/>
    <w:rsid w:val="009115BC"/>
    <w:rsid w:val="009121DC"/>
    <w:rsid w:val="00913B89"/>
    <w:rsid w:val="00913C0A"/>
    <w:rsid w:val="00913EA4"/>
    <w:rsid w:val="009151AA"/>
    <w:rsid w:val="009157D0"/>
    <w:rsid w:val="00916C3C"/>
    <w:rsid w:val="009206F1"/>
    <w:rsid w:val="0092085C"/>
    <w:rsid w:val="00920CF8"/>
    <w:rsid w:val="00920D16"/>
    <w:rsid w:val="00920E8D"/>
    <w:rsid w:val="009218D5"/>
    <w:rsid w:val="00921D63"/>
    <w:rsid w:val="0092212D"/>
    <w:rsid w:val="0092252C"/>
    <w:rsid w:val="0092283B"/>
    <w:rsid w:val="00922B3A"/>
    <w:rsid w:val="009230D8"/>
    <w:rsid w:val="009234E7"/>
    <w:rsid w:val="00923CFB"/>
    <w:rsid w:val="00923CFE"/>
    <w:rsid w:val="00924138"/>
    <w:rsid w:val="00924A93"/>
    <w:rsid w:val="00925862"/>
    <w:rsid w:val="00926BA1"/>
    <w:rsid w:val="00930428"/>
    <w:rsid w:val="00930EC6"/>
    <w:rsid w:val="009323E5"/>
    <w:rsid w:val="0093242E"/>
    <w:rsid w:val="00932B0D"/>
    <w:rsid w:val="00933181"/>
    <w:rsid w:val="00933B7F"/>
    <w:rsid w:val="009341DD"/>
    <w:rsid w:val="009353B2"/>
    <w:rsid w:val="00935858"/>
    <w:rsid w:val="009414DE"/>
    <w:rsid w:val="00941847"/>
    <w:rsid w:val="00941AA9"/>
    <w:rsid w:val="0094335F"/>
    <w:rsid w:val="00944E7E"/>
    <w:rsid w:val="00945473"/>
    <w:rsid w:val="009460B7"/>
    <w:rsid w:val="00946218"/>
    <w:rsid w:val="009467BD"/>
    <w:rsid w:val="00946EE0"/>
    <w:rsid w:val="00947E33"/>
    <w:rsid w:val="00950F16"/>
    <w:rsid w:val="00952307"/>
    <w:rsid w:val="009529E9"/>
    <w:rsid w:val="009533E5"/>
    <w:rsid w:val="0095612F"/>
    <w:rsid w:val="00956C0B"/>
    <w:rsid w:val="00956EA2"/>
    <w:rsid w:val="0095700E"/>
    <w:rsid w:val="009578CD"/>
    <w:rsid w:val="00960209"/>
    <w:rsid w:val="00960AB0"/>
    <w:rsid w:val="00961902"/>
    <w:rsid w:val="00961C01"/>
    <w:rsid w:val="00962658"/>
    <w:rsid w:val="00963948"/>
    <w:rsid w:val="00963AF4"/>
    <w:rsid w:val="00965638"/>
    <w:rsid w:val="00967528"/>
    <w:rsid w:val="00970EDB"/>
    <w:rsid w:val="00972CC9"/>
    <w:rsid w:val="00972F1D"/>
    <w:rsid w:val="009734EC"/>
    <w:rsid w:val="009772D3"/>
    <w:rsid w:val="009778C0"/>
    <w:rsid w:val="00977B05"/>
    <w:rsid w:val="00980AB1"/>
    <w:rsid w:val="009813F5"/>
    <w:rsid w:val="0098168D"/>
    <w:rsid w:val="0098215E"/>
    <w:rsid w:val="00984083"/>
    <w:rsid w:val="00984B38"/>
    <w:rsid w:val="00985349"/>
    <w:rsid w:val="009853A9"/>
    <w:rsid w:val="00986278"/>
    <w:rsid w:val="00986785"/>
    <w:rsid w:val="00986992"/>
    <w:rsid w:val="00987A9A"/>
    <w:rsid w:val="0099060C"/>
    <w:rsid w:val="00990B32"/>
    <w:rsid w:val="00991602"/>
    <w:rsid w:val="00991D29"/>
    <w:rsid w:val="009922C9"/>
    <w:rsid w:val="0099393C"/>
    <w:rsid w:val="00993B54"/>
    <w:rsid w:val="0099428B"/>
    <w:rsid w:val="0099430E"/>
    <w:rsid w:val="009948C1"/>
    <w:rsid w:val="00995A70"/>
    <w:rsid w:val="00997AC7"/>
    <w:rsid w:val="009A044E"/>
    <w:rsid w:val="009A08CA"/>
    <w:rsid w:val="009A1E90"/>
    <w:rsid w:val="009A28E9"/>
    <w:rsid w:val="009A2E77"/>
    <w:rsid w:val="009A3D21"/>
    <w:rsid w:val="009A5200"/>
    <w:rsid w:val="009A56FC"/>
    <w:rsid w:val="009A5852"/>
    <w:rsid w:val="009A698D"/>
    <w:rsid w:val="009A6AA2"/>
    <w:rsid w:val="009B00D0"/>
    <w:rsid w:val="009B015D"/>
    <w:rsid w:val="009B0248"/>
    <w:rsid w:val="009B0675"/>
    <w:rsid w:val="009B06F3"/>
    <w:rsid w:val="009B07F4"/>
    <w:rsid w:val="009B105C"/>
    <w:rsid w:val="009B1191"/>
    <w:rsid w:val="009B20A4"/>
    <w:rsid w:val="009B34F7"/>
    <w:rsid w:val="009B42ED"/>
    <w:rsid w:val="009B4ECC"/>
    <w:rsid w:val="009B59AA"/>
    <w:rsid w:val="009B7361"/>
    <w:rsid w:val="009B75F2"/>
    <w:rsid w:val="009B7800"/>
    <w:rsid w:val="009C2AA3"/>
    <w:rsid w:val="009C410D"/>
    <w:rsid w:val="009C4684"/>
    <w:rsid w:val="009C4E0C"/>
    <w:rsid w:val="009C64ED"/>
    <w:rsid w:val="009C6600"/>
    <w:rsid w:val="009C6A27"/>
    <w:rsid w:val="009D0413"/>
    <w:rsid w:val="009D082A"/>
    <w:rsid w:val="009D159C"/>
    <w:rsid w:val="009D1711"/>
    <w:rsid w:val="009D1D4A"/>
    <w:rsid w:val="009D53E4"/>
    <w:rsid w:val="009D6009"/>
    <w:rsid w:val="009D6BCB"/>
    <w:rsid w:val="009D7343"/>
    <w:rsid w:val="009D73ED"/>
    <w:rsid w:val="009D786C"/>
    <w:rsid w:val="009E4956"/>
    <w:rsid w:val="009E49DF"/>
    <w:rsid w:val="009E4C14"/>
    <w:rsid w:val="009E61FD"/>
    <w:rsid w:val="009E731A"/>
    <w:rsid w:val="009E7AEF"/>
    <w:rsid w:val="009F01D0"/>
    <w:rsid w:val="009F2B99"/>
    <w:rsid w:val="009F2F4A"/>
    <w:rsid w:val="009F4985"/>
    <w:rsid w:val="009F4BE8"/>
    <w:rsid w:val="009F5BD1"/>
    <w:rsid w:val="009F5F60"/>
    <w:rsid w:val="00A00618"/>
    <w:rsid w:val="00A01FC3"/>
    <w:rsid w:val="00A0314D"/>
    <w:rsid w:val="00A03184"/>
    <w:rsid w:val="00A032E8"/>
    <w:rsid w:val="00A035F8"/>
    <w:rsid w:val="00A03BC4"/>
    <w:rsid w:val="00A03F6D"/>
    <w:rsid w:val="00A041C8"/>
    <w:rsid w:val="00A044C8"/>
    <w:rsid w:val="00A04D64"/>
    <w:rsid w:val="00A0583E"/>
    <w:rsid w:val="00A064C0"/>
    <w:rsid w:val="00A075E0"/>
    <w:rsid w:val="00A07BFB"/>
    <w:rsid w:val="00A120FA"/>
    <w:rsid w:val="00A123F4"/>
    <w:rsid w:val="00A1327B"/>
    <w:rsid w:val="00A1393D"/>
    <w:rsid w:val="00A149CF"/>
    <w:rsid w:val="00A14EAE"/>
    <w:rsid w:val="00A155F6"/>
    <w:rsid w:val="00A157F4"/>
    <w:rsid w:val="00A15BBF"/>
    <w:rsid w:val="00A16A2C"/>
    <w:rsid w:val="00A1769B"/>
    <w:rsid w:val="00A1786A"/>
    <w:rsid w:val="00A1789D"/>
    <w:rsid w:val="00A20833"/>
    <w:rsid w:val="00A2122A"/>
    <w:rsid w:val="00A219F0"/>
    <w:rsid w:val="00A21D4E"/>
    <w:rsid w:val="00A220D8"/>
    <w:rsid w:val="00A231A4"/>
    <w:rsid w:val="00A23AE4"/>
    <w:rsid w:val="00A23F59"/>
    <w:rsid w:val="00A241E8"/>
    <w:rsid w:val="00A246BE"/>
    <w:rsid w:val="00A24F68"/>
    <w:rsid w:val="00A24FC3"/>
    <w:rsid w:val="00A27141"/>
    <w:rsid w:val="00A27757"/>
    <w:rsid w:val="00A30604"/>
    <w:rsid w:val="00A314D4"/>
    <w:rsid w:val="00A331A3"/>
    <w:rsid w:val="00A33250"/>
    <w:rsid w:val="00A3498B"/>
    <w:rsid w:val="00A3585E"/>
    <w:rsid w:val="00A366F3"/>
    <w:rsid w:val="00A373E6"/>
    <w:rsid w:val="00A37BE6"/>
    <w:rsid w:val="00A4305C"/>
    <w:rsid w:val="00A4332F"/>
    <w:rsid w:val="00A4403E"/>
    <w:rsid w:val="00A4434E"/>
    <w:rsid w:val="00A448AE"/>
    <w:rsid w:val="00A45F0F"/>
    <w:rsid w:val="00A47087"/>
    <w:rsid w:val="00A477D6"/>
    <w:rsid w:val="00A51D4D"/>
    <w:rsid w:val="00A52AA4"/>
    <w:rsid w:val="00A55A11"/>
    <w:rsid w:val="00A56DC9"/>
    <w:rsid w:val="00A60839"/>
    <w:rsid w:val="00A60864"/>
    <w:rsid w:val="00A6179E"/>
    <w:rsid w:val="00A61EDF"/>
    <w:rsid w:val="00A62CEE"/>
    <w:rsid w:val="00A62EB1"/>
    <w:rsid w:val="00A63702"/>
    <w:rsid w:val="00A64BC9"/>
    <w:rsid w:val="00A67589"/>
    <w:rsid w:val="00A708CF"/>
    <w:rsid w:val="00A709CE"/>
    <w:rsid w:val="00A71F50"/>
    <w:rsid w:val="00A73068"/>
    <w:rsid w:val="00A7445B"/>
    <w:rsid w:val="00A755AD"/>
    <w:rsid w:val="00A75C3C"/>
    <w:rsid w:val="00A75D19"/>
    <w:rsid w:val="00A7603B"/>
    <w:rsid w:val="00A760A3"/>
    <w:rsid w:val="00A77CD6"/>
    <w:rsid w:val="00A81C14"/>
    <w:rsid w:val="00A82624"/>
    <w:rsid w:val="00A8274D"/>
    <w:rsid w:val="00A830F1"/>
    <w:rsid w:val="00A834B3"/>
    <w:rsid w:val="00A83EBD"/>
    <w:rsid w:val="00A84BF3"/>
    <w:rsid w:val="00A86AA5"/>
    <w:rsid w:val="00A90C08"/>
    <w:rsid w:val="00A91848"/>
    <w:rsid w:val="00A91D85"/>
    <w:rsid w:val="00A9263A"/>
    <w:rsid w:val="00A92967"/>
    <w:rsid w:val="00A93899"/>
    <w:rsid w:val="00A938BB"/>
    <w:rsid w:val="00A93ECE"/>
    <w:rsid w:val="00A93F38"/>
    <w:rsid w:val="00A9421C"/>
    <w:rsid w:val="00A94909"/>
    <w:rsid w:val="00A96E4F"/>
    <w:rsid w:val="00AA0DCE"/>
    <w:rsid w:val="00AA0E61"/>
    <w:rsid w:val="00AA10C2"/>
    <w:rsid w:val="00AA19B6"/>
    <w:rsid w:val="00AA2FF7"/>
    <w:rsid w:val="00AA51B7"/>
    <w:rsid w:val="00AA76C4"/>
    <w:rsid w:val="00AB0D0E"/>
    <w:rsid w:val="00AB109C"/>
    <w:rsid w:val="00AB1122"/>
    <w:rsid w:val="00AB223C"/>
    <w:rsid w:val="00AB2306"/>
    <w:rsid w:val="00AB3A2B"/>
    <w:rsid w:val="00AB3B36"/>
    <w:rsid w:val="00AB445D"/>
    <w:rsid w:val="00AB6CF8"/>
    <w:rsid w:val="00AB7D6D"/>
    <w:rsid w:val="00AC10B3"/>
    <w:rsid w:val="00AC3328"/>
    <w:rsid w:val="00AC3BC7"/>
    <w:rsid w:val="00AC5C02"/>
    <w:rsid w:val="00AC6811"/>
    <w:rsid w:val="00AD06E8"/>
    <w:rsid w:val="00AD0C11"/>
    <w:rsid w:val="00AD0D97"/>
    <w:rsid w:val="00AD259E"/>
    <w:rsid w:val="00AD3331"/>
    <w:rsid w:val="00AD4D7E"/>
    <w:rsid w:val="00AD62CD"/>
    <w:rsid w:val="00AE053E"/>
    <w:rsid w:val="00AE2C2C"/>
    <w:rsid w:val="00AE34B0"/>
    <w:rsid w:val="00AE374D"/>
    <w:rsid w:val="00AE38E5"/>
    <w:rsid w:val="00AE3BAD"/>
    <w:rsid w:val="00AE5189"/>
    <w:rsid w:val="00AE5922"/>
    <w:rsid w:val="00AE6156"/>
    <w:rsid w:val="00AE6974"/>
    <w:rsid w:val="00AE6F0E"/>
    <w:rsid w:val="00AE7259"/>
    <w:rsid w:val="00AF0FBB"/>
    <w:rsid w:val="00AF276E"/>
    <w:rsid w:val="00AF311A"/>
    <w:rsid w:val="00AF448B"/>
    <w:rsid w:val="00AF4831"/>
    <w:rsid w:val="00AF50E8"/>
    <w:rsid w:val="00AF5234"/>
    <w:rsid w:val="00AF573F"/>
    <w:rsid w:val="00AF59E6"/>
    <w:rsid w:val="00AF5CD3"/>
    <w:rsid w:val="00AF63F2"/>
    <w:rsid w:val="00B00332"/>
    <w:rsid w:val="00B0039C"/>
    <w:rsid w:val="00B01737"/>
    <w:rsid w:val="00B0213A"/>
    <w:rsid w:val="00B031E1"/>
    <w:rsid w:val="00B039B7"/>
    <w:rsid w:val="00B03E80"/>
    <w:rsid w:val="00B061B6"/>
    <w:rsid w:val="00B07993"/>
    <w:rsid w:val="00B07F57"/>
    <w:rsid w:val="00B10393"/>
    <w:rsid w:val="00B111AE"/>
    <w:rsid w:val="00B11225"/>
    <w:rsid w:val="00B112CC"/>
    <w:rsid w:val="00B11890"/>
    <w:rsid w:val="00B1189F"/>
    <w:rsid w:val="00B11A9F"/>
    <w:rsid w:val="00B17BC2"/>
    <w:rsid w:val="00B2004B"/>
    <w:rsid w:val="00B20263"/>
    <w:rsid w:val="00B23782"/>
    <w:rsid w:val="00B23A68"/>
    <w:rsid w:val="00B24E90"/>
    <w:rsid w:val="00B2567D"/>
    <w:rsid w:val="00B26F5F"/>
    <w:rsid w:val="00B271C0"/>
    <w:rsid w:val="00B27FB6"/>
    <w:rsid w:val="00B301CF"/>
    <w:rsid w:val="00B320C2"/>
    <w:rsid w:val="00B3250A"/>
    <w:rsid w:val="00B33942"/>
    <w:rsid w:val="00B36588"/>
    <w:rsid w:val="00B403F0"/>
    <w:rsid w:val="00B40924"/>
    <w:rsid w:val="00B40D2C"/>
    <w:rsid w:val="00B41071"/>
    <w:rsid w:val="00B4134A"/>
    <w:rsid w:val="00B413F2"/>
    <w:rsid w:val="00B4218E"/>
    <w:rsid w:val="00B42352"/>
    <w:rsid w:val="00B45E7D"/>
    <w:rsid w:val="00B46B37"/>
    <w:rsid w:val="00B4769F"/>
    <w:rsid w:val="00B502C9"/>
    <w:rsid w:val="00B5099B"/>
    <w:rsid w:val="00B510E5"/>
    <w:rsid w:val="00B530B1"/>
    <w:rsid w:val="00B540AF"/>
    <w:rsid w:val="00B55A6A"/>
    <w:rsid w:val="00B55CD5"/>
    <w:rsid w:val="00B56ECB"/>
    <w:rsid w:val="00B604B0"/>
    <w:rsid w:val="00B61884"/>
    <w:rsid w:val="00B61BDD"/>
    <w:rsid w:val="00B61DD6"/>
    <w:rsid w:val="00B6329C"/>
    <w:rsid w:val="00B632E7"/>
    <w:rsid w:val="00B64B14"/>
    <w:rsid w:val="00B64FD8"/>
    <w:rsid w:val="00B666B9"/>
    <w:rsid w:val="00B70BAF"/>
    <w:rsid w:val="00B719F6"/>
    <w:rsid w:val="00B72A43"/>
    <w:rsid w:val="00B72A5B"/>
    <w:rsid w:val="00B7475B"/>
    <w:rsid w:val="00B76BE7"/>
    <w:rsid w:val="00B76CDF"/>
    <w:rsid w:val="00B806F8"/>
    <w:rsid w:val="00B80A47"/>
    <w:rsid w:val="00B80F0E"/>
    <w:rsid w:val="00B80F79"/>
    <w:rsid w:val="00B81B1E"/>
    <w:rsid w:val="00B8243F"/>
    <w:rsid w:val="00B8385A"/>
    <w:rsid w:val="00B84A5E"/>
    <w:rsid w:val="00B85ADB"/>
    <w:rsid w:val="00B86886"/>
    <w:rsid w:val="00B86E65"/>
    <w:rsid w:val="00B86F9E"/>
    <w:rsid w:val="00B871AB"/>
    <w:rsid w:val="00B87941"/>
    <w:rsid w:val="00B91E16"/>
    <w:rsid w:val="00B920F8"/>
    <w:rsid w:val="00B93B04"/>
    <w:rsid w:val="00B93E0E"/>
    <w:rsid w:val="00B94135"/>
    <w:rsid w:val="00B96292"/>
    <w:rsid w:val="00BA018A"/>
    <w:rsid w:val="00BA1C5B"/>
    <w:rsid w:val="00BA1CAD"/>
    <w:rsid w:val="00BA291C"/>
    <w:rsid w:val="00BA3953"/>
    <w:rsid w:val="00BA5185"/>
    <w:rsid w:val="00BA530C"/>
    <w:rsid w:val="00BA7E6A"/>
    <w:rsid w:val="00BB0AA2"/>
    <w:rsid w:val="00BB1B19"/>
    <w:rsid w:val="00BB2104"/>
    <w:rsid w:val="00BB2C8B"/>
    <w:rsid w:val="00BB3D13"/>
    <w:rsid w:val="00BB5251"/>
    <w:rsid w:val="00BB5694"/>
    <w:rsid w:val="00BB64CE"/>
    <w:rsid w:val="00BB675F"/>
    <w:rsid w:val="00BB6857"/>
    <w:rsid w:val="00BB7659"/>
    <w:rsid w:val="00BB7FF0"/>
    <w:rsid w:val="00BC155A"/>
    <w:rsid w:val="00BC1BDA"/>
    <w:rsid w:val="00BC1CD7"/>
    <w:rsid w:val="00BC294C"/>
    <w:rsid w:val="00BC3467"/>
    <w:rsid w:val="00BC3E56"/>
    <w:rsid w:val="00BC46A0"/>
    <w:rsid w:val="00BC475A"/>
    <w:rsid w:val="00BC5700"/>
    <w:rsid w:val="00BC5777"/>
    <w:rsid w:val="00BC6BB4"/>
    <w:rsid w:val="00BC6BF6"/>
    <w:rsid w:val="00BD079E"/>
    <w:rsid w:val="00BD0C79"/>
    <w:rsid w:val="00BD1CAA"/>
    <w:rsid w:val="00BD45FC"/>
    <w:rsid w:val="00BD498D"/>
    <w:rsid w:val="00BD6A0F"/>
    <w:rsid w:val="00BD6DF6"/>
    <w:rsid w:val="00BD7373"/>
    <w:rsid w:val="00BD73CC"/>
    <w:rsid w:val="00BD7A97"/>
    <w:rsid w:val="00BE1055"/>
    <w:rsid w:val="00BE1FF6"/>
    <w:rsid w:val="00BE31E2"/>
    <w:rsid w:val="00BE4094"/>
    <w:rsid w:val="00BE4FAE"/>
    <w:rsid w:val="00BE7956"/>
    <w:rsid w:val="00BE7CE1"/>
    <w:rsid w:val="00BE7D32"/>
    <w:rsid w:val="00BF0181"/>
    <w:rsid w:val="00BF2020"/>
    <w:rsid w:val="00BF325C"/>
    <w:rsid w:val="00BF3A4A"/>
    <w:rsid w:val="00BF4663"/>
    <w:rsid w:val="00BF49EA"/>
    <w:rsid w:val="00BF5DFB"/>
    <w:rsid w:val="00C03B73"/>
    <w:rsid w:val="00C048C1"/>
    <w:rsid w:val="00C04B01"/>
    <w:rsid w:val="00C04F7C"/>
    <w:rsid w:val="00C05C62"/>
    <w:rsid w:val="00C05D9C"/>
    <w:rsid w:val="00C0668D"/>
    <w:rsid w:val="00C07617"/>
    <w:rsid w:val="00C07C7C"/>
    <w:rsid w:val="00C11C3D"/>
    <w:rsid w:val="00C122B0"/>
    <w:rsid w:val="00C1248D"/>
    <w:rsid w:val="00C12721"/>
    <w:rsid w:val="00C1282A"/>
    <w:rsid w:val="00C134C6"/>
    <w:rsid w:val="00C144DD"/>
    <w:rsid w:val="00C14A3F"/>
    <w:rsid w:val="00C153E1"/>
    <w:rsid w:val="00C1657E"/>
    <w:rsid w:val="00C17BD5"/>
    <w:rsid w:val="00C17CC7"/>
    <w:rsid w:val="00C20944"/>
    <w:rsid w:val="00C20C3E"/>
    <w:rsid w:val="00C20F09"/>
    <w:rsid w:val="00C20F27"/>
    <w:rsid w:val="00C216AD"/>
    <w:rsid w:val="00C21FA1"/>
    <w:rsid w:val="00C2468A"/>
    <w:rsid w:val="00C24E19"/>
    <w:rsid w:val="00C2677A"/>
    <w:rsid w:val="00C26ADD"/>
    <w:rsid w:val="00C26D03"/>
    <w:rsid w:val="00C279F5"/>
    <w:rsid w:val="00C30A66"/>
    <w:rsid w:val="00C3217B"/>
    <w:rsid w:val="00C325AB"/>
    <w:rsid w:val="00C34015"/>
    <w:rsid w:val="00C35737"/>
    <w:rsid w:val="00C36D6E"/>
    <w:rsid w:val="00C3734C"/>
    <w:rsid w:val="00C37CC2"/>
    <w:rsid w:val="00C40DA2"/>
    <w:rsid w:val="00C415A9"/>
    <w:rsid w:val="00C428AB"/>
    <w:rsid w:val="00C4660E"/>
    <w:rsid w:val="00C50F9C"/>
    <w:rsid w:val="00C519F7"/>
    <w:rsid w:val="00C54DF2"/>
    <w:rsid w:val="00C55EB8"/>
    <w:rsid w:val="00C56831"/>
    <w:rsid w:val="00C57BB7"/>
    <w:rsid w:val="00C61727"/>
    <w:rsid w:val="00C61F6D"/>
    <w:rsid w:val="00C6235F"/>
    <w:rsid w:val="00C6478C"/>
    <w:rsid w:val="00C655FE"/>
    <w:rsid w:val="00C65768"/>
    <w:rsid w:val="00C65CAA"/>
    <w:rsid w:val="00C66768"/>
    <w:rsid w:val="00C70117"/>
    <w:rsid w:val="00C71AEE"/>
    <w:rsid w:val="00C729D2"/>
    <w:rsid w:val="00C74689"/>
    <w:rsid w:val="00C746F4"/>
    <w:rsid w:val="00C748AE"/>
    <w:rsid w:val="00C74D1F"/>
    <w:rsid w:val="00C75AF8"/>
    <w:rsid w:val="00C76CA6"/>
    <w:rsid w:val="00C80285"/>
    <w:rsid w:val="00C828EB"/>
    <w:rsid w:val="00C83196"/>
    <w:rsid w:val="00C83820"/>
    <w:rsid w:val="00C84B0E"/>
    <w:rsid w:val="00C84DA6"/>
    <w:rsid w:val="00C84E98"/>
    <w:rsid w:val="00C85CC1"/>
    <w:rsid w:val="00C8653F"/>
    <w:rsid w:val="00C867D6"/>
    <w:rsid w:val="00C86E71"/>
    <w:rsid w:val="00C87075"/>
    <w:rsid w:val="00C902DB"/>
    <w:rsid w:val="00C90A73"/>
    <w:rsid w:val="00C92812"/>
    <w:rsid w:val="00C940E1"/>
    <w:rsid w:val="00C94BEE"/>
    <w:rsid w:val="00C97163"/>
    <w:rsid w:val="00C97522"/>
    <w:rsid w:val="00CA12D7"/>
    <w:rsid w:val="00CA279C"/>
    <w:rsid w:val="00CA30B4"/>
    <w:rsid w:val="00CA336A"/>
    <w:rsid w:val="00CA3DC9"/>
    <w:rsid w:val="00CA530A"/>
    <w:rsid w:val="00CA56A2"/>
    <w:rsid w:val="00CA5D4F"/>
    <w:rsid w:val="00CA6003"/>
    <w:rsid w:val="00CA6CA4"/>
    <w:rsid w:val="00CB1CEA"/>
    <w:rsid w:val="00CB3116"/>
    <w:rsid w:val="00CB3607"/>
    <w:rsid w:val="00CB391E"/>
    <w:rsid w:val="00CB5D82"/>
    <w:rsid w:val="00CB5F91"/>
    <w:rsid w:val="00CB68B1"/>
    <w:rsid w:val="00CB7E2D"/>
    <w:rsid w:val="00CC09D0"/>
    <w:rsid w:val="00CC137F"/>
    <w:rsid w:val="00CC319F"/>
    <w:rsid w:val="00CC423F"/>
    <w:rsid w:val="00CC4855"/>
    <w:rsid w:val="00CC4B2F"/>
    <w:rsid w:val="00CC4E09"/>
    <w:rsid w:val="00CC5F1A"/>
    <w:rsid w:val="00CC5FB9"/>
    <w:rsid w:val="00CC79FF"/>
    <w:rsid w:val="00CD0EC8"/>
    <w:rsid w:val="00CD1550"/>
    <w:rsid w:val="00CD2374"/>
    <w:rsid w:val="00CD48A8"/>
    <w:rsid w:val="00CD4EFC"/>
    <w:rsid w:val="00CD50F7"/>
    <w:rsid w:val="00CD5192"/>
    <w:rsid w:val="00CD56EC"/>
    <w:rsid w:val="00CD5C9B"/>
    <w:rsid w:val="00CD7A04"/>
    <w:rsid w:val="00CE0236"/>
    <w:rsid w:val="00CE43B3"/>
    <w:rsid w:val="00CE6B6D"/>
    <w:rsid w:val="00CE6C43"/>
    <w:rsid w:val="00CE789C"/>
    <w:rsid w:val="00CF08E0"/>
    <w:rsid w:val="00CF206C"/>
    <w:rsid w:val="00CF288F"/>
    <w:rsid w:val="00CF367D"/>
    <w:rsid w:val="00CF449E"/>
    <w:rsid w:val="00CF4E10"/>
    <w:rsid w:val="00CF595B"/>
    <w:rsid w:val="00CF62EB"/>
    <w:rsid w:val="00CF680F"/>
    <w:rsid w:val="00CF6EC0"/>
    <w:rsid w:val="00CF7143"/>
    <w:rsid w:val="00D006EC"/>
    <w:rsid w:val="00D008E8"/>
    <w:rsid w:val="00D01E8D"/>
    <w:rsid w:val="00D04DC8"/>
    <w:rsid w:val="00D07347"/>
    <w:rsid w:val="00D07AA7"/>
    <w:rsid w:val="00D1040E"/>
    <w:rsid w:val="00D110A5"/>
    <w:rsid w:val="00D11152"/>
    <w:rsid w:val="00D137AE"/>
    <w:rsid w:val="00D13CC1"/>
    <w:rsid w:val="00D14F81"/>
    <w:rsid w:val="00D163BA"/>
    <w:rsid w:val="00D164B6"/>
    <w:rsid w:val="00D164EB"/>
    <w:rsid w:val="00D17340"/>
    <w:rsid w:val="00D175D4"/>
    <w:rsid w:val="00D20F0D"/>
    <w:rsid w:val="00D22D0C"/>
    <w:rsid w:val="00D23B7E"/>
    <w:rsid w:val="00D256C7"/>
    <w:rsid w:val="00D26484"/>
    <w:rsid w:val="00D27357"/>
    <w:rsid w:val="00D32210"/>
    <w:rsid w:val="00D32FDB"/>
    <w:rsid w:val="00D33821"/>
    <w:rsid w:val="00D3447D"/>
    <w:rsid w:val="00D35ACA"/>
    <w:rsid w:val="00D35D3A"/>
    <w:rsid w:val="00D36540"/>
    <w:rsid w:val="00D448AB"/>
    <w:rsid w:val="00D45687"/>
    <w:rsid w:val="00D522A1"/>
    <w:rsid w:val="00D53F1C"/>
    <w:rsid w:val="00D5449F"/>
    <w:rsid w:val="00D5465E"/>
    <w:rsid w:val="00D54867"/>
    <w:rsid w:val="00D54966"/>
    <w:rsid w:val="00D55068"/>
    <w:rsid w:val="00D562E0"/>
    <w:rsid w:val="00D56496"/>
    <w:rsid w:val="00D565E0"/>
    <w:rsid w:val="00D56631"/>
    <w:rsid w:val="00D57CF5"/>
    <w:rsid w:val="00D6094C"/>
    <w:rsid w:val="00D60B6B"/>
    <w:rsid w:val="00D61556"/>
    <w:rsid w:val="00D61F1E"/>
    <w:rsid w:val="00D64718"/>
    <w:rsid w:val="00D64D33"/>
    <w:rsid w:val="00D65597"/>
    <w:rsid w:val="00D65DF6"/>
    <w:rsid w:val="00D6697F"/>
    <w:rsid w:val="00D66F09"/>
    <w:rsid w:val="00D67256"/>
    <w:rsid w:val="00D672AF"/>
    <w:rsid w:val="00D67963"/>
    <w:rsid w:val="00D67D0F"/>
    <w:rsid w:val="00D67E70"/>
    <w:rsid w:val="00D70003"/>
    <w:rsid w:val="00D70A15"/>
    <w:rsid w:val="00D70E69"/>
    <w:rsid w:val="00D70F5B"/>
    <w:rsid w:val="00D7204D"/>
    <w:rsid w:val="00D72DE4"/>
    <w:rsid w:val="00D73D65"/>
    <w:rsid w:val="00D7505B"/>
    <w:rsid w:val="00D76249"/>
    <w:rsid w:val="00D76BD2"/>
    <w:rsid w:val="00D774AC"/>
    <w:rsid w:val="00D776EA"/>
    <w:rsid w:val="00D80AF9"/>
    <w:rsid w:val="00D80FA3"/>
    <w:rsid w:val="00D81C9C"/>
    <w:rsid w:val="00D82CE9"/>
    <w:rsid w:val="00D83D85"/>
    <w:rsid w:val="00D842C4"/>
    <w:rsid w:val="00D863E3"/>
    <w:rsid w:val="00D86450"/>
    <w:rsid w:val="00D8687F"/>
    <w:rsid w:val="00D87236"/>
    <w:rsid w:val="00D90131"/>
    <w:rsid w:val="00D90659"/>
    <w:rsid w:val="00D91123"/>
    <w:rsid w:val="00D91761"/>
    <w:rsid w:val="00D92C62"/>
    <w:rsid w:val="00D93EB5"/>
    <w:rsid w:val="00D9458C"/>
    <w:rsid w:val="00D94782"/>
    <w:rsid w:val="00D959BE"/>
    <w:rsid w:val="00D95EA1"/>
    <w:rsid w:val="00DA00F5"/>
    <w:rsid w:val="00DA1611"/>
    <w:rsid w:val="00DA1D39"/>
    <w:rsid w:val="00DA2F54"/>
    <w:rsid w:val="00DA3666"/>
    <w:rsid w:val="00DA3CA9"/>
    <w:rsid w:val="00DA4286"/>
    <w:rsid w:val="00DA576E"/>
    <w:rsid w:val="00DA5F78"/>
    <w:rsid w:val="00DA6A67"/>
    <w:rsid w:val="00DA75AA"/>
    <w:rsid w:val="00DA7824"/>
    <w:rsid w:val="00DA7D8E"/>
    <w:rsid w:val="00DB0643"/>
    <w:rsid w:val="00DB0F2C"/>
    <w:rsid w:val="00DB1B2F"/>
    <w:rsid w:val="00DB28CD"/>
    <w:rsid w:val="00DB32BF"/>
    <w:rsid w:val="00DB5092"/>
    <w:rsid w:val="00DB58E2"/>
    <w:rsid w:val="00DB5BC2"/>
    <w:rsid w:val="00DC0B0C"/>
    <w:rsid w:val="00DC1DCC"/>
    <w:rsid w:val="00DC27D5"/>
    <w:rsid w:val="00DC372B"/>
    <w:rsid w:val="00DC3B81"/>
    <w:rsid w:val="00DC4268"/>
    <w:rsid w:val="00DC5F7B"/>
    <w:rsid w:val="00DC66F6"/>
    <w:rsid w:val="00DC66FE"/>
    <w:rsid w:val="00DC6A13"/>
    <w:rsid w:val="00DC7264"/>
    <w:rsid w:val="00DC7AA8"/>
    <w:rsid w:val="00DC7B26"/>
    <w:rsid w:val="00DC7E5D"/>
    <w:rsid w:val="00DD1515"/>
    <w:rsid w:val="00DD1729"/>
    <w:rsid w:val="00DD215D"/>
    <w:rsid w:val="00DD227D"/>
    <w:rsid w:val="00DD3F79"/>
    <w:rsid w:val="00DD3FBE"/>
    <w:rsid w:val="00DD4857"/>
    <w:rsid w:val="00DD5696"/>
    <w:rsid w:val="00DD6066"/>
    <w:rsid w:val="00DD6E86"/>
    <w:rsid w:val="00DD7B28"/>
    <w:rsid w:val="00DD7DF6"/>
    <w:rsid w:val="00DE11C8"/>
    <w:rsid w:val="00DE24E9"/>
    <w:rsid w:val="00DE2A85"/>
    <w:rsid w:val="00DE3C49"/>
    <w:rsid w:val="00DE437D"/>
    <w:rsid w:val="00DE51E5"/>
    <w:rsid w:val="00DE683C"/>
    <w:rsid w:val="00DE7C99"/>
    <w:rsid w:val="00DE7CBA"/>
    <w:rsid w:val="00DF19C0"/>
    <w:rsid w:val="00DF3346"/>
    <w:rsid w:val="00DF38F8"/>
    <w:rsid w:val="00DF42EB"/>
    <w:rsid w:val="00DF4B52"/>
    <w:rsid w:val="00DF4BA3"/>
    <w:rsid w:val="00DF4D70"/>
    <w:rsid w:val="00DF4F56"/>
    <w:rsid w:val="00DF6459"/>
    <w:rsid w:val="00DF6DA2"/>
    <w:rsid w:val="00E000EF"/>
    <w:rsid w:val="00E00591"/>
    <w:rsid w:val="00E007AE"/>
    <w:rsid w:val="00E00B6B"/>
    <w:rsid w:val="00E00E89"/>
    <w:rsid w:val="00E02973"/>
    <w:rsid w:val="00E0655F"/>
    <w:rsid w:val="00E06DDB"/>
    <w:rsid w:val="00E0745F"/>
    <w:rsid w:val="00E0759E"/>
    <w:rsid w:val="00E12351"/>
    <w:rsid w:val="00E1385D"/>
    <w:rsid w:val="00E14DD6"/>
    <w:rsid w:val="00E14EFF"/>
    <w:rsid w:val="00E156C4"/>
    <w:rsid w:val="00E16709"/>
    <w:rsid w:val="00E1688E"/>
    <w:rsid w:val="00E16CD1"/>
    <w:rsid w:val="00E21064"/>
    <w:rsid w:val="00E2170D"/>
    <w:rsid w:val="00E2229F"/>
    <w:rsid w:val="00E224B5"/>
    <w:rsid w:val="00E228EC"/>
    <w:rsid w:val="00E23B3B"/>
    <w:rsid w:val="00E24079"/>
    <w:rsid w:val="00E24C7F"/>
    <w:rsid w:val="00E25F05"/>
    <w:rsid w:val="00E26913"/>
    <w:rsid w:val="00E27933"/>
    <w:rsid w:val="00E27E72"/>
    <w:rsid w:val="00E3130F"/>
    <w:rsid w:val="00E32FD0"/>
    <w:rsid w:val="00E33486"/>
    <w:rsid w:val="00E336BF"/>
    <w:rsid w:val="00E34AFE"/>
    <w:rsid w:val="00E40EA6"/>
    <w:rsid w:val="00E429B8"/>
    <w:rsid w:val="00E42B5B"/>
    <w:rsid w:val="00E42BA6"/>
    <w:rsid w:val="00E4420E"/>
    <w:rsid w:val="00E44FA6"/>
    <w:rsid w:val="00E469D8"/>
    <w:rsid w:val="00E501CB"/>
    <w:rsid w:val="00E502D4"/>
    <w:rsid w:val="00E50590"/>
    <w:rsid w:val="00E52028"/>
    <w:rsid w:val="00E520C5"/>
    <w:rsid w:val="00E5379D"/>
    <w:rsid w:val="00E53C50"/>
    <w:rsid w:val="00E53EA8"/>
    <w:rsid w:val="00E5460A"/>
    <w:rsid w:val="00E546E4"/>
    <w:rsid w:val="00E5653B"/>
    <w:rsid w:val="00E56BE2"/>
    <w:rsid w:val="00E607C3"/>
    <w:rsid w:val="00E61439"/>
    <w:rsid w:val="00E6180B"/>
    <w:rsid w:val="00E61D0B"/>
    <w:rsid w:val="00E634D1"/>
    <w:rsid w:val="00E63D81"/>
    <w:rsid w:val="00E63FD9"/>
    <w:rsid w:val="00E6462F"/>
    <w:rsid w:val="00E6538E"/>
    <w:rsid w:val="00E65F4B"/>
    <w:rsid w:val="00E71F08"/>
    <w:rsid w:val="00E7219F"/>
    <w:rsid w:val="00E732A1"/>
    <w:rsid w:val="00E73D50"/>
    <w:rsid w:val="00E7401E"/>
    <w:rsid w:val="00E74D16"/>
    <w:rsid w:val="00E751EC"/>
    <w:rsid w:val="00E75CB3"/>
    <w:rsid w:val="00E806A2"/>
    <w:rsid w:val="00E81012"/>
    <w:rsid w:val="00E82D85"/>
    <w:rsid w:val="00E83916"/>
    <w:rsid w:val="00E83E7A"/>
    <w:rsid w:val="00E84362"/>
    <w:rsid w:val="00E8561A"/>
    <w:rsid w:val="00E860D3"/>
    <w:rsid w:val="00E90E9B"/>
    <w:rsid w:val="00E91DBA"/>
    <w:rsid w:val="00E93936"/>
    <w:rsid w:val="00E94FB4"/>
    <w:rsid w:val="00E95024"/>
    <w:rsid w:val="00E95DEF"/>
    <w:rsid w:val="00EA0369"/>
    <w:rsid w:val="00EA584F"/>
    <w:rsid w:val="00EA638C"/>
    <w:rsid w:val="00EA6667"/>
    <w:rsid w:val="00EA758A"/>
    <w:rsid w:val="00EA7976"/>
    <w:rsid w:val="00EA7B77"/>
    <w:rsid w:val="00EB1E23"/>
    <w:rsid w:val="00EB225B"/>
    <w:rsid w:val="00EB2E2D"/>
    <w:rsid w:val="00EB3F73"/>
    <w:rsid w:val="00EB5F5B"/>
    <w:rsid w:val="00EB6770"/>
    <w:rsid w:val="00EB6B43"/>
    <w:rsid w:val="00EC0F91"/>
    <w:rsid w:val="00EC139C"/>
    <w:rsid w:val="00EC14A8"/>
    <w:rsid w:val="00EC18A3"/>
    <w:rsid w:val="00EC3579"/>
    <w:rsid w:val="00EC47AC"/>
    <w:rsid w:val="00EC6D33"/>
    <w:rsid w:val="00EC7EE1"/>
    <w:rsid w:val="00ED054E"/>
    <w:rsid w:val="00ED09D4"/>
    <w:rsid w:val="00ED0C58"/>
    <w:rsid w:val="00ED0C63"/>
    <w:rsid w:val="00ED3AFF"/>
    <w:rsid w:val="00ED4466"/>
    <w:rsid w:val="00ED4E8C"/>
    <w:rsid w:val="00ED539F"/>
    <w:rsid w:val="00ED5DB5"/>
    <w:rsid w:val="00ED5F0F"/>
    <w:rsid w:val="00ED6798"/>
    <w:rsid w:val="00ED6873"/>
    <w:rsid w:val="00ED792F"/>
    <w:rsid w:val="00ED7CD7"/>
    <w:rsid w:val="00EE0A85"/>
    <w:rsid w:val="00EE11BA"/>
    <w:rsid w:val="00EE1835"/>
    <w:rsid w:val="00EE1C20"/>
    <w:rsid w:val="00EE1DCE"/>
    <w:rsid w:val="00EE27C0"/>
    <w:rsid w:val="00EE293C"/>
    <w:rsid w:val="00EE3742"/>
    <w:rsid w:val="00EE439D"/>
    <w:rsid w:val="00EE5113"/>
    <w:rsid w:val="00EE683D"/>
    <w:rsid w:val="00EE7590"/>
    <w:rsid w:val="00EE7B04"/>
    <w:rsid w:val="00EF3667"/>
    <w:rsid w:val="00EF40AB"/>
    <w:rsid w:val="00EF630C"/>
    <w:rsid w:val="00EF7196"/>
    <w:rsid w:val="00F000CE"/>
    <w:rsid w:val="00F0029C"/>
    <w:rsid w:val="00F00744"/>
    <w:rsid w:val="00F00D9B"/>
    <w:rsid w:val="00F01B80"/>
    <w:rsid w:val="00F02E2E"/>
    <w:rsid w:val="00F03C59"/>
    <w:rsid w:val="00F05BDB"/>
    <w:rsid w:val="00F0652A"/>
    <w:rsid w:val="00F072F7"/>
    <w:rsid w:val="00F0743C"/>
    <w:rsid w:val="00F0776A"/>
    <w:rsid w:val="00F0796C"/>
    <w:rsid w:val="00F10FC0"/>
    <w:rsid w:val="00F11193"/>
    <w:rsid w:val="00F11841"/>
    <w:rsid w:val="00F11E80"/>
    <w:rsid w:val="00F12677"/>
    <w:rsid w:val="00F131D9"/>
    <w:rsid w:val="00F1421D"/>
    <w:rsid w:val="00F155AB"/>
    <w:rsid w:val="00F15950"/>
    <w:rsid w:val="00F16291"/>
    <w:rsid w:val="00F16730"/>
    <w:rsid w:val="00F20A21"/>
    <w:rsid w:val="00F20E95"/>
    <w:rsid w:val="00F213A3"/>
    <w:rsid w:val="00F221CA"/>
    <w:rsid w:val="00F23003"/>
    <w:rsid w:val="00F244E4"/>
    <w:rsid w:val="00F264B9"/>
    <w:rsid w:val="00F266FF"/>
    <w:rsid w:val="00F31733"/>
    <w:rsid w:val="00F31797"/>
    <w:rsid w:val="00F353BA"/>
    <w:rsid w:val="00F3566B"/>
    <w:rsid w:val="00F35A81"/>
    <w:rsid w:val="00F36093"/>
    <w:rsid w:val="00F361D8"/>
    <w:rsid w:val="00F3649E"/>
    <w:rsid w:val="00F36BD9"/>
    <w:rsid w:val="00F36F61"/>
    <w:rsid w:val="00F36F9B"/>
    <w:rsid w:val="00F370EF"/>
    <w:rsid w:val="00F371D3"/>
    <w:rsid w:val="00F3730F"/>
    <w:rsid w:val="00F37AC7"/>
    <w:rsid w:val="00F40924"/>
    <w:rsid w:val="00F40D83"/>
    <w:rsid w:val="00F43C94"/>
    <w:rsid w:val="00F43D22"/>
    <w:rsid w:val="00F4462D"/>
    <w:rsid w:val="00F4484D"/>
    <w:rsid w:val="00F459F4"/>
    <w:rsid w:val="00F45BE0"/>
    <w:rsid w:val="00F47573"/>
    <w:rsid w:val="00F50158"/>
    <w:rsid w:val="00F505D6"/>
    <w:rsid w:val="00F52643"/>
    <w:rsid w:val="00F52C9F"/>
    <w:rsid w:val="00F53402"/>
    <w:rsid w:val="00F53577"/>
    <w:rsid w:val="00F5429F"/>
    <w:rsid w:val="00F548B4"/>
    <w:rsid w:val="00F54E9E"/>
    <w:rsid w:val="00F56A4E"/>
    <w:rsid w:val="00F56EBE"/>
    <w:rsid w:val="00F57317"/>
    <w:rsid w:val="00F57D43"/>
    <w:rsid w:val="00F57FBC"/>
    <w:rsid w:val="00F609FC"/>
    <w:rsid w:val="00F61172"/>
    <w:rsid w:val="00F63F72"/>
    <w:rsid w:val="00F64105"/>
    <w:rsid w:val="00F64E5E"/>
    <w:rsid w:val="00F6614E"/>
    <w:rsid w:val="00F67587"/>
    <w:rsid w:val="00F70092"/>
    <w:rsid w:val="00F70710"/>
    <w:rsid w:val="00F71104"/>
    <w:rsid w:val="00F71884"/>
    <w:rsid w:val="00F71F38"/>
    <w:rsid w:val="00F71F82"/>
    <w:rsid w:val="00F721CA"/>
    <w:rsid w:val="00F7268B"/>
    <w:rsid w:val="00F74944"/>
    <w:rsid w:val="00F74CFD"/>
    <w:rsid w:val="00F772AE"/>
    <w:rsid w:val="00F7740E"/>
    <w:rsid w:val="00F77AE8"/>
    <w:rsid w:val="00F77C9D"/>
    <w:rsid w:val="00F801A8"/>
    <w:rsid w:val="00F801DA"/>
    <w:rsid w:val="00F824CE"/>
    <w:rsid w:val="00F85B98"/>
    <w:rsid w:val="00F8612D"/>
    <w:rsid w:val="00F86B6D"/>
    <w:rsid w:val="00F90022"/>
    <w:rsid w:val="00F9048D"/>
    <w:rsid w:val="00F905FE"/>
    <w:rsid w:val="00F92BB2"/>
    <w:rsid w:val="00F94164"/>
    <w:rsid w:val="00F94A52"/>
    <w:rsid w:val="00F95140"/>
    <w:rsid w:val="00F951F0"/>
    <w:rsid w:val="00F95F80"/>
    <w:rsid w:val="00F95F92"/>
    <w:rsid w:val="00F96614"/>
    <w:rsid w:val="00F975CD"/>
    <w:rsid w:val="00FA0533"/>
    <w:rsid w:val="00FA2DB7"/>
    <w:rsid w:val="00FA3CC6"/>
    <w:rsid w:val="00FA5560"/>
    <w:rsid w:val="00FA7426"/>
    <w:rsid w:val="00FA7681"/>
    <w:rsid w:val="00FB116E"/>
    <w:rsid w:val="00FB22B9"/>
    <w:rsid w:val="00FB7F96"/>
    <w:rsid w:val="00FC16F3"/>
    <w:rsid w:val="00FC34BF"/>
    <w:rsid w:val="00FC3B98"/>
    <w:rsid w:val="00FC4A7F"/>
    <w:rsid w:val="00FC4C6C"/>
    <w:rsid w:val="00FC731E"/>
    <w:rsid w:val="00FC7BE5"/>
    <w:rsid w:val="00FC7E67"/>
    <w:rsid w:val="00FD217F"/>
    <w:rsid w:val="00FD22B0"/>
    <w:rsid w:val="00FD2736"/>
    <w:rsid w:val="00FD2B62"/>
    <w:rsid w:val="00FD3E88"/>
    <w:rsid w:val="00FD3E90"/>
    <w:rsid w:val="00FD4058"/>
    <w:rsid w:val="00FD559F"/>
    <w:rsid w:val="00FD74F0"/>
    <w:rsid w:val="00FD7A16"/>
    <w:rsid w:val="00FE0267"/>
    <w:rsid w:val="00FE0D2F"/>
    <w:rsid w:val="00FE1E38"/>
    <w:rsid w:val="00FE2AE3"/>
    <w:rsid w:val="00FE2B52"/>
    <w:rsid w:val="00FE2C0F"/>
    <w:rsid w:val="00FE2F93"/>
    <w:rsid w:val="00FE3BD8"/>
    <w:rsid w:val="00FE6030"/>
    <w:rsid w:val="00FE7BB9"/>
    <w:rsid w:val="00FF0B4B"/>
    <w:rsid w:val="00FF2344"/>
    <w:rsid w:val="00FF2489"/>
    <w:rsid w:val="00FF42D7"/>
    <w:rsid w:val="00FF45D8"/>
    <w:rsid w:val="00FF4FD0"/>
    <w:rsid w:val="00FF54C7"/>
    <w:rsid w:val="00FF5ED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B99B91F"/>
  <w15:chartTrackingRefBased/>
  <w15:docId w15:val="{12DDAFA4-B474-4DBF-B786-A8850733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9DA"/>
    <w:pPr>
      <w:spacing w:before="120" w:after="120"/>
    </w:pPr>
    <w:rPr>
      <w:rFonts w:ascii="Helvetica" w:eastAsia="Times" w:hAnsi="Helvetica"/>
      <w:sz w:val="24"/>
    </w:rPr>
  </w:style>
  <w:style w:type="paragraph" w:styleId="Heading1">
    <w:name w:val="heading 1"/>
    <w:basedOn w:val="Normal"/>
    <w:next w:val="Normal"/>
    <w:link w:val="Heading1Char"/>
    <w:qFormat/>
    <w:rsid w:val="00D522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A90C08"/>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qFormat/>
    <w:rsid w:val="00A90C0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0C08"/>
    <w:pPr>
      <w:keepNext/>
      <w:spacing w:after="60"/>
      <w:outlineLvl w:val="3"/>
    </w:pPr>
    <w:rPr>
      <w:b/>
    </w:rPr>
  </w:style>
  <w:style w:type="paragraph" w:styleId="Heading7">
    <w:name w:val="heading 7"/>
    <w:basedOn w:val="Normal"/>
    <w:next w:val="Normal"/>
    <w:qFormat/>
    <w:rsid w:val="00AB6CF8"/>
    <w:pPr>
      <w:spacing w:before="240" w:after="60"/>
      <w:outlineLvl w:val="6"/>
    </w:pPr>
    <w:rPr>
      <w:rFonts w:ascii="Cambria" w:eastAsia="Times New Roman" w:hAnsi="Cambria"/>
      <w:szCs w:val="24"/>
    </w:rPr>
  </w:style>
  <w:style w:type="character" w:default="1" w:styleId="DefaultParagraphFont">
    <w:name w:val="Default Paragraph Font"/>
    <w:aliases w:val=" Char Char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overviewtext"/>
    <w:link w:val="HeaderChar"/>
    <w:rsid w:val="00A90C08"/>
    <w:pPr>
      <w:tabs>
        <w:tab w:val="center" w:pos="4153"/>
        <w:tab w:val="right" w:pos="8306"/>
      </w:tabs>
    </w:pPr>
  </w:style>
  <w:style w:type="paragraph" w:customStyle="1" w:styleId="CommitteeTitle">
    <w:name w:val="Committee Title"/>
    <w:basedOn w:val="Header"/>
    <w:next w:val="Header"/>
    <w:qFormat/>
    <w:rsid w:val="00A90C08"/>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overviewtext"/>
    <w:qFormat/>
    <w:rsid w:val="00A90C08"/>
    <w:pPr>
      <w:ind w:left="720"/>
    </w:pPr>
  </w:style>
  <w:style w:type="paragraph" w:customStyle="1" w:styleId="overviewtext">
    <w:name w:val="overview text"/>
    <w:link w:val="overviewtextChar"/>
    <w:qFormat/>
    <w:rsid w:val="00A90C08"/>
    <w:pPr>
      <w:spacing w:before="60" w:after="60"/>
    </w:pPr>
    <w:rPr>
      <w:rFonts w:ascii="Helvetica" w:eastAsia="Times" w:hAnsi="Helvetica"/>
      <w:sz w:val="24"/>
    </w:rPr>
  </w:style>
  <w:style w:type="paragraph" w:customStyle="1" w:styleId="overviewheading">
    <w:name w:val="overview heading"/>
    <w:basedOn w:val="overviewtext"/>
    <w:qFormat/>
    <w:rsid w:val="00A90C08"/>
    <w:pPr>
      <w:pBdr>
        <w:bottom w:val="single" w:sz="4" w:space="4" w:color="auto"/>
      </w:pBdr>
      <w:spacing w:before="120"/>
    </w:pPr>
    <w:rPr>
      <w:b/>
    </w:rPr>
  </w:style>
  <w:style w:type="paragraph" w:customStyle="1" w:styleId="ReportTitle">
    <w:name w:val="Report Title"/>
    <w:basedOn w:val="overviewtext"/>
    <w:qFormat/>
    <w:rsid w:val="00A90C08"/>
    <w:pPr>
      <w:spacing w:before="120" w:after="120"/>
    </w:pPr>
    <w:rPr>
      <w:b/>
      <w:sz w:val="40"/>
    </w:rPr>
  </w:style>
  <w:style w:type="paragraph" w:customStyle="1" w:styleId="Para2">
    <w:name w:val="Para2"/>
    <w:basedOn w:val="Normal"/>
    <w:link w:val="Para2Char"/>
    <w:autoRedefine/>
    <w:rsid w:val="00C2468A"/>
    <w:pPr>
      <w:spacing w:after="0"/>
      <w:jc w:val="both"/>
    </w:pPr>
  </w:style>
  <w:style w:type="paragraph" w:customStyle="1" w:styleId="Para1">
    <w:name w:val="Para1"/>
    <w:basedOn w:val="Heading3"/>
    <w:rsid w:val="00A90C08"/>
    <w:pPr>
      <w:tabs>
        <w:tab w:val="left" w:pos="1440"/>
      </w:tabs>
      <w:spacing w:after="120"/>
      <w:ind w:left="1440" w:hanging="720"/>
    </w:pPr>
    <w:rPr>
      <w:rFonts w:ascii="Helvetica" w:hAnsi="Helvetica" w:cs="Times New Roman"/>
      <w:b w:val="0"/>
      <w:bCs w:val="0"/>
      <w:sz w:val="24"/>
      <w:szCs w:val="24"/>
    </w:rPr>
  </w:style>
  <w:style w:type="character" w:customStyle="1" w:styleId="Heading2Char">
    <w:name w:val="Heading 2 Char"/>
    <w:link w:val="Heading2"/>
    <w:rsid w:val="00A90C08"/>
    <w:rPr>
      <w:rFonts w:ascii="Helvetica" w:hAnsi="Helvetica"/>
      <w:b/>
      <w:sz w:val="36"/>
      <w:lang w:val="en-GB" w:eastAsia="en-GB" w:bidi="ar-SA"/>
    </w:rPr>
  </w:style>
  <w:style w:type="character" w:customStyle="1" w:styleId="overviewtextChar">
    <w:name w:val="overview text Char"/>
    <w:link w:val="overviewtext"/>
    <w:rsid w:val="00A90C08"/>
    <w:rPr>
      <w:rFonts w:ascii="Helvetica" w:eastAsia="Times" w:hAnsi="Helvetica"/>
      <w:sz w:val="24"/>
      <w:lang w:val="en-GB" w:eastAsia="en-GB" w:bidi="ar-SA"/>
    </w:rPr>
  </w:style>
  <w:style w:type="character" w:customStyle="1" w:styleId="HeaderChar">
    <w:name w:val="Header Char"/>
    <w:basedOn w:val="overviewtextChar"/>
    <w:link w:val="Header"/>
    <w:rsid w:val="00A90C08"/>
    <w:rPr>
      <w:rFonts w:ascii="Helvetica" w:eastAsia="Times" w:hAnsi="Helvetica"/>
      <w:sz w:val="24"/>
      <w:lang w:val="en-GB" w:eastAsia="en-GB" w:bidi="ar-SA"/>
    </w:rPr>
  </w:style>
  <w:style w:type="character" w:customStyle="1" w:styleId="Para2Char">
    <w:name w:val="Para2 Char"/>
    <w:link w:val="Para2"/>
    <w:rsid w:val="00C2468A"/>
    <w:rPr>
      <w:rFonts w:ascii="Helvetica" w:eastAsia="Times" w:hAnsi="Helvetica"/>
      <w:sz w:val="24"/>
    </w:rPr>
  </w:style>
  <w:style w:type="paragraph" w:customStyle="1" w:styleId="NumberedList4">
    <w:name w:val="Numbered List4"/>
    <w:basedOn w:val="Normal"/>
    <w:rsid w:val="00A90C08"/>
    <w:pPr>
      <w:numPr>
        <w:numId w:val="1"/>
      </w:numPr>
      <w:tabs>
        <w:tab w:val="num" w:pos="851"/>
      </w:tabs>
      <w:ind w:left="1134" w:hanging="708"/>
    </w:pPr>
  </w:style>
  <w:style w:type="paragraph" w:styleId="BodyTextIndent3">
    <w:name w:val="Body Text Indent 3"/>
    <w:basedOn w:val="Normal"/>
    <w:rsid w:val="00A90C08"/>
    <w:pPr>
      <w:ind w:left="283"/>
    </w:pPr>
    <w:rPr>
      <w:sz w:val="16"/>
      <w:szCs w:val="16"/>
    </w:rPr>
  </w:style>
  <w:style w:type="paragraph" w:styleId="Footer">
    <w:name w:val="footer"/>
    <w:basedOn w:val="Normal"/>
    <w:link w:val="FooterChar"/>
    <w:uiPriority w:val="99"/>
    <w:rsid w:val="00A90C08"/>
    <w:pPr>
      <w:tabs>
        <w:tab w:val="center" w:pos="4153"/>
        <w:tab w:val="right" w:pos="8306"/>
      </w:tabs>
    </w:pPr>
  </w:style>
  <w:style w:type="paragraph" w:customStyle="1" w:styleId="NormalLatinArial">
    <w:name w:val="Normal + (Latin) Arial"/>
    <w:aliases w:val="Justified,Left:  0 cm,Hanging:  1.27 cm,Before:  0..."/>
    <w:basedOn w:val="Normal"/>
    <w:rsid w:val="00DD7DF6"/>
    <w:pPr>
      <w:spacing w:before="0" w:after="0"/>
      <w:ind w:left="720" w:hanging="720"/>
      <w:jc w:val="both"/>
    </w:pPr>
    <w:rPr>
      <w:rFonts w:ascii="Arial" w:hAnsi="Arial" w:cs="Arial"/>
      <w:szCs w:val="24"/>
    </w:rPr>
  </w:style>
  <w:style w:type="paragraph" w:styleId="BodyTextIndent">
    <w:name w:val="Body Text Indent"/>
    <w:basedOn w:val="Normal"/>
    <w:rsid w:val="00DD7DF6"/>
    <w:pPr>
      <w:ind w:left="283"/>
    </w:pPr>
  </w:style>
  <w:style w:type="character" w:styleId="Emphasis">
    <w:name w:val="Emphasis"/>
    <w:qFormat/>
    <w:rsid w:val="00AB6CF8"/>
    <w:rPr>
      <w:i/>
      <w:iCs/>
    </w:rPr>
  </w:style>
  <w:style w:type="paragraph" w:styleId="BodyText">
    <w:name w:val="Body Text"/>
    <w:basedOn w:val="Normal"/>
    <w:rsid w:val="00E94FB4"/>
  </w:style>
  <w:style w:type="paragraph" w:customStyle="1" w:styleId="NumberedList3">
    <w:name w:val="Numbered List3"/>
    <w:basedOn w:val="Normal"/>
    <w:autoRedefine/>
    <w:rsid w:val="009B20A4"/>
    <w:pPr>
      <w:spacing w:before="0" w:after="0"/>
      <w:ind w:left="709" w:hanging="709"/>
    </w:pPr>
  </w:style>
  <w:style w:type="paragraph" w:styleId="BalloonText">
    <w:name w:val="Balloon Text"/>
    <w:basedOn w:val="Normal"/>
    <w:semiHidden/>
    <w:rsid w:val="00F7268B"/>
    <w:rPr>
      <w:rFonts w:ascii="Tahoma" w:hAnsi="Tahoma" w:cs="Tahoma"/>
      <w:sz w:val="16"/>
      <w:szCs w:val="16"/>
    </w:rPr>
  </w:style>
  <w:style w:type="table" w:styleId="TableGrid">
    <w:name w:val="Table Grid"/>
    <w:basedOn w:val="TableNormal"/>
    <w:uiPriority w:val="39"/>
    <w:rsid w:val="00F7268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0149D"/>
    <w:rPr>
      <w:color w:val="606420"/>
      <w:u w:val="single"/>
    </w:rPr>
  </w:style>
  <w:style w:type="paragraph" w:customStyle="1" w:styleId="a">
    <w:basedOn w:val="Normal"/>
    <w:autoRedefine/>
    <w:rsid w:val="00FE6030"/>
    <w:pPr>
      <w:spacing w:before="0" w:after="160" w:line="240" w:lineRule="exact"/>
    </w:pPr>
    <w:rPr>
      <w:rFonts w:ascii="Verdana" w:eastAsia="Times New Roman" w:hAnsi="Verdana"/>
      <w:sz w:val="20"/>
      <w:lang w:val="en-US" w:eastAsia="en-US"/>
    </w:rPr>
  </w:style>
  <w:style w:type="character" w:styleId="Hyperlink">
    <w:name w:val="Hyperlink"/>
    <w:rsid w:val="00BF5DFB"/>
    <w:rPr>
      <w:color w:val="0000FF"/>
      <w:u w:val="single"/>
    </w:rPr>
  </w:style>
  <w:style w:type="paragraph" w:customStyle="1" w:styleId="Char">
    <w:name w:val=" Char"/>
    <w:basedOn w:val="Normal"/>
    <w:link w:val="DefaultParagraphFont"/>
    <w:autoRedefine/>
    <w:rsid w:val="001418F2"/>
    <w:pPr>
      <w:spacing w:before="0" w:after="160" w:line="240" w:lineRule="exact"/>
    </w:pPr>
    <w:rPr>
      <w:rFonts w:ascii="Verdana" w:eastAsia="Times New Roman" w:hAnsi="Verdana"/>
      <w:sz w:val="20"/>
      <w:lang w:val="en-US" w:eastAsia="en-US"/>
    </w:rPr>
  </w:style>
  <w:style w:type="paragraph" w:styleId="NormalWeb">
    <w:name w:val="Normal (Web)"/>
    <w:basedOn w:val="Normal"/>
    <w:uiPriority w:val="99"/>
    <w:unhideWhenUsed/>
    <w:rsid w:val="00D256C7"/>
    <w:pPr>
      <w:spacing w:before="0" w:after="0"/>
    </w:pPr>
    <w:rPr>
      <w:rFonts w:ascii="Times New Roman" w:eastAsia="Calibri" w:hAnsi="Times New Roman"/>
      <w:szCs w:val="24"/>
    </w:rPr>
  </w:style>
  <w:style w:type="paragraph" w:styleId="NoSpacing">
    <w:name w:val="No Spacing"/>
    <w:uiPriority w:val="1"/>
    <w:qFormat/>
    <w:rsid w:val="0007793C"/>
    <w:rPr>
      <w:rFonts w:ascii="Calibri" w:eastAsia="Calibri" w:hAnsi="Calibri"/>
      <w:sz w:val="22"/>
      <w:szCs w:val="22"/>
      <w:lang w:eastAsia="en-US"/>
    </w:rPr>
  </w:style>
  <w:style w:type="character" w:styleId="CommentReference">
    <w:name w:val="annotation reference"/>
    <w:rsid w:val="006C2E4E"/>
    <w:rPr>
      <w:sz w:val="16"/>
      <w:szCs w:val="16"/>
    </w:rPr>
  </w:style>
  <w:style w:type="paragraph" w:styleId="CommentText">
    <w:name w:val="annotation text"/>
    <w:basedOn w:val="Normal"/>
    <w:link w:val="CommentTextChar"/>
    <w:rsid w:val="006C2E4E"/>
    <w:rPr>
      <w:sz w:val="20"/>
    </w:rPr>
  </w:style>
  <w:style w:type="character" w:customStyle="1" w:styleId="CommentTextChar">
    <w:name w:val="Comment Text Char"/>
    <w:link w:val="CommentText"/>
    <w:rsid w:val="006C2E4E"/>
    <w:rPr>
      <w:rFonts w:ascii="Helvetica" w:eastAsia="Times" w:hAnsi="Helvetica"/>
    </w:rPr>
  </w:style>
  <w:style w:type="paragraph" w:styleId="CommentSubject">
    <w:name w:val="annotation subject"/>
    <w:basedOn w:val="CommentText"/>
    <w:next w:val="CommentText"/>
    <w:link w:val="CommentSubjectChar"/>
    <w:rsid w:val="006C2E4E"/>
    <w:rPr>
      <w:b/>
      <w:bCs/>
    </w:rPr>
  </w:style>
  <w:style w:type="character" w:customStyle="1" w:styleId="CommentSubjectChar">
    <w:name w:val="Comment Subject Char"/>
    <w:link w:val="CommentSubject"/>
    <w:rsid w:val="006C2E4E"/>
    <w:rPr>
      <w:rFonts w:ascii="Helvetica" w:eastAsia="Times" w:hAnsi="Helvetica"/>
      <w:b/>
      <w:bCs/>
    </w:rPr>
  </w:style>
  <w:style w:type="paragraph" w:styleId="ListParagraph">
    <w:name w:val="List Paragraph"/>
    <w:basedOn w:val="Normal"/>
    <w:uiPriority w:val="34"/>
    <w:qFormat/>
    <w:rsid w:val="001509A7"/>
    <w:pPr>
      <w:ind w:left="720"/>
    </w:pPr>
  </w:style>
  <w:style w:type="character" w:customStyle="1" w:styleId="s7">
    <w:name w:val="s7"/>
    <w:rsid w:val="004135B9"/>
  </w:style>
  <w:style w:type="table" w:customStyle="1" w:styleId="TableGrid11">
    <w:name w:val="Table Grid11"/>
    <w:basedOn w:val="TableNormal"/>
    <w:next w:val="TableGrid"/>
    <w:rsid w:val="0014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D1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FF741B"/>
    <w:pPr>
      <w:spacing w:line="321" w:lineRule="atLeast"/>
    </w:pPr>
    <w:rPr>
      <w:rFonts w:ascii="Stone Sans" w:hAnsi="Stone Sans" w:cs="Times New Roman"/>
      <w:color w:val="auto"/>
    </w:rPr>
  </w:style>
  <w:style w:type="paragraph" w:customStyle="1" w:styleId="Pa3">
    <w:name w:val="Pa3"/>
    <w:basedOn w:val="Default"/>
    <w:next w:val="Default"/>
    <w:uiPriority w:val="99"/>
    <w:rsid w:val="00FF741B"/>
    <w:pPr>
      <w:spacing w:line="241" w:lineRule="atLeast"/>
    </w:pPr>
    <w:rPr>
      <w:rFonts w:ascii="Stone Sans" w:hAnsi="Stone Sans" w:cs="Times New Roman"/>
      <w:color w:val="auto"/>
    </w:rPr>
  </w:style>
  <w:style w:type="paragraph" w:customStyle="1" w:styleId="Pa13">
    <w:name w:val="Pa13"/>
    <w:basedOn w:val="Default"/>
    <w:next w:val="Default"/>
    <w:uiPriority w:val="99"/>
    <w:rsid w:val="00FF741B"/>
    <w:pPr>
      <w:spacing w:line="241" w:lineRule="atLeast"/>
    </w:pPr>
    <w:rPr>
      <w:rFonts w:ascii="Stone Sans" w:hAnsi="Stone Sans" w:cs="Times New Roman"/>
      <w:color w:val="auto"/>
    </w:rPr>
  </w:style>
  <w:style w:type="character" w:customStyle="1" w:styleId="Heading4Char">
    <w:name w:val="Heading 4 Char"/>
    <w:link w:val="Heading4"/>
    <w:rsid w:val="002512E1"/>
    <w:rPr>
      <w:rFonts w:ascii="Helvetica" w:eastAsia="Times" w:hAnsi="Helvetica"/>
      <w:b/>
      <w:sz w:val="24"/>
    </w:rPr>
  </w:style>
  <w:style w:type="character" w:customStyle="1" w:styleId="FooterChar">
    <w:name w:val="Footer Char"/>
    <w:link w:val="Footer"/>
    <w:uiPriority w:val="99"/>
    <w:rsid w:val="00972F1D"/>
    <w:rPr>
      <w:rFonts w:ascii="Helvetica" w:eastAsia="Times" w:hAnsi="Helvetica"/>
      <w:sz w:val="24"/>
    </w:rPr>
  </w:style>
  <w:style w:type="paragraph" w:styleId="Title">
    <w:name w:val="Title"/>
    <w:basedOn w:val="Normal"/>
    <w:link w:val="TitleChar"/>
    <w:qFormat/>
    <w:rsid w:val="004E5E84"/>
    <w:pPr>
      <w:spacing w:before="0" w:after="0"/>
      <w:jc w:val="center"/>
    </w:pPr>
    <w:rPr>
      <w:rFonts w:ascii="Centaur" w:eastAsia="Times New Roman" w:hAnsi="Centaur"/>
      <w:b/>
      <w:bCs/>
      <w:szCs w:val="24"/>
      <w:u w:val="single"/>
      <w:lang w:eastAsia="en-US"/>
    </w:rPr>
  </w:style>
  <w:style w:type="character" w:customStyle="1" w:styleId="TitleChar">
    <w:name w:val="Title Char"/>
    <w:link w:val="Title"/>
    <w:rsid w:val="004E5E84"/>
    <w:rPr>
      <w:rFonts w:ascii="Centaur" w:hAnsi="Centaur"/>
      <w:b/>
      <w:bCs/>
      <w:sz w:val="24"/>
      <w:szCs w:val="24"/>
      <w:u w:val="single"/>
      <w:lang w:eastAsia="en-US"/>
    </w:rPr>
  </w:style>
  <w:style w:type="paragraph" w:customStyle="1" w:styleId="ParaX1">
    <w:name w:val="Para X.1"/>
    <w:basedOn w:val="Normal"/>
    <w:rsid w:val="00C97522"/>
    <w:pPr>
      <w:spacing w:before="0" w:after="0"/>
      <w:ind w:left="731" w:hanging="731"/>
    </w:pPr>
    <w:rPr>
      <w:rFonts w:ascii="Arial" w:hAnsi="Arial"/>
    </w:rPr>
  </w:style>
  <w:style w:type="paragraph" w:customStyle="1" w:styleId="Char0">
    <w:name w:val="Char"/>
    <w:basedOn w:val="Normal"/>
    <w:rsid w:val="00520993"/>
    <w:pPr>
      <w:spacing w:before="0" w:after="160" w:line="240" w:lineRule="exact"/>
    </w:pPr>
    <w:rPr>
      <w:rFonts w:ascii="Tahoma" w:eastAsia="Times New Roman" w:hAnsi="Tahoma"/>
      <w:sz w:val="20"/>
      <w:lang w:val="en-US" w:eastAsia="en-US"/>
    </w:rPr>
  </w:style>
  <w:style w:type="paragraph" w:customStyle="1" w:styleId="p1">
    <w:name w:val="p1"/>
    <w:basedOn w:val="Normal"/>
    <w:rsid w:val="00F63F72"/>
    <w:pPr>
      <w:spacing w:before="0" w:after="0"/>
    </w:pPr>
    <w:rPr>
      <w:rFonts w:ascii=".SF UI Text" w:eastAsia="Calibri" w:hAnsi=".SF UI Text"/>
      <w:color w:val="454545"/>
      <w:sz w:val="26"/>
      <w:szCs w:val="26"/>
    </w:rPr>
  </w:style>
  <w:style w:type="character" w:customStyle="1" w:styleId="s1">
    <w:name w:val="s1"/>
    <w:rsid w:val="00F63F72"/>
    <w:rPr>
      <w:rFonts w:ascii=".SFUIText" w:hAnsi=".SFUIText" w:hint="default"/>
      <w:b w:val="0"/>
      <w:bCs w:val="0"/>
      <w:i w:val="0"/>
      <w:iCs w:val="0"/>
      <w:sz w:val="34"/>
      <w:szCs w:val="34"/>
    </w:rPr>
  </w:style>
  <w:style w:type="paragraph" w:styleId="PlainText">
    <w:name w:val="Plain Text"/>
    <w:basedOn w:val="Normal"/>
    <w:link w:val="PlainTextChar"/>
    <w:uiPriority w:val="99"/>
    <w:unhideWhenUsed/>
    <w:rsid w:val="00BC294C"/>
    <w:pPr>
      <w:spacing w:before="0" w:after="0"/>
    </w:pPr>
    <w:rPr>
      <w:rFonts w:ascii="Calibri" w:eastAsia="Calibri" w:hAnsi="Calibri"/>
      <w:sz w:val="22"/>
      <w:szCs w:val="21"/>
      <w:lang w:eastAsia="en-US"/>
    </w:rPr>
  </w:style>
  <w:style w:type="character" w:customStyle="1" w:styleId="PlainTextChar">
    <w:name w:val="Plain Text Char"/>
    <w:link w:val="PlainText"/>
    <w:uiPriority w:val="99"/>
    <w:rsid w:val="00BC294C"/>
    <w:rPr>
      <w:rFonts w:ascii="Calibri" w:eastAsia="Calibri" w:hAnsi="Calibri"/>
      <w:sz w:val="22"/>
      <w:szCs w:val="21"/>
      <w:lang w:eastAsia="en-US"/>
    </w:rPr>
  </w:style>
  <w:style w:type="character" w:customStyle="1" w:styleId="Heading1Char">
    <w:name w:val="Heading 1 Char"/>
    <w:basedOn w:val="DefaultParagraphFont"/>
    <w:link w:val="Heading1"/>
    <w:rsid w:val="00D522A1"/>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D522A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7834">
      <w:bodyDiv w:val="1"/>
      <w:marLeft w:val="0"/>
      <w:marRight w:val="0"/>
      <w:marTop w:val="0"/>
      <w:marBottom w:val="0"/>
      <w:divBdr>
        <w:top w:val="none" w:sz="0" w:space="0" w:color="auto"/>
        <w:left w:val="none" w:sz="0" w:space="0" w:color="auto"/>
        <w:bottom w:val="none" w:sz="0" w:space="0" w:color="auto"/>
        <w:right w:val="none" w:sz="0" w:space="0" w:color="auto"/>
      </w:divBdr>
    </w:div>
    <w:div w:id="78840428">
      <w:bodyDiv w:val="1"/>
      <w:marLeft w:val="0"/>
      <w:marRight w:val="0"/>
      <w:marTop w:val="0"/>
      <w:marBottom w:val="0"/>
      <w:divBdr>
        <w:top w:val="none" w:sz="0" w:space="0" w:color="auto"/>
        <w:left w:val="none" w:sz="0" w:space="0" w:color="auto"/>
        <w:bottom w:val="none" w:sz="0" w:space="0" w:color="auto"/>
        <w:right w:val="none" w:sz="0" w:space="0" w:color="auto"/>
      </w:divBdr>
    </w:div>
    <w:div w:id="115369002">
      <w:bodyDiv w:val="1"/>
      <w:marLeft w:val="0"/>
      <w:marRight w:val="0"/>
      <w:marTop w:val="0"/>
      <w:marBottom w:val="0"/>
      <w:divBdr>
        <w:top w:val="none" w:sz="0" w:space="0" w:color="auto"/>
        <w:left w:val="none" w:sz="0" w:space="0" w:color="auto"/>
        <w:bottom w:val="none" w:sz="0" w:space="0" w:color="auto"/>
        <w:right w:val="none" w:sz="0" w:space="0" w:color="auto"/>
      </w:divBdr>
    </w:div>
    <w:div w:id="282272338">
      <w:bodyDiv w:val="1"/>
      <w:marLeft w:val="0"/>
      <w:marRight w:val="0"/>
      <w:marTop w:val="0"/>
      <w:marBottom w:val="0"/>
      <w:divBdr>
        <w:top w:val="none" w:sz="0" w:space="0" w:color="auto"/>
        <w:left w:val="none" w:sz="0" w:space="0" w:color="auto"/>
        <w:bottom w:val="none" w:sz="0" w:space="0" w:color="auto"/>
        <w:right w:val="none" w:sz="0" w:space="0" w:color="auto"/>
      </w:divBdr>
    </w:div>
    <w:div w:id="35612335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80"/>
      <w:marRight w:val="80"/>
      <w:marTop w:val="80"/>
      <w:marBottom w:val="20"/>
      <w:divBdr>
        <w:top w:val="none" w:sz="0" w:space="0" w:color="auto"/>
        <w:left w:val="none" w:sz="0" w:space="0" w:color="auto"/>
        <w:bottom w:val="none" w:sz="0" w:space="0" w:color="auto"/>
        <w:right w:val="none" w:sz="0" w:space="0" w:color="auto"/>
      </w:divBdr>
      <w:divsChild>
        <w:div w:id="1641956144">
          <w:marLeft w:val="0"/>
          <w:marRight w:val="0"/>
          <w:marTop w:val="0"/>
          <w:marBottom w:val="0"/>
          <w:divBdr>
            <w:top w:val="none" w:sz="0" w:space="0" w:color="auto"/>
            <w:left w:val="none" w:sz="0" w:space="0" w:color="auto"/>
            <w:bottom w:val="none" w:sz="0" w:space="0" w:color="auto"/>
            <w:right w:val="none" w:sz="0" w:space="0" w:color="auto"/>
          </w:divBdr>
        </w:div>
        <w:div w:id="1852985586">
          <w:marLeft w:val="0"/>
          <w:marRight w:val="0"/>
          <w:marTop w:val="0"/>
          <w:marBottom w:val="0"/>
          <w:divBdr>
            <w:top w:val="none" w:sz="0" w:space="0" w:color="auto"/>
            <w:left w:val="none" w:sz="0" w:space="0" w:color="auto"/>
            <w:bottom w:val="none" w:sz="0" w:space="0" w:color="auto"/>
            <w:right w:val="none" w:sz="0" w:space="0" w:color="auto"/>
          </w:divBdr>
        </w:div>
      </w:divsChild>
    </w:div>
    <w:div w:id="408231853">
      <w:bodyDiv w:val="1"/>
      <w:marLeft w:val="80"/>
      <w:marRight w:val="80"/>
      <w:marTop w:val="80"/>
      <w:marBottom w:val="20"/>
      <w:divBdr>
        <w:top w:val="none" w:sz="0" w:space="0" w:color="auto"/>
        <w:left w:val="none" w:sz="0" w:space="0" w:color="auto"/>
        <w:bottom w:val="none" w:sz="0" w:space="0" w:color="auto"/>
        <w:right w:val="none" w:sz="0" w:space="0" w:color="auto"/>
      </w:divBdr>
      <w:divsChild>
        <w:div w:id="1960186255">
          <w:marLeft w:val="0"/>
          <w:marRight w:val="0"/>
          <w:marTop w:val="0"/>
          <w:marBottom w:val="0"/>
          <w:divBdr>
            <w:top w:val="none" w:sz="0" w:space="0" w:color="auto"/>
            <w:left w:val="none" w:sz="0" w:space="0" w:color="auto"/>
            <w:bottom w:val="none" w:sz="0" w:space="0" w:color="auto"/>
            <w:right w:val="none" w:sz="0" w:space="0" w:color="auto"/>
          </w:divBdr>
          <w:divsChild>
            <w:div w:id="1686438585">
              <w:marLeft w:val="0"/>
              <w:marRight w:val="0"/>
              <w:marTop w:val="0"/>
              <w:marBottom w:val="0"/>
              <w:divBdr>
                <w:top w:val="none" w:sz="0" w:space="0" w:color="auto"/>
                <w:left w:val="none" w:sz="0" w:space="0" w:color="auto"/>
                <w:bottom w:val="none" w:sz="0" w:space="0" w:color="auto"/>
                <w:right w:val="none" w:sz="0" w:space="0" w:color="auto"/>
              </w:divBdr>
              <w:divsChild>
                <w:div w:id="311912668">
                  <w:marLeft w:val="0"/>
                  <w:marRight w:val="0"/>
                  <w:marTop w:val="0"/>
                  <w:marBottom w:val="0"/>
                  <w:divBdr>
                    <w:top w:val="none" w:sz="0" w:space="0" w:color="auto"/>
                    <w:left w:val="none" w:sz="0" w:space="0" w:color="auto"/>
                    <w:bottom w:val="none" w:sz="0" w:space="0" w:color="auto"/>
                    <w:right w:val="none" w:sz="0" w:space="0" w:color="auto"/>
                  </w:divBdr>
                </w:div>
                <w:div w:id="772554188">
                  <w:marLeft w:val="0"/>
                  <w:marRight w:val="0"/>
                  <w:marTop w:val="0"/>
                  <w:marBottom w:val="0"/>
                  <w:divBdr>
                    <w:top w:val="none" w:sz="0" w:space="0" w:color="auto"/>
                    <w:left w:val="none" w:sz="0" w:space="0" w:color="auto"/>
                    <w:bottom w:val="none" w:sz="0" w:space="0" w:color="auto"/>
                    <w:right w:val="none" w:sz="0" w:space="0" w:color="auto"/>
                  </w:divBdr>
                </w:div>
                <w:div w:id="1120342731">
                  <w:marLeft w:val="0"/>
                  <w:marRight w:val="0"/>
                  <w:marTop w:val="0"/>
                  <w:marBottom w:val="0"/>
                  <w:divBdr>
                    <w:top w:val="none" w:sz="0" w:space="0" w:color="auto"/>
                    <w:left w:val="none" w:sz="0" w:space="0" w:color="auto"/>
                    <w:bottom w:val="none" w:sz="0" w:space="0" w:color="auto"/>
                    <w:right w:val="none" w:sz="0" w:space="0" w:color="auto"/>
                  </w:divBdr>
                </w:div>
                <w:div w:id="1514149051">
                  <w:marLeft w:val="0"/>
                  <w:marRight w:val="0"/>
                  <w:marTop w:val="0"/>
                  <w:marBottom w:val="0"/>
                  <w:divBdr>
                    <w:top w:val="none" w:sz="0" w:space="0" w:color="auto"/>
                    <w:left w:val="none" w:sz="0" w:space="0" w:color="auto"/>
                    <w:bottom w:val="none" w:sz="0" w:space="0" w:color="auto"/>
                    <w:right w:val="none" w:sz="0" w:space="0" w:color="auto"/>
                  </w:divBdr>
                </w:div>
                <w:div w:id="1622687583">
                  <w:marLeft w:val="0"/>
                  <w:marRight w:val="0"/>
                  <w:marTop w:val="0"/>
                  <w:marBottom w:val="0"/>
                  <w:divBdr>
                    <w:top w:val="none" w:sz="0" w:space="0" w:color="auto"/>
                    <w:left w:val="none" w:sz="0" w:space="0" w:color="auto"/>
                    <w:bottom w:val="none" w:sz="0" w:space="0" w:color="auto"/>
                    <w:right w:val="none" w:sz="0" w:space="0" w:color="auto"/>
                  </w:divBdr>
                </w:div>
                <w:div w:id="18855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96">
      <w:bodyDiv w:val="1"/>
      <w:marLeft w:val="80"/>
      <w:marRight w:val="80"/>
      <w:marTop w:val="80"/>
      <w:marBottom w:val="20"/>
      <w:divBdr>
        <w:top w:val="none" w:sz="0" w:space="0" w:color="auto"/>
        <w:left w:val="none" w:sz="0" w:space="0" w:color="auto"/>
        <w:bottom w:val="none" w:sz="0" w:space="0" w:color="auto"/>
        <w:right w:val="none" w:sz="0" w:space="0" w:color="auto"/>
      </w:divBdr>
      <w:divsChild>
        <w:div w:id="145249010">
          <w:marLeft w:val="0"/>
          <w:marRight w:val="0"/>
          <w:marTop w:val="0"/>
          <w:marBottom w:val="0"/>
          <w:divBdr>
            <w:top w:val="none" w:sz="0" w:space="0" w:color="auto"/>
            <w:left w:val="none" w:sz="0" w:space="0" w:color="auto"/>
            <w:bottom w:val="none" w:sz="0" w:space="0" w:color="auto"/>
            <w:right w:val="none" w:sz="0" w:space="0" w:color="auto"/>
          </w:divBdr>
          <w:divsChild>
            <w:div w:id="1511065604">
              <w:marLeft w:val="0"/>
              <w:marRight w:val="0"/>
              <w:marTop w:val="0"/>
              <w:marBottom w:val="0"/>
              <w:divBdr>
                <w:top w:val="none" w:sz="0" w:space="0" w:color="auto"/>
                <w:left w:val="none" w:sz="0" w:space="0" w:color="auto"/>
                <w:bottom w:val="none" w:sz="0" w:space="0" w:color="auto"/>
                <w:right w:val="none" w:sz="0" w:space="0" w:color="auto"/>
              </w:divBdr>
              <w:divsChild>
                <w:div w:id="472528248">
                  <w:marLeft w:val="0"/>
                  <w:marRight w:val="0"/>
                  <w:marTop w:val="0"/>
                  <w:marBottom w:val="0"/>
                  <w:divBdr>
                    <w:top w:val="none" w:sz="0" w:space="0" w:color="auto"/>
                    <w:left w:val="none" w:sz="0" w:space="0" w:color="auto"/>
                    <w:bottom w:val="none" w:sz="0" w:space="0" w:color="auto"/>
                    <w:right w:val="none" w:sz="0" w:space="0" w:color="auto"/>
                  </w:divBdr>
                </w:div>
                <w:div w:id="1189443101">
                  <w:marLeft w:val="0"/>
                  <w:marRight w:val="0"/>
                  <w:marTop w:val="0"/>
                  <w:marBottom w:val="0"/>
                  <w:divBdr>
                    <w:top w:val="none" w:sz="0" w:space="0" w:color="auto"/>
                    <w:left w:val="none" w:sz="0" w:space="0" w:color="auto"/>
                    <w:bottom w:val="none" w:sz="0" w:space="0" w:color="auto"/>
                    <w:right w:val="none" w:sz="0" w:space="0" w:color="auto"/>
                  </w:divBdr>
                </w:div>
                <w:div w:id="1388408998">
                  <w:marLeft w:val="0"/>
                  <w:marRight w:val="0"/>
                  <w:marTop w:val="0"/>
                  <w:marBottom w:val="0"/>
                  <w:divBdr>
                    <w:top w:val="none" w:sz="0" w:space="0" w:color="auto"/>
                    <w:left w:val="none" w:sz="0" w:space="0" w:color="auto"/>
                    <w:bottom w:val="none" w:sz="0" w:space="0" w:color="auto"/>
                    <w:right w:val="none" w:sz="0" w:space="0" w:color="auto"/>
                  </w:divBdr>
                </w:div>
                <w:div w:id="1428113100">
                  <w:marLeft w:val="0"/>
                  <w:marRight w:val="0"/>
                  <w:marTop w:val="0"/>
                  <w:marBottom w:val="0"/>
                  <w:divBdr>
                    <w:top w:val="none" w:sz="0" w:space="0" w:color="auto"/>
                    <w:left w:val="none" w:sz="0" w:space="0" w:color="auto"/>
                    <w:bottom w:val="none" w:sz="0" w:space="0" w:color="auto"/>
                    <w:right w:val="none" w:sz="0" w:space="0" w:color="auto"/>
                  </w:divBdr>
                </w:div>
                <w:div w:id="1518738731">
                  <w:marLeft w:val="0"/>
                  <w:marRight w:val="0"/>
                  <w:marTop w:val="0"/>
                  <w:marBottom w:val="0"/>
                  <w:divBdr>
                    <w:top w:val="none" w:sz="0" w:space="0" w:color="auto"/>
                    <w:left w:val="none" w:sz="0" w:space="0" w:color="auto"/>
                    <w:bottom w:val="none" w:sz="0" w:space="0" w:color="auto"/>
                    <w:right w:val="none" w:sz="0" w:space="0" w:color="auto"/>
                  </w:divBdr>
                </w:div>
                <w:div w:id="20316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8373">
      <w:bodyDiv w:val="1"/>
      <w:marLeft w:val="0"/>
      <w:marRight w:val="0"/>
      <w:marTop w:val="0"/>
      <w:marBottom w:val="0"/>
      <w:divBdr>
        <w:top w:val="none" w:sz="0" w:space="0" w:color="auto"/>
        <w:left w:val="none" w:sz="0" w:space="0" w:color="auto"/>
        <w:bottom w:val="none" w:sz="0" w:space="0" w:color="auto"/>
        <w:right w:val="none" w:sz="0" w:space="0" w:color="auto"/>
      </w:divBdr>
    </w:div>
    <w:div w:id="1163622424">
      <w:bodyDiv w:val="1"/>
      <w:marLeft w:val="0"/>
      <w:marRight w:val="0"/>
      <w:marTop w:val="0"/>
      <w:marBottom w:val="0"/>
      <w:divBdr>
        <w:top w:val="none" w:sz="0" w:space="0" w:color="auto"/>
        <w:left w:val="none" w:sz="0" w:space="0" w:color="auto"/>
        <w:bottom w:val="none" w:sz="0" w:space="0" w:color="auto"/>
        <w:right w:val="none" w:sz="0" w:space="0" w:color="auto"/>
      </w:divBdr>
    </w:div>
    <w:div w:id="1176845173">
      <w:bodyDiv w:val="1"/>
      <w:marLeft w:val="0"/>
      <w:marRight w:val="0"/>
      <w:marTop w:val="0"/>
      <w:marBottom w:val="0"/>
      <w:divBdr>
        <w:top w:val="none" w:sz="0" w:space="0" w:color="auto"/>
        <w:left w:val="none" w:sz="0" w:space="0" w:color="auto"/>
        <w:bottom w:val="none" w:sz="0" w:space="0" w:color="auto"/>
        <w:right w:val="none" w:sz="0" w:space="0" w:color="auto"/>
      </w:divBdr>
    </w:div>
    <w:div w:id="1219441233">
      <w:bodyDiv w:val="1"/>
      <w:marLeft w:val="0"/>
      <w:marRight w:val="0"/>
      <w:marTop w:val="0"/>
      <w:marBottom w:val="0"/>
      <w:divBdr>
        <w:top w:val="none" w:sz="0" w:space="0" w:color="auto"/>
        <w:left w:val="none" w:sz="0" w:space="0" w:color="auto"/>
        <w:bottom w:val="none" w:sz="0" w:space="0" w:color="auto"/>
        <w:right w:val="none" w:sz="0" w:space="0" w:color="auto"/>
      </w:divBdr>
    </w:div>
    <w:div w:id="1256553438">
      <w:bodyDiv w:val="1"/>
      <w:marLeft w:val="0"/>
      <w:marRight w:val="0"/>
      <w:marTop w:val="0"/>
      <w:marBottom w:val="0"/>
      <w:divBdr>
        <w:top w:val="none" w:sz="0" w:space="0" w:color="auto"/>
        <w:left w:val="none" w:sz="0" w:space="0" w:color="auto"/>
        <w:bottom w:val="none" w:sz="0" w:space="0" w:color="auto"/>
        <w:right w:val="none" w:sz="0" w:space="0" w:color="auto"/>
      </w:divBdr>
    </w:div>
    <w:div w:id="1292320826">
      <w:bodyDiv w:val="1"/>
      <w:marLeft w:val="0"/>
      <w:marRight w:val="0"/>
      <w:marTop w:val="0"/>
      <w:marBottom w:val="0"/>
      <w:divBdr>
        <w:top w:val="none" w:sz="0" w:space="0" w:color="auto"/>
        <w:left w:val="none" w:sz="0" w:space="0" w:color="auto"/>
        <w:bottom w:val="none" w:sz="0" w:space="0" w:color="auto"/>
        <w:right w:val="none" w:sz="0" w:space="0" w:color="auto"/>
      </w:divBdr>
    </w:div>
    <w:div w:id="1513379916">
      <w:bodyDiv w:val="1"/>
      <w:marLeft w:val="0"/>
      <w:marRight w:val="0"/>
      <w:marTop w:val="0"/>
      <w:marBottom w:val="0"/>
      <w:divBdr>
        <w:top w:val="none" w:sz="0" w:space="0" w:color="auto"/>
        <w:left w:val="none" w:sz="0" w:space="0" w:color="auto"/>
        <w:bottom w:val="none" w:sz="0" w:space="0" w:color="auto"/>
        <w:right w:val="none" w:sz="0" w:space="0" w:color="auto"/>
      </w:divBdr>
      <w:divsChild>
        <w:div w:id="970523073">
          <w:marLeft w:val="0"/>
          <w:marRight w:val="0"/>
          <w:marTop w:val="0"/>
          <w:marBottom w:val="0"/>
          <w:divBdr>
            <w:top w:val="none" w:sz="0" w:space="0" w:color="auto"/>
            <w:left w:val="none" w:sz="0" w:space="0" w:color="auto"/>
            <w:bottom w:val="none" w:sz="0" w:space="0" w:color="auto"/>
            <w:right w:val="none" w:sz="0" w:space="0" w:color="auto"/>
          </w:divBdr>
        </w:div>
      </w:divsChild>
    </w:div>
    <w:div w:id="1559588302">
      <w:bodyDiv w:val="1"/>
      <w:marLeft w:val="80"/>
      <w:marRight w:val="80"/>
      <w:marTop w:val="80"/>
      <w:marBottom w:val="20"/>
      <w:divBdr>
        <w:top w:val="none" w:sz="0" w:space="0" w:color="auto"/>
        <w:left w:val="none" w:sz="0" w:space="0" w:color="auto"/>
        <w:bottom w:val="none" w:sz="0" w:space="0" w:color="auto"/>
        <w:right w:val="none" w:sz="0" w:space="0" w:color="auto"/>
      </w:divBdr>
      <w:divsChild>
        <w:div w:id="211770417">
          <w:marLeft w:val="0"/>
          <w:marRight w:val="0"/>
          <w:marTop w:val="0"/>
          <w:marBottom w:val="0"/>
          <w:divBdr>
            <w:top w:val="none" w:sz="0" w:space="0" w:color="auto"/>
            <w:left w:val="none" w:sz="0" w:space="0" w:color="auto"/>
            <w:bottom w:val="none" w:sz="0" w:space="0" w:color="auto"/>
            <w:right w:val="none" w:sz="0" w:space="0" w:color="auto"/>
          </w:divBdr>
        </w:div>
      </w:divsChild>
    </w:div>
    <w:div w:id="1665277678">
      <w:bodyDiv w:val="1"/>
      <w:marLeft w:val="80"/>
      <w:marRight w:val="80"/>
      <w:marTop w:val="80"/>
      <w:marBottom w:val="20"/>
      <w:divBdr>
        <w:top w:val="none" w:sz="0" w:space="0" w:color="auto"/>
        <w:left w:val="none" w:sz="0" w:space="0" w:color="auto"/>
        <w:bottom w:val="none" w:sz="0" w:space="0" w:color="auto"/>
        <w:right w:val="none" w:sz="0" w:space="0" w:color="auto"/>
      </w:divBdr>
      <w:divsChild>
        <w:div w:id="196625976">
          <w:marLeft w:val="0"/>
          <w:marRight w:val="0"/>
          <w:marTop w:val="0"/>
          <w:marBottom w:val="0"/>
          <w:divBdr>
            <w:top w:val="none" w:sz="0" w:space="0" w:color="auto"/>
            <w:left w:val="none" w:sz="0" w:space="0" w:color="auto"/>
            <w:bottom w:val="none" w:sz="0" w:space="0" w:color="auto"/>
            <w:right w:val="none" w:sz="0" w:space="0" w:color="auto"/>
          </w:divBdr>
        </w:div>
      </w:divsChild>
    </w:div>
    <w:div w:id="1698769336">
      <w:bodyDiv w:val="1"/>
      <w:marLeft w:val="0"/>
      <w:marRight w:val="0"/>
      <w:marTop w:val="0"/>
      <w:marBottom w:val="0"/>
      <w:divBdr>
        <w:top w:val="none" w:sz="0" w:space="0" w:color="auto"/>
        <w:left w:val="none" w:sz="0" w:space="0" w:color="auto"/>
        <w:bottom w:val="none" w:sz="0" w:space="0" w:color="auto"/>
        <w:right w:val="none" w:sz="0" w:space="0" w:color="auto"/>
      </w:divBdr>
    </w:div>
    <w:div w:id="1771126455">
      <w:bodyDiv w:val="1"/>
      <w:marLeft w:val="0"/>
      <w:marRight w:val="0"/>
      <w:marTop w:val="0"/>
      <w:marBottom w:val="0"/>
      <w:divBdr>
        <w:top w:val="none" w:sz="0" w:space="0" w:color="auto"/>
        <w:left w:val="none" w:sz="0" w:space="0" w:color="auto"/>
        <w:bottom w:val="none" w:sz="0" w:space="0" w:color="auto"/>
        <w:right w:val="none" w:sz="0" w:space="0" w:color="auto"/>
      </w:divBdr>
    </w:div>
    <w:div w:id="1789658811">
      <w:bodyDiv w:val="1"/>
      <w:marLeft w:val="0"/>
      <w:marRight w:val="0"/>
      <w:marTop w:val="0"/>
      <w:marBottom w:val="0"/>
      <w:divBdr>
        <w:top w:val="none" w:sz="0" w:space="0" w:color="auto"/>
        <w:left w:val="none" w:sz="0" w:space="0" w:color="auto"/>
        <w:bottom w:val="none" w:sz="0" w:space="0" w:color="auto"/>
        <w:right w:val="none" w:sz="0" w:space="0" w:color="auto"/>
      </w:divBdr>
    </w:div>
    <w:div w:id="1814372750">
      <w:bodyDiv w:val="1"/>
      <w:marLeft w:val="0"/>
      <w:marRight w:val="0"/>
      <w:marTop w:val="0"/>
      <w:marBottom w:val="0"/>
      <w:divBdr>
        <w:top w:val="none" w:sz="0" w:space="0" w:color="auto"/>
        <w:left w:val="none" w:sz="0" w:space="0" w:color="auto"/>
        <w:bottom w:val="none" w:sz="0" w:space="0" w:color="auto"/>
        <w:right w:val="none" w:sz="0" w:space="0" w:color="auto"/>
      </w:divBdr>
    </w:div>
    <w:div w:id="1870218329">
      <w:bodyDiv w:val="1"/>
      <w:marLeft w:val="0"/>
      <w:marRight w:val="0"/>
      <w:marTop w:val="0"/>
      <w:marBottom w:val="0"/>
      <w:divBdr>
        <w:top w:val="none" w:sz="0" w:space="0" w:color="auto"/>
        <w:left w:val="none" w:sz="0" w:space="0" w:color="auto"/>
        <w:bottom w:val="none" w:sz="0" w:space="0" w:color="auto"/>
        <w:right w:val="none" w:sz="0" w:space="0" w:color="auto"/>
      </w:divBdr>
    </w:div>
    <w:div w:id="1927229257">
      <w:bodyDiv w:val="1"/>
      <w:marLeft w:val="0"/>
      <w:marRight w:val="0"/>
      <w:marTop w:val="0"/>
      <w:marBottom w:val="0"/>
      <w:divBdr>
        <w:top w:val="none" w:sz="0" w:space="0" w:color="auto"/>
        <w:left w:val="none" w:sz="0" w:space="0" w:color="auto"/>
        <w:bottom w:val="none" w:sz="0" w:space="0" w:color="auto"/>
        <w:right w:val="none" w:sz="0" w:space="0" w:color="auto"/>
      </w:divBdr>
    </w:div>
    <w:div w:id="2064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ustomXml" Target="../customXml/item2.xml"/><Relationship Id="rId30" Type="http://schemas.openxmlformats.org/officeDocument/2006/relationships/customXml" Target="../customXml/item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Stage 1 Complaints dealt with within 5 day (%)</a:t>
            </a:r>
            <a:r>
              <a:rPr lang="en-GB" sz="1000" baseline="0"/>
              <a:t> </a:t>
            </a:r>
            <a:r>
              <a:rPr lang="en-GB" sz="1000"/>
              <a:t>Protective Services</a:t>
            </a:r>
          </a:p>
        </c:rich>
      </c:tx>
      <c:layout>
        <c:manualLayout>
          <c:xMode val="edge"/>
          <c:yMode val="edge"/>
          <c:x val="0.1658418088363954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60810367454068"/>
          <c:y val="0.1844582069723443"/>
          <c:w val="0.8231974518810149"/>
          <c:h val="0.63294204899560402"/>
        </c:manualLayout>
      </c:layout>
      <c:lineChart>
        <c:grouping val="standard"/>
        <c:varyColors val="0"/>
        <c:ser>
          <c:idx val="0"/>
          <c:order val="0"/>
          <c:tx>
            <c:strRef>
              <c:f>Protective!$B$4</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Protective!$A$5:$A$7</c:f>
              <c:strCache>
                <c:ptCount val="3"/>
                <c:pt idx="0">
                  <c:v>2016/17</c:v>
                </c:pt>
                <c:pt idx="1">
                  <c:v>2017/18</c:v>
                </c:pt>
                <c:pt idx="2">
                  <c:v>2018/19</c:v>
                </c:pt>
              </c:strCache>
            </c:strRef>
          </c:cat>
          <c:val>
            <c:numRef>
              <c:f>Protective!$B$5:$B$7</c:f>
              <c:numCache>
                <c:formatCode>0.00</c:formatCode>
                <c:ptCount val="3"/>
                <c:pt idx="0">
                  <c:v>91.81</c:v>
                </c:pt>
                <c:pt idx="1">
                  <c:v>88.28</c:v>
                </c:pt>
                <c:pt idx="2">
                  <c:v>90.77</c:v>
                </c:pt>
              </c:numCache>
            </c:numRef>
          </c:val>
          <c:smooth val="0"/>
          <c:extLst>
            <c:ext xmlns:c16="http://schemas.microsoft.com/office/drawing/2014/chart" uri="{C3380CC4-5D6E-409C-BE32-E72D297353CC}">
              <c16:uniqueId val="{00000000-B4C9-4D79-BE8D-EA4515BC1DCD}"/>
            </c:ext>
          </c:extLst>
        </c:ser>
        <c:ser>
          <c:idx val="1"/>
          <c:order val="1"/>
          <c:tx>
            <c:strRef>
              <c:f>Protective!$C$4</c:f>
              <c:strCache>
                <c:ptCount val="1"/>
                <c:pt idx="0">
                  <c:v>Protective Services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0.11720499781277341"/>
                  <c:y val="-1.3761320321629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C9-4D79-BE8D-EA4515BC1DCD}"/>
                </c:ext>
              </c:extLst>
            </c:dLbl>
            <c:dLbl>
              <c:idx val="2"/>
              <c:layout>
                <c:manualLayout>
                  <c:x val="-6.0938867016624198E-3"/>
                  <c:y val="-5.7929702715486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C9-4D79-BE8D-EA4515BC1D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Protective!$A$5:$A$7</c:f>
              <c:strCache>
                <c:ptCount val="3"/>
                <c:pt idx="0">
                  <c:v>2016/17</c:v>
                </c:pt>
                <c:pt idx="1">
                  <c:v>2017/18</c:v>
                </c:pt>
                <c:pt idx="2">
                  <c:v>2018/19</c:v>
                </c:pt>
              </c:strCache>
            </c:strRef>
          </c:cat>
          <c:val>
            <c:numRef>
              <c:f>Protective!$C$5:$C$7</c:f>
              <c:numCache>
                <c:formatCode>0.00</c:formatCode>
                <c:ptCount val="3"/>
                <c:pt idx="0">
                  <c:v>75</c:v>
                </c:pt>
                <c:pt idx="1">
                  <c:v>100</c:v>
                </c:pt>
                <c:pt idx="2">
                  <c:v>92.86</c:v>
                </c:pt>
              </c:numCache>
            </c:numRef>
          </c:val>
          <c:smooth val="0"/>
          <c:extLst>
            <c:ext xmlns:c16="http://schemas.microsoft.com/office/drawing/2014/chart" uri="{C3380CC4-5D6E-409C-BE32-E72D297353CC}">
              <c16:uniqueId val="{00000003-B4C9-4D79-BE8D-EA4515BC1DCD}"/>
            </c:ext>
          </c:extLst>
        </c:ser>
        <c:dLbls>
          <c:dLblPos val="t"/>
          <c:showLegendKey val="0"/>
          <c:showVal val="1"/>
          <c:showCatName val="0"/>
          <c:showSerName val="0"/>
          <c:showPercent val="0"/>
          <c:showBubbleSize val="0"/>
        </c:dLbls>
        <c:marker val="1"/>
        <c:smooth val="0"/>
        <c:axId val="612653448"/>
        <c:axId val="612655016"/>
      </c:lineChart>
      <c:catAx>
        <c:axId val="612653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5016"/>
        <c:crosses val="autoZero"/>
        <c:auto val="1"/>
        <c:lblAlgn val="ctr"/>
        <c:lblOffset val="100"/>
        <c:noMultiLvlLbl val="0"/>
      </c:catAx>
      <c:valAx>
        <c:axId val="612655016"/>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3448"/>
        <c:crosses val="autoZero"/>
        <c:crossBetween val="between"/>
      </c:valAx>
      <c:spPr>
        <a:noFill/>
        <a:ln>
          <a:noFill/>
        </a:ln>
        <a:effectLst/>
      </c:spPr>
    </c:plotArea>
    <c:legend>
      <c:legendPos val="b"/>
      <c:layout>
        <c:manualLayout>
          <c:xMode val="edge"/>
          <c:yMode val="edge"/>
          <c:x val="0.14127980096237971"/>
          <c:y val="0.90683166629569878"/>
          <c:w val="0.71744012467191598"/>
          <c:h val="9.3168333704301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broadly compliant food standards premises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734376073414372E-2"/>
                  <c:y val="8.3160065008907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BE-48F5-9E78-0B65BA21ED8C}"/>
                </c:ext>
              </c:extLst>
            </c:dLbl>
            <c:dLbl>
              <c:idx val="2"/>
              <c:layout>
                <c:manualLayout>
                  <c:x val="-5.980649178831119E-2"/>
                  <c:y val="0.10533608234461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BE-48F5-9E78-0B65BA21E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Protective!$A$111:$A$114</c:f>
              <c:strCache>
                <c:ptCount val="4"/>
                <c:pt idx="0">
                  <c:v>2015/16</c:v>
                </c:pt>
                <c:pt idx="1">
                  <c:v>2016/17</c:v>
                </c:pt>
                <c:pt idx="2">
                  <c:v>2017/18</c:v>
                </c:pt>
                <c:pt idx="3">
                  <c:v>2018/19</c:v>
                </c:pt>
              </c:strCache>
            </c:strRef>
          </c:cat>
          <c:val>
            <c:numRef>
              <c:f>Protective!$B$111:$B$114</c:f>
              <c:numCache>
                <c:formatCode>0.00</c:formatCode>
                <c:ptCount val="4"/>
                <c:pt idx="0">
                  <c:v>87.34</c:v>
                </c:pt>
                <c:pt idx="1">
                  <c:v>87.22</c:v>
                </c:pt>
                <c:pt idx="2">
                  <c:v>87.7</c:v>
                </c:pt>
                <c:pt idx="3">
                  <c:v>87.2</c:v>
                </c:pt>
              </c:numCache>
            </c:numRef>
          </c:val>
          <c:smooth val="0"/>
          <c:extLst>
            <c:ext xmlns:c16="http://schemas.microsoft.com/office/drawing/2014/chart" uri="{C3380CC4-5D6E-409C-BE32-E72D297353CC}">
              <c16:uniqueId val="{00000002-27BE-48F5-9E78-0B65BA21ED8C}"/>
            </c:ext>
          </c:extLst>
        </c:ser>
        <c:dLbls>
          <c:showLegendKey val="0"/>
          <c:showVal val="0"/>
          <c:showCatName val="0"/>
          <c:showSerName val="0"/>
          <c:showPercent val="0"/>
          <c:showBubbleSize val="0"/>
        </c:dLbls>
        <c:marker val="1"/>
        <c:smooth val="0"/>
        <c:axId val="761070456"/>
        <c:axId val="761070848"/>
      </c:lineChart>
      <c:catAx>
        <c:axId val="76107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0848"/>
        <c:crosses val="autoZero"/>
        <c:auto val="1"/>
        <c:lblAlgn val="ctr"/>
        <c:lblOffset val="100"/>
        <c:noMultiLvlLbl val="0"/>
      </c:catAx>
      <c:valAx>
        <c:axId val="761070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0456"/>
        <c:crosses val="autoZero"/>
        <c:crossBetween val="between"/>
        <c:minorUnit val="0.1"/>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 of  broadly compliant food hygiene premises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Protective!$B$126</c:f>
              <c:strCache>
                <c:ptCount val="1"/>
                <c:pt idx="0">
                  <c:v>F&amp;WPS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4408597489310244E-2"/>
                  <c:y val="7.9328737615996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3E-49B1-8BBB-8A081E3FEE80}"/>
                </c:ext>
              </c:extLst>
            </c:dLbl>
            <c:dLbl>
              <c:idx val="2"/>
              <c:layout>
                <c:manualLayout>
                  <c:x val="-2.0645158493586183E-2"/>
                  <c:y val="8.5430948201841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3E-49B1-8BBB-8A081E3FEE80}"/>
                </c:ext>
              </c:extLst>
            </c:dLbl>
            <c:dLbl>
              <c:idx val="3"/>
              <c:layout>
                <c:manualLayout>
                  <c:x val="-2.408601824251734E-2"/>
                  <c:y val="7.9328737615996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3E-49B1-8BBB-8A081E3FEE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Protective!$A$127:$A$130</c:f>
              <c:strCache>
                <c:ptCount val="4"/>
                <c:pt idx="0">
                  <c:v>2015/16</c:v>
                </c:pt>
                <c:pt idx="1">
                  <c:v>2016/17</c:v>
                </c:pt>
                <c:pt idx="2">
                  <c:v>2017/18</c:v>
                </c:pt>
                <c:pt idx="3">
                  <c:v>2018/19</c:v>
                </c:pt>
              </c:strCache>
            </c:strRef>
          </c:cat>
          <c:val>
            <c:numRef>
              <c:f>Protective!$B$127:$B$130</c:f>
              <c:numCache>
                <c:formatCode>0.00</c:formatCode>
                <c:ptCount val="4"/>
                <c:pt idx="0">
                  <c:v>83.33</c:v>
                </c:pt>
                <c:pt idx="1">
                  <c:v>79.709999999999994</c:v>
                </c:pt>
                <c:pt idx="2">
                  <c:v>83.14</c:v>
                </c:pt>
                <c:pt idx="3">
                  <c:v>85.47</c:v>
                </c:pt>
              </c:numCache>
            </c:numRef>
          </c:val>
          <c:smooth val="0"/>
          <c:extLst>
            <c:ext xmlns:c16="http://schemas.microsoft.com/office/drawing/2014/chart" uri="{C3380CC4-5D6E-409C-BE32-E72D297353CC}">
              <c16:uniqueId val="{00000003-3C3E-49B1-8BBB-8A081E3FEE80}"/>
            </c:ext>
          </c:extLst>
        </c:ser>
        <c:dLbls>
          <c:showLegendKey val="0"/>
          <c:showVal val="0"/>
          <c:showCatName val="0"/>
          <c:showSerName val="0"/>
          <c:showPercent val="0"/>
          <c:showBubbleSize val="0"/>
        </c:dLbls>
        <c:marker val="1"/>
        <c:smooth val="0"/>
        <c:axId val="761071632"/>
        <c:axId val="761072024"/>
      </c:lineChart>
      <c:catAx>
        <c:axId val="7610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2024"/>
        <c:crosses val="autoZero"/>
        <c:auto val="1"/>
        <c:lblAlgn val="ctr"/>
        <c:lblOffset val="100"/>
        <c:noMultiLvlLbl val="0"/>
      </c:catAx>
      <c:valAx>
        <c:axId val="761072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No of Below Tolerable Standard properties reduced per annum</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Housing!$B$124</c:f>
              <c:strCache>
                <c:ptCount val="1"/>
                <c:pt idx="0">
                  <c:v>Number</c:v>
                </c:pt>
              </c:strCache>
            </c:strRef>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Housing!$A$126:$A$131</c:f>
              <c:strCache>
                <c:ptCount val="6"/>
                <c:pt idx="0">
                  <c:v>13/14</c:v>
                </c:pt>
                <c:pt idx="1">
                  <c:v>14/15</c:v>
                </c:pt>
                <c:pt idx="2">
                  <c:v>15/16</c:v>
                </c:pt>
                <c:pt idx="3">
                  <c:v>16/17</c:v>
                </c:pt>
                <c:pt idx="4">
                  <c:v>17/18</c:v>
                </c:pt>
                <c:pt idx="5">
                  <c:v>18/19</c:v>
                </c:pt>
              </c:strCache>
            </c:strRef>
          </c:cat>
          <c:val>
            <c:numRef>
              <c:f>Housing!$B$126:$B$131</c:f>
              <c:numCache>
                <c:formatCode>General</c:formatCode>
                <c:ptCount val="6"/>
                <c:pt idx="0">
                  <c:v>94</c:v>
                </c:pt>
                <c:pt idx="1">
                  <c:v>59</c:v>
                </c:pt>
                <c:pt idx="2">
                  <c:v>121</c:v>
                </c:pt>
                <c:pt idx="3">
                  <c:v>94</c:v>
                </c:pt>
                <c:pt idx="4">
                  <c:v>123</c:v>
                </c:pt>
              </c:numCache>
            </c:numRef>
          </c:val>
          <c:smooth val="0"/>
          <c:extLst>
            <c:ext xmlns:c16="http://schemas.microsoft.com/office/drawing/2014/chart" uri="{C3380CC4-5D6E-409C-BE32-E72D297353CC}">
              <c16:uniqueId val="{00000000-60E3-4A2F-9899-A1C3A5A9E7F4}"/>
            </c:ext>
          </c:extLst>
        </c:ser>
        <c:ser>
          <c:idx val="1"/>
          <c:order val="1"/>
          <c:tx>
            <c:strRef>
              <c:f>Housing!$C$124</c:f>
              <c:strCache>
                <c:ptCount val="1"/>
                <c:pt idx="0">
                  <c:v>Target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Housing!$A$126:$A$131</c:f>
              <c:strCache>
                <c:ptCount val="6"/>
                <c:pt idx="0">
                  <c:v>13/14</c:v>
                </c:pt>
                <c:pt idx="1">
                  <c:v>14/15</c:v>
                </c:pt>
                <c:pt idx="2">
                  <c:v>15/16</c:v>
                </c:pt>
                <c:pt idx="3">
                  <c:v>16/17</c:v>
                </c:pt>
                <c:pt idx="4">
                  <c:v>17/18</c:v>
                </c:pt>
                <c:pt idx="5">
                  <c:v>18/19</c:v>
                </c:pt>
              </c:strCache>
            </c:strRef>
          </c:cat>
          <c:val>
            <c:numRef>
              <c:f>Housing!$C$126:$C$131</c:f>
              <c:numCache>
                <c:formatCode>General</c:formatCode>
                <c:ptCount val="6"/>
                <c:pt idx="0">
                  <c:v>50</c:v>
                </c:pt>
                <c:pt idx="1">
                  <c:v>50</c:v>
                </c:pt>
                <c:pt idx="2">
                  <c:v>50</c:v>
                </c:pt>
                <c:pt idx="3">
                  <c:v>50</c:v>
                </c:pt>
                <c:pt idx="4">
                  <c:v>100</c:v>
                </c:pt>
              </c:numCache>
            </c:numRef>
          </c:val>
          <c:smooth val="0"/>
          <c:extLst>
            <c:ext xmlns:c16="http://schemas.microsoft.com/office/drawing/2014/chart" uri="{C3380CC4-5D6E-409C-BE32-E72D297353CC}">
              <c16:uniqueId val="{00000001-60E3-4A2F-9899-A1C3A5A9E7F4}"/>
            </c:ext>
          </c:extLst>
        </c:ser>
        <c:dLbls>
          <c:dLblPos val="t"/>
          <c:showLegendKey val="0"/>
          <c:showVal val="1"/>
          <c:showCatName val="0"/>
          <c:showSerName val="0"/>
          <c:showPercent val="0"/>
          <c:showBubbleSize val="0"/>
        </c:dLbls>
        <c:marker val="1"/>
        <c:smooth val="0"/>
        <c:axId val="761072808"/>
        <c:axId val="761073200"/>
      </c:lineChart>
      <c:catAx>
        <c:axId val="7610728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3200"/>
        <c:crosses val="autoZero"/>
        <c:auto val="1"/>
        <c:lblAlgn val="ctr"/>
        <c:lblOffset val="100"/>
        <c:noMultiLvlLbl val="0"/>
      </c:catAx>
      <c:valAx>
        <c:axId val="76107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Cost of trading standards (LGBF) </a:t>
            </a:r>
          </a:p>
          <a:p>
            <a:pPr>
              <a:defRPr sz="1000"/>
            </a:pPr>
            <a:r>
              <a:rPr lang="en-GB" sz="1000"/>
              <a:t>per 1,000 population £</a:t>
            </a:r>
          </a:p>
        </c:rich>
      </c:tx>
      <c:layout>
        <c:manualLayout>
          <c:xMode val="edge"/>
          <c:yMode val="edge"/>
          <c:x val="0.2818340150863520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49674800798723"/>
          <c:y val="0.14588745233947528"/>
          <c:w val="0.79125901559280754"/>
          <c:h val="0.60109379205501579"/>
        </c:manualLayout>
      </c:layout>
      <c:lineChart>
        <c:grouping val="standard"/>
        <c:varyColors val="0"/>
        <c:ser>
          <c:idx val="0"/>
          <c:order val="0"/>
          <c:tx>
            <c:strRef>
              <c:f>Protective!$B$174</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Protective!$A$175:$A$177</c:f>
              <c:strCache>
                <c:ptCount val="3"/>
                <c:pt idx="0">
                  <c:v>2015/16</c:v>
                </c:pt>
                <c:pt idx="1">
                  <c:v>2016/17</c:v>
                </c:pt>
                <c:pt idx="2">
                  <c:v>2017/18</c:v>
                </c:pt>
              </c:strCache>
            </c:strRef>
          </c:cat>
          <c:val>
            <c:numRef>
              <c:f>Protective!$B$175:$B$177</c:f>
              <c:numCache>
                <c:formatCode>0.00</c:formatCode>
                <c:ptCount val="3"/>
                <c:pt idx="0">
                  <c:v>7713</c:v>
                </c:pt>
                <c:pt idx="1">
                  <c:v>8465.42</c:v>
                </c:pt>
                <c:pt idx="2">
                  <c:v>9660</c:v>
                </c:pt>
              </c:numCache>
            </c:numRef>
          </c:val>
          <c:smooth val="0"/>
          <c:extLst>
            <c:ext xmlns:c16="http://schemas.microsoft.com/office/drawing/2014/chart" uri="{C3380CC4-5D6E-409C-BE32-E72D297353CC}">
              <c16:uniqueId val="{00000000-73A5-4433-82F5-E7C485FEAE8A}"/>
            </c:ext>
          </c:extLst>
        </c:ser>
        <c:ser>
          <c:idx val="1"/>
          <c:order val="1"/>
          <c:tx>
            <c:strRef>
              <c:f>Protective!$C$174</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Protective!$A$175:$A$177</c:f>
              <c:strCache>
                <c:ptCount val="3"/>
                <c:pt idx="0">
                  <c:v>2015/16</c:v>
                </c:pt>
                <c:pt idx="1">
                  <c:v>2016/17</c:v>
                </c:pt>
                <c:pt idx="2">
                  <c:v>2017/18</c:v>
                </c:pt>
              </c:strCache>
            </c:strRef>
          </c:cat>
          <c:val>
            <c:numRef>
              <c:f>Protective!$C$175:$C$177</c:f>
              <c:numCache>
                <c:formatCode>0.00</c:formatCode>
                <c:ptCount val="3"/>
                <c:pt idx="0">
                  <c:v>3623.94</c:v>
                </c:pt>
                <c:pt idx="1">
                  <c:v>3411.2</c:v>
                </c:pt>
                <c:pt idx="2">
                  <c:v>3626.99</c:v>
                </c:pt>
              </c:numCache>
            </c:numRef>
          </c:val>
          <c:smooth val="0"/>
          <c:extLst>
            <c:ext xmlns:c16="http://schemas.microsoft.com/office/drawing/2014/chart" uri="{C3380CC4-5D6E-409C-BE32-E72D297353CC}">
              <c16:uniqueId val="{00000001-73A5-4433-82F5-E7C485FEAE8A}"/>
            </c:ext>
          </c:extLst>
        </c:ser>
        <c:ser>
          <c:idx val="2"/>
          <c:order val="2"/>
          <c:tx>
            <c:strRef>
              <c:f>Protective!$D$174</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Protective!$A$175:$A$177</c:f>
              <c:strCache>
                <c:ptCount val="3"/>
                <c:pt idx="0">
                  <c:v>2015/16</c:v>
                </c:pt>
                <c:pt idx="1">
                  <c:v>2016/17</c:v>
                </c:pt>
                <c:pt idx="2">
                  <c:v>2017/18</c:v>
                </c:pt>
              </c:strCache>
            </c:strRef>
          </c:cat>
          <c:val>
            <c:numRef>
              <c:f>Protective!$D$175:$D$177</c:f>
              <c:numCache>
                <c:formatCode>0.00</c:formatCode>
                <c:ptCount val="3"/>
                <c:pt idx="0">
                  <c:v>5735.35</c:v>
                </c:pt>
                <c:pt idx="1">
                  <c:v>5494.29</c:v>
                </c:pt>
                <c:pt idx="2">
                  <c:v>5889.8</c:v>
                </c:pt>
              </c:numCache>
            </c:numRef>
          </c:val>
          <c:smooth val="0"/>
          <c:extLst>
            <c:ext xmlns:c16="http://schemas.microsoft.com/office/drawing/2014/chart" uri="{C3380CC4-5D6E-409C-BE32-E72D297353CC}">
              <c16:uniqueId val="{00000002-73A5-4433-82F5-E7C485FEAE8A}"/>
            </c:ext>
          </c:extLst>
        </c:ser>
        <c:dLbls>
          <c:dLblPos val="t"/>
          <c:showLegendKey val="0"/>
          <c:showVal val="1"/>
          <c:showCatName val="0"/>
          <c:showSerName val="0"/>
          <c:showPercent val="0"/>
          <c:showBubbleSize val="0"/>
        </c:dLbls>
        <c:marker val="1"/>
        <c:smooth val="0"/>
        <c:axId val="761073984"/>
        <c:axId val="760216864"/>
      </c:lineChart>
      <c:catAx>
        <c:axId val="7610739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16864"/>
        <c:crosses val="autoZero"/>
        <c:auto val="1"/>
        <c:lblAlgn val="ctr"/>
        <c:lblOffset val="100"/>
        <c:noMultiLvlLbl val="0"/>
      </c:catAx>
      <c:valAx>
        <c:axId val="760216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73984"/>
        <c:crosses val="autoZero"/>
        <c:crossBetween val="between"/>
      </c:valAx>
      <c:spPr>
        <a:noFill/>
        <a:ln>
          <a:noFill/>
        </a:ln>
        <a:effectLst/>
      </c:spPr>
    </c:plotArea>
    <c:legend>
      <c:legendPos val="b"/>
      <c:layout>
        <c:manualLayout>
          <c:xMode val="edge"/>
          <c:yMode val="edge"/>
          <c:x val="2.3040715191859042E-2"/>
          <c:y val="0.86499523504342812"/>
          <c:w val="0.9469650720891537"/>
          <c:h val="0.135004764956571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Cost of trading standards (APSE) </a:t>
            </a:r>
          </a:p>
          <a:p>
            <a:pPr>
              <a:defRPr sz="1000"/>
            </a:pPr>
            <a:r>
              <a:rPr lang="en-GB" sz="1000"/>
              <a:t>per 1,000 population £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Protective!$B$189</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0744725091181788E-2"/>
                  <c:y val="5.284630538330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1A-4E08-B119-FE3D905DC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Protective!$A$190:$A$192</c:f>
              <c:strCache>
                <c:ptCount val="3"/>
                <c:pt idx="0">
                  <c:v>2015/16</c:v>
                </c:pt>
                <c:pt idx="1">
                  <c:v>2016/17</c:v>
                </c:pt>
                <c:pt idx="2">
                  <c:v>2017/18</c:v>
                </c:pt>
              </c:strCache>
            </c:strRef>
          </c:cat>
          <c:val>
            <c:numRef>
              <c:f>Protective!$B$190:$B$192</c:f>
              <c:numCache>
                <c:formatCode>0.00</c:formatCode>
                <c:ptCount val="3"/>
                <c:pt idx="0">
                  <c:v>2084.37</c:v>
                </c:pt>
                <c:pt idx="1">
                  <c:v>2314.25</c:v>
                </c:pt>
                <c:pt idx="2">
                  <c:v>2401.83</c:v>
                </c:pt>
              </c:numCache>
            </c:numRef>
          </c:val>
          <c:smooth val="0"/>
          <c:extLst>
            <c:ext xmlns:c16="http://schemas.microsoft.com/office/drawing/2014/chart" uri="{C3380CC4-5D6E-409C-BE32-E72D297353CC}">
              <c16:uniqueId val="{00000001-861A-4E08-B119-FE3D905DCF1F}"/>
            </c:ext>
          </c:extLst>
        </c:ser>
        <c:ser>
          <c:idx val="1"/>
          <c:order val="1"/>
          <c:tx>
            <c:strRef>
              <c:f>Protective!$C$189</c:f>
              <c:strCache>
                <c:ptCount val="1"/>
                <c:pt idx="0">
                  <c:v> Family group Best</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Protective!$A$190:$A$192</c:f>
              <c:strCache>
                <c:ptCount val="3"/>
                <c:pt idx="0">
                  <c:v>2015/16</c:v>
                </c:pt>
                <c:pt idx="1">
                  <c:v>2016/17</c:v>
                </c:pt>
                <c:pt idx="2">
                  <c:v>2017/18</c:v>
                </c:pt>
              </c:strCache>
            </c:strRef>
          </c:cat>
          <c:val>
            <c:numRef>
              <c:f>Protective!$C$190:$C$192</c:f>
              <c:numCache>
                <c:formatCode>0.00</c:formatCode>
                <c:ptCount val="3"/>
                <c:pt idx="0">
                  <c:v>1063.44</c:v>
                </c:pt>
                <c:pt idx="1">
                  <c:v>1685.09</c:v>
                </c:pt>
                <c:pt idx="2">
                  <c:v>1431.34</c:v>
                </c:pt>
              </c:numCache>
            </c:numRef>
          </c:val>
          <c:smooth val="0"/>
          <c:extLst>
            <c:ext xmlns:c16="http://schemas.microsoft.com/office/drawing/2014/chart" uri="{C3380CC4-5D6E-409C-BE32-E72D297353CC}">
              <c16:uniqueId val="{00000002-861A-4E08-B119-FE3D905DCF1F}"/>
            </c:ext>
          </c:extLst>
        </c:ser>
        <c:ser>
          <c:idx val="2"/>
          <c:order val="2"/>
          <c:tx>
            <c:strRef>
              <c:f>Protective!$D$189</c:f>
              <c:strCache>
                <c:ptCount val="1"/>
                <c:pt idx="0">
                  <c:v>Family group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Protective!$A$190:$A$192</c:f>
              <c:strCache>
                <c:ptCount val="3"/>
                <c:pt idx="0">
                  <c:v>2015/16</c:v>
                </c:pt>
                <c:pt idx="1">
                  <c:v>2016/17</c:v>
                </c:pt>
                <c:pt idx="2">
                  <c:v>2017/18</c:v>
                </c:pt>
              </c:strCache>
            </c:strRef>
          </c:cat>
          <c:val>
            <c:numRef>
              <c:f>Protective!$D$190:$D$192</c:f>
              <c:numCache>
                <c:formatCode>0.00</c:formatCode>
                <c:ptCount val="3"/>
                <c:pt idx="0">
                  <c:v>2951.14</c:v>
                </c:pt>
                <c:pt idx="1">
                  <c:v>3406.11</c:v>
                </c:pt>
                <c:pt idx="2">
                  <c:v>3210.93</c:v>
                </c:pt>
              </c:numCache>
            </c:numRef>
          </c:val>
          <c:smooth val="0"/>
          <c:extLst>
            <c:ext xmlns:c16="http://schemas.microsoft.com/office/drawing/2014/chart" uri="{C3380CC4-5D6E-409C-BE32-E72D297353CC}">
              <c16:uniqueId val="{00000003-861A-4E08-B119-FE3D905DCF1F}"/>
            </c:ext>
          </c:extLst>
        </c:ser>
        <c:dLbls>
          <c:dLblPos val="b"/>
          <c:showLegendKey val="0"/>
          <c:showVal val="1"/>
          <c:showCatName val="0"/>
          <c:showSerName val="0"/>
          <c:showPercent val="0"/>
          <c:showBubbleSize val="0"/>
        </c:dLbls>
        <c:marker val="1"/>
        <c:smooth val="0"/>
        <c:axId val="760218040"/>
        <c:axId val="760218432"/>
      </c:lineChart>
      <c:catAx>
        <c:axId val="760218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18432"/>
        <c:crosses val="autoZero"/>
        <c:auto val="1"/>
        <c:lblAlgn val="ctr"/>
        <c:lblOffset val="100"/>
        <c:noMultiLvlLbl val="0"/>
      </c:catAx>
      <c:valAx>
        <c:axId val="76021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1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Cost of environmental health per 1,000 population (£) </a:t>
            </a:r>
          </a:p>
        </c:rich>
      </c:tx>
      <c:layout>
        <c:manualLayout>
          <c:xMode val="edge"/>
          <c:yMode val="edge"/>
          <c:x val="0.1404694103598352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30218586206123"/>
          <c:y val="0.11362558400307202"/>
          <c:w val="0.78345357773873359"/>
          <c:h val="0.69460042439015834"/>
        </c:manualLayout>
      </c:layout>
      <c:lineChart>
        <c:grouping val="standard"/>
        <c:varyColors val="0"/>
        <c:ser>
          <c:idx val="0"/>
          <c:order val="0"/>
          <c:tx>
            <c:strRef>
              <c:f>Protective!$B$208</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288996665058788E-2"/>
                  <c:y val="-4.17952883478181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B5-49A4-A605-2D4985F50F48}"/>
                </c:ext>
              </c:extLst>
            </c:dLbl>
            <c:dLbl>
              <c:idx val="2"/>
              <c:layout>
                <c:manualLayout>
                  <c:x val="-9.9843464177716071E-2"/>
                  <c:y val="-4.7362440920237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B5-49A4-A605-2D4985F50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Protective!$A$209:$A$211</c:f>
              <c:strCache>
                <c:ptCount val="3"/>
                <c:pt idx="0">
                  <c:v>2015/16</c:v>
                </c:pt>
                <c:pt idx="1">
                  <c:v>2016/17</c:v>
                </c:pt>
                <c:pt idx="2">
                  <c:v>2017/18</c:v>
                </c:pt>
              </c:strCache>
            </c:strRef>
          </c:cat>
          <c:val>
            <c:numRef>
              <c:f>Protective!$B$209:$B$211</c:f>
              <c:numCache>
                <c:formatCode>#,##0.00</c:formatCode>
                <c:ptCount val="3"/>
                <c:pt idx="0">
                  <c:v>11956.64</c:v>
                </c:pt>
                <c:pt idx="1">
                  <c:v>11670.67</c:v>
                </c:pt>
                <c:pt idx="2">
                  <c:v>12175</c:v>
                </c:pt>
              </c:numCache>
            </c:numRef>
          </c:val>
          <c:smooth val="0"/>
          <c:extLst>
            <c:ext xmlns:c16="http://schemas.microsoft.com/office/drawing/2014/chart" uri="{C3380CC4-5D6E-409C-BE32-E72D297353CC}">
              <c16:uniqueId val="{00000002-37B5-49A4-A605-2D4985F50F48}"/>
            </c:ext>
          </c:extLst>
        </c:ser>
        <c:ser>
          <c:idx val="1"/>
          <c:order val="1"/>
          <c:tx>
            <c:strRef>
              <c:f>Protective!$C$208</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0"/>
              <c:layout>
                <c:manualLayout>
                  <c:x val="-0.10637126530111658"/>
                  <c:y val="6.9631051209913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B5-49A4-A605-2D4985F50F48}"/>
                </c:ext>
              </c:extLst>
            </c:dLbl>
            <c:dLbl>
              <c:idx val="2"/>
              <c:layout>
                <c:manualLayout>
                  <c:x val="-0.10289451653755245"/>
                  <c:y val="4.7362440920237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B5-49A4-A605-2D4985F50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Protective!$A$209:$A$211</c:f>
              <c:strCache>
                <c:ptCount val="3"/>
                <c:pt idx="0">
                  <c:v>2015/16</c:v>
                </c:pt>
                <c:pt idx="1">
                  <c:v>2016/17</c:v>
                </c:pt>
                <c:pt idx="2">
                  <c:v>2017/18</c:v>
                </c:pt>
              </c:strCache>
            </c:strRef>
          </c:cat>
          <c:val>
            <c:numRef>
              <c:f>Protective!$C$209:$C$211</c:f>
              <c:numCache>
                <c:formatCode>General</c:formatCode>
                <c:ptCount val="3"/>
                <c:pt idx="0">
                  <c:v>11724.98</c:v>
                </c:pt>
                <c:pt idx="1">
                  <c:v>11892.08</c:v>
                </c:pt>
                <c:pt idx="2">
                  <c:v>11310.91</c:v>
                </c:pt>
              </c:numCache>
            </c:numRef>
          </c:val>
          <c:smooth val="0"/>
          <c:extLst>
            <c:ext xmlns:c16="http://schemas.microsoft.com/office/drawing/2014/chart" uri="{C3380CC4-5D6E-409C-BE32-E72D297353CC}">
              <c16:uniqueId val="{00000005-37B5-49A4-A605-2D4985F50F48}"/>
            </c:ext>
          </c:extLst>
        </c:ser>
        <c:ser>
          <c:idx val="2"/>
          <c:order val="2"/>
          <c:tx>
            <c:strRef>
              <c:f>Protective!$D$208</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Protective!$A$209:$A$211</c:f>
              <c:strCache>
                <c:ptCount val="3"/>
                <c:pt idx="0">
                  <c:v>2015/16</c:v>
                </c:pt>
                <c:pt idx="1">
                  <c:v>2016/17</c:v>
                </c:pt>
                <c:pt idx="2">
                  <c:v>2017/18</c:v>
                </c:pt>
              </c:strCache>
            </c:strRef>
          </c:cat>
          <c:val>
            <c:numRef>
              <c:f>Protective!$D$209:$D$211</c:f>
              <c:numCache>
                <c:formatCode>General</c:formatCode>
                <c:ptCount val="3"/>
                <c:pt idx="0">
                  <c:v>16605.810000000001</c:v>
                </c:pt>
                <c:pt idx="1">
                  <c:v>15883.03</c:v>
                </c:pt>
                <c:pt idx="2">
                  <c:v>15495.69</c:v>
                </c:pt>
              </c:numCache>
            </c:numRef>
          </c:val>
          <c:smooth val="0"/>
          <c:extLst>
            <c:ext xmlns:c16="http://schemas.microsoft.com/office/drawing/2014/chart" uri="{C3380CC4-5D6E-409C-BE32-E72D297353CC}">
              <c16:uniqueId val="{00000006-37B5-49A4-A605-2D4985F50F48}"/>
            </c:ext>
          </c:extLst>
        </c:ser>
        <c:dLbls>
          <c:dLblPos val="t"/>
          <c:showLegendKey val="0"/>
          <c:showVal val="1"/>
          <c:showCatName val="0"/>
          <c:showSerName val="0"/>
          <c:showPercent val="0"/>
          <c:showBubbleSize val="0"/>
        </c:dLbls>
        <c:marker val="1"/>
        <c:smooth val="0"/>
        <c:axId val="760219216"/>
        <c:axId val="760219608"/>
      </c:lineChart>
      <c:catAx>
        <c:axId val="760219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19608"/>
        <c:crosses val="autoZero"/>
        <c:auto val="1"/>
        <c:lblAlgn val="ctr"/>
        <c:lblOffset val="100"/>
        <c:noMultiLvlLbl val="0"/>
      </c:catAx>
      <c:valAx>
        <c:axId val="760219608"/>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19216"/>
        <c:crosses val="autoZero"/>
        <c:crossBetween val="between"/>
      </c:valAx>
      <c:spPr>
        <a:noFill/>
        <a:ln>
          <a:noFill/>
        </a:ln>
        <a:effectLst/>
      </c:spPr>
    </c:plotArea>
    <c:legend>
      <c:legendPos val="b"/>
      <c:layout>
        <c:manualLayout>
          <c:xMode val="edge"/>
          <c:yMode val="edge"/>
          <c:x val="2.1802226104743762E-3"/>
          <c:y val="0.86499523504342812"/>
          <c:w val="0.99781977738952565"/>
          <c:h val="0.135004764956571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Stage 2 Complaints dealt with within 20 days (%)</a:t>
            </a:r>
          </a:p>
          <a:p>
            <a:pPr>
              <a:defRPr/>
            </a:pPr>
            <a:r>
              <a:rPr lang="en-US" sz="1000"/>
              <a:t>Protective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42784016767318"/>
          <c:y val="0.2462092324697055"/>
          <c:w val="0.82342738827363648"/>
          <c:h val="0.58151978183688147"/>
        </c:manualLayout>
      </c:layout>
      <c:lineChart>
        <c:grouping val="standard"/>
        <c:varyColors val="0"/>
        <c:ser>
          <c:idx val="0"/>
          <c:order val="0"/>
          <c:tx>
            <c:strRef>
              <c:f>Protective!$B$23</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4633852515438799E-2"/>
                  <c:y val="-6.3797520738723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EB-470A-B4EF-08579366D8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Protective!$A$24:$A$26</c:f>
              <c:strCache>
                <c:ptCount val="3"/>
                <c:pt idx="0">
                  <c:v>2016/17</c:v>
                </c:pt>
                <c:pt idx="1">
                  <c:v>2017/18</c:v>
                </c:pt>
                <c:pt idx="2">
                  <c:v>2018/19</c:v>
                </c:pt>
              </c:strCache>
            </c:strRef>
          </c:cat>
          <c:val>
            <c:numRef>
              <c:f>Protective!$B$24:$B$26</c:f>
              <c:numCache>
                <c:formatCode>0.00</c:formatCode>
                <c:ptCount val="3"/>
                <c:pt idx="0">
                  <c:v>75.680000000000007</c:v>
                </c:pt>
                <c:pt idx="1">
                  <c:v>85.59</c:v>
                </c:pt>
                <c:pt idx="2">
                  <c:v>84.24</c:v>
                </c:pt>
              </c:numCache>
            </c:numRef>
          </c:val>
          <c:smooth val="0"/>
          <c:extLst>
            <c:ext xmlns:c16="http://schemas.microsoft.com/office/drawing/2014/chart" uri="{C3380CC4-5D6E-409C-BE32-E72D297353CC}">
              <c16:uniqueId val="{00000001-82EB-470A-B4EF-08579366D8E5}"/>
            </c:ext>
          </c:extLst>
        </c:ser>
        <c:ser>
          <c:idx val="1"/>
          <c:order val="1"/>
          <c:tx>
            <c:strRef>
              <c:f>Protective!$C$23</c:f>
              <c:strCache>
                <c:ptCount val="1"/>
                <c:pt idx="0">
                  <c:v>Protective Services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2"/>
              <c:layout>
                <c:manualLayout>
                  <c:x val="-1.6489080956748416E-2"/>
                  <c:y val="1.3901481733378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EB-470A-B4EF-08579366D8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Protective!$A$24:$A$26</c:f>
              <c:strCache>
                <c:ptCount val="3"/>
                <c:pt idx="0">
                  <c:v>2016/17</c:v>
                </c:pt>
                <c:pt idx="1">
                  <c:v>2017/18</c:v>
                </c:pt>
                <c:pt idx="2">
                  <c:v>2018/19</c:v>
                </c:pt>
              </c:strCache>
            </c:strRef>
          </c:cat>
          <c:val>
            <c:numRef>
              <c:f>Protective!$C$24:$C$26</c:f>
              <c:numCache>
                <c:formatCode>0.00</c:formatCode>
                <c:ptCount val="3"/>
                <c:pt idx="0">
                  <c:v>84.62</c:v>
                </c:pt>
                <c:pt idx="1">
                  <c:v>100</c:v>
                </c:pt>
                <c:pt idx="2">
                  <c:v>83.33</c:v>
                </c:pt>
              </c:numCache>
            </c:numRef>
          </c:val>
          <c:smooth val="0"/>
          <c:extLst>
            <c:ext xmlns:c16="http://schemas.microsoft.com/office/drawing/2014/chart" uri="{C3380CC4-5D6E-409C-BE32-E72D297353CC}">
              <c16:uniqueId val="{00000003-82EB-470A-B4EF-08579366D8E5}"/>
            </c:ext>
          </c:extLst>
        </c:ser>
        <c:dLbls>
          <c:dLblPos val="t"/>
          <c:showLegendKey val="0"/>
          <c:showVal val="1"/>
          <c:showCatName val="0"/>
          <c:showSerName val="0"/>
          <c:showPercent val="0"/>
          <c:showBubbleSize val="0"/>
        </c:dLbls>
        <c:marker val="1"/>
        <c:smooth val="0"/>
        <c:axId val="612653840"/>
        <c:axId val="612655408"/>
      </c:lineChart>
      <c:catAx>
        <c:axId val="612653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5408"/>
        <c:crosses val="autoZero"/>
        <c:auto val="1"/>
        <c:lblAlgn val="ctr"/>
        <c:lblOffset val="100"/>
        <c:noMultiLvlLbl val="0"/>
      </c:catAx>
      <c:valAx>
        <c:axId val="61265540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3840"/>
        <c:crosses val="autoZero"/>
        <c:crossBetween val="between"/>
      </c:valAx>
      <c:spPr>
        <a:noFill/>
        <a:ln>
          <a:noFill/>
        </a:ln>
        <a:effectLst/>
      </c:spPr>
    </c:plotArea>
    <c:legend>
      <c:legendPos val="b"/>
      <c:layout>
        <c:manualLayout>
          <c:xMode val="edge"/>
          <c:yMode val="edge"/>
          <c:x val="0.14174646259805487"/>
          <c:y val="0.9009002677273904"/>
          <c:w val="0.71650707480389031"/>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 Overall customer satisfaction rating</a:t>
            </a:r>
          </a:p>
          <a:p>
            <a:pPr>
              <a:defRPr/>
            </a:pPr>
            <a:r>
              <a:rPr lang="en-US" sz="1000"/>
              <a:t>Building Standards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Protective!$B$61</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Protective!$A$62:$A$64</c:f>
              <c:strCache>
                <c:ptCount val="3"/>
                <c:pt idx="0">
                  <c:v>2016/17</c:v>
                </c:pt>
                <c:pt idx="1">
                  <c:v>2017/18</c:v>
                </c:pt>
                <c:pt idx="2">
                  <c:v>2018/19</c:v>
                </c:pt>
              </c:strCache>
            </c:strRef>
          </c:cat>
          <c:val>
            <c:numRef>
              <c:f>Protective!$B$62:$B$64</c:f>
              <c:numCache>
                <c:formatCode>0.00</c:formatCode>
                <c:ptCount val="3"/>
                <c:pt idx="0">
                  <c:v>6.6</c:v>
                </c:pt>
                <c:pt idx="1">
                  <c:v>7.2</c:v>
                </c:pt>
                <c:pt idx="2">
                  <c:v>6.8</c:v>
                </c:pt>
              </c:numCache>
            </c:numRef>
          </c:val>
          <c:smooth val="0"/>
          <c:extLst>
            <c:ext xmlns:c16="http://schemas.microsoft.com/office/drawing/2014/chart" uri="{C3380CC4-5D6E-409C-BE32-E72D297353CC}">
              <c16:uniqueId val="{00000000-D430-472B-9AE0-0A3A6EBC1395}"/>
            </c:ext>
          </c:extLst>
        </c:ser>
        <c:ser>
          <c:idx val="1"/>
          <c:order val="1"/>
          <c:tx>
            <c:strRef>
              <c:f>Protective!$C$61</c:f>
              <c:strCache>
                <c:ptCount val="1"/>
                <c:pt idx="0">
                  <c:v>Scottish Avg</c:v>
                </c:pt>
              </c:strCache>
            </c:strRef>
          </c:tx>
          <c:spPr>
            <a:ln w="28575" cap="rnd">
              <a:solidFill>
                <a:schemeClr val="bg1">
                  <a:lumMod val="75000"/>
                </a:schemeClr>
              </a:solidFill>
              <a:prstDash val="sysDot"/>
              <a:round/>
            </a:ln>
            <a:effectLst/>
          </c:spPr>
          <c:marker>
            <c:symbol val="circle"/>
            <c:size val="5"/>
            <c:spPr>
              <a:solidFill>
                <a:schemeClr val="bg1">
                  <a:lumMod val="75000"/>
                </a:schemeClr>
              </a:solidFill>
              <a:ln w="9525">
                <a:solidFill>
                  <a:schemeClr val="bg1">
                    <a:lumMod val="75000"/>
                  </a:schemeClr>
                </a:solidFill>
              </a:ln>
              <a:effectLst/>
            </c:spPr>
          </c:marker>
          <c:dLbls>
            <c:dLbl>
              <c:idx val="2"/>
              <c:layout>
                <c:manualLayout>
                  <c:x val="-3.6324362167267546E-2"/>
                  <c:y val="3.6296398356658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30-472B-9AE0-0A3A6EBC1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Protective!$A$62:$A$64</c:f>
              <c:strCache>
                <c:ptCount val="3"/>
                <c:pt idx="0">
                  <c:v>2016/17</c:v>
                </c:pt>
                <c:pt idx="1">
                  <c:v>2017/18</c:v>
                </c:pt>
                <c:pt idx="2">
                  <c:v>2018/19</c:v>
                </c:pt>
              </c:strCache>
            </c:strRef>
          </c:cat>
          <c:val>
            <c:numRef>
              <c:f>Protective!$C$62:$C$64</c:f>
              <c:numCache>
                <c:formatCode>0.00</c:formatCode>
                <c:ptCount val="3"/>
                <c:pt idx="0">
                  <c:v>7.1</c:v>
                </c:pt>
                <c:pt idx="1">
                  <c:v>6.7</c:v>
                </c:pt>
                <c:pt idx="2">
                  <c:v>7</c:v>
                </c:pt>
              </c:numCache>
            </c:numRef>
          </c:val>
          <c:smooth val="0"/>
          <c:extLst>
            <c:ext xmlns:c16="http://schemas.microsoft.com/office/drawing/2014/chart" uri="{C3380CC4-5D6E-409C-BE32-E72D297353CC}">
              <c16:uniqueId val="{00000002-D430-472B-9AE0-0A3A6EBC1395}"/>
            </c:ext>
          </c:extLst>
        </c:ser>
        <c:dLbls>
          <c:dLblPos val="b"/>
          <c:showLegendKey val="0"/>
          <c:showVal val="1"/>
          <c:showCatName val="0"/>
          <c:showSerName val="0"/>
          <c:showPercent val="0"/>
          <c:showBubbleSize val="0"/>
        </c:dLbls>
        <c:marker val="1"/>
        <c:smooth val="0"/>
        <c:axId val="612656192"/>
        <c:axId val="612655800"/>
      </c:lineChart>
      <c:catAx>
        <c:axId val="612656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5800"/>
        <c:crosses val="autoZero"/>
        <c:auto val="1"/>
        <c:lblAlgn val="ctr"/>
        <c:lblOffset val="100"/>
        <c:noMultiLvlLbl val="0"/>
      </c:catAx>
      <c:valAx>
        <c:axId val="612655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Absence Rate EPES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8023568390135"/>
          <c:y val="0.17929036777398938"/>
          <c:w val="0.85505287160229615"/>
          <c:h val="0.61431643695221627"/>
        </c:manualLayout>
      </c:layout>
      <c:lineChart>
        <c:grouping val="standard"/>
        <c:varyColors val="0"/>
        <c:ser>
          <c:idx val="0"/>
          <c:order val="0"/>
          <c:tx>
            <c:strRef>
              <c:f>Planning!$B$84</c:f>
              <c:strCache>
                <c:ptCount val="1"/>
                <c:pt idx="0">
                  <c:v>Fife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4066014209951339E-2"/>
                  <c:y val="6.9631051209913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EC-4ADB-B66D-F9D0D89B5C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Planning!$A$85:$A$87</c:f>
              <c:strCache>
                <c:ptCount val="3"/>
                <c:pt idx="0">
                  <c:v>2016/17</c:v>
                </c:pt>
                <c:pt idx="1">
                  <c:v>2017/18</c:v>
                </c:pt>
                <c:pt idx="2">
                  <c:v>2018/19</c:v>
                </c:pt>
              </c:strCache>
            </c:strRef>
          </c:cat>
          <c:val>
            <c:numRef>
              <c:f>Planning!$B$85:$B$87</c:f>
              <c:numCache>
                <c:formatCode>0.00</c:formatCode>
                <c:ptCount val="3"/>
                <c:pt idx="0">
                  <c:v>4.67</c:v>
                </c:pt>
                <c:pt idx="1">
                  <c:v>5.43</c:v>
                </c:pt>
                <c:pt idx="2">
                  <c:v>5.3</c:v>
                </c:pt>
              </c:numCache>
            </c:numRef>
          </c:val>
          <c:smooth val="0"/>
          <c:extLst>
            <c:ext xmlns:c16="http://schemas.microsoft.com/office/drawing/2014/chart" uri="{C3380CC4-5D6E-409C-BE32-E72D297353CC}">
              <c16:uniqueId val="{00000001-66EC-4ADB-B66D-F9D0D89B5C3E}"/>
            </c:ext>
          </c:extLst>
        </c:ser>
        <c:ser>
          <c:idx val="1"/>
          <c:order val="1"/>
          <c:tx>
            <c:strRef>
              <c:f>Planning!$C$84</c:f>
              <c:strCache>
                <c:ptCount val="1"/>
                <c:pt idx="0">
                  <c:v>EPES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5.7130601199280352E-2"/>
                  <c:y val="-5.2929593492656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EC-4ADB-B66D-F9D0D89B5C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Planning!$A$85:$A$87</c:f>
              <c:strCache>
                <c:ptCount val="3"/>
                <c:pt idx="0">
                  <c:v>2016/17</c:v>
                </c:pt>
                <c:pt idx="1">
                  <c:v>2017/18</c:v>
                </c:pt>
                <c:pt idx="2">
                  <c:v>2018/19</c:v>
                </c:pt>
              </c:strCache>
            </c:strRef>
          </c:cat>
          <c:val>
            <c:numRef>
              <c:f>Planning!$C$85:$C$87</c:f>
              <c:numCache>
                <c:formatCode>0.00</c:formatCode>
                <c:ptCount val="3"/>
                <c:pt idx="0">
                  <c:v>5.15</c:v>
                </c:pt>
                <c:pt idx="1">
                  <c:v>4.7300000000000004</c:v>
                </c:pt>
                <c:pt idx="2">
                  <c:v>3.72</c:v>
                </c:pt>
              </c:numCache>
            </c:numRef>
          </c:val>
          <c:smooth val="0"/>
          <c:extLst>
            <c:ext xmlns:c16="http://schemas.microsoft.com/office/drawing/2014/chart" uri="{C3380CC4-5D6E-409C-BE32-E72D297353CC}">
              <c16:uniqueId val="{00000003-66EC-4ADB-B66D-F9D0D89B5C3E}"/>
            </c:ext>
          </c:extLst>
        </c:ser>
        <c:dLbls>
          <c:dLblPos val="b"/>
          <c:showLegendKey val="0"/>
          <c:showVal val="1"/>
          <c:showCatName val="0"/>
          <c:showSerName val="0"/>
          <c:showPercent val="0"/>
          <c:showBubbleSize val="0"/>
        </c:dLbls>
        <c:marker val="1"/>
        <c:smooth val="0"/>
        <c:axId val="659605896"/>
        <c:axId val="659607072"/>
      </c:lineChart>
      <c:catAx>
        <c:axId val="6596058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607072"/>
        <c:crosses val="autoZero"/>
        <c:auto val="1"/>
        <c:lblAlgn val="ctr"/>
        <c:lblOffset val="100"/>
        <c:noMultiLvlLbl val="0"/>
      </c:catAx>
      <c:valAx>
        <c:axId val="659607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605896"/>
        <c:crosses val="autoZero"/>
        <c:crossBetween val="between"/>
      </c:valAx>
      <c:spPr>
        <a:noFill/>
        <a:ln>
          <a:noFill/>
        </a:ln>
        <a:effectLst/>
      </c:spPr>
    </c:plotArea>
    <c:legend>
      <c:legendPos val="b"/>
      <c:layout>
        <c:manualLayout>
          <c:xMode val="edge"/>
          <c:yMode val="edge"/>
          <c:x val="0.19268789030470218"/>
          <c:y val="0.8726507273682097"/>
          <c:w val="0.64583357793861507"/>
          <c:h val="9.3946357197276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Average Working Days Lost per Full Time Equivalent EPES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17486426229968113"/>
          <c:w val="0.8388209386783646"/>
          <c:h val="0.60204108470926754"/>
        </c:manualLayout>
      </c:layout>
      <c:lineChart>
        <c:grouping val="standard"/>
        <c:varyColors val="0"/>
        <c:ser>
          <c:idx val="0"/>
          <c:order val="0"/>
          <c:tx>
            <c:strRef>
              <c:f>Planning!$B$98</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5206559940517481E-2"/>
                  <c:y val="4.736244092023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28-4FF2-A2B6-5D397364E1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Planning!$A$99:$A$101</c:f>
              <c:strCache>
                <c:ptCount val="3"/>
                <c:pt idx="0">
                  <c:v>2016/17</c:v>
                </c:pt>
                <c:pt idx="1">
                  <c:v>2017/18</c:v>
                </c:pt>
                <c:pt idx="2">
                  <c:v>2018/19</c:v>
                </c:pt>
              </c:strCache>
            </c:strRef>
          </c:cat>
          <c:val>
            <c:numRef>
              <c:f>Planning!$B$99:$B$101</c:f>
              <c:numCache>
                <c:formatCode>0.00</c:formatCode>
                <c:ptCount val="3"/>
                <c:pt idx="0">
                  <c:v>10.130000000000001</c:v>
                </c:pt>
                <c:pt idx="1">
                  <c:v>11.78</c:v>
                </c:pt>
                <c:pt idx="2">
                  <c:v>11.59</c:v>
                </c:pt>
              </c:numCache>
            </c:numRef>
          </c:val>
          <c:smooth val="0"/>
          <c:extLst>
            <c:ext xmlns:c16="http://schemas.microsoft.com/office/drawing/2014/chart" uri="{C3380CC4-5D6E-409C-BE32-E72D297353CC}">
              <c16:uniqueId val="{00000001-1C28-4FF2-A2B6-5D397364E1A9}"/>
            </c:ext>
          </c:extLst>
        </c:ser>
        <c:ser>
          <c:idx val="1"/>
          <c:order val="1"/>
          <c:tx>
            <c:strRef>
              <c:f>Planning!$C$98</c:f>
              <c:strCache>
                <c:ptCount val="1"/>
                <c:pt idx="0">
                  <c:v>EPES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8.6067052521902151E-2"/>
                  <c:y val="-5.2929593492656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8-4FF2-A2B6-5D397364E1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Planning!$A$99:$A$101</c:f>
              <c:strCache>
                <c:ptCount val="3"/>
                <c:pt idx="0">
                  <c:v>2016/17</c:v>
                </c:pt>
                <c:pt idx="1">
                  <c:v>2017/18</c:v>
                </c:pt>
                <c:pt idx="2">
                  <c:v>2018/19</c:v>
                </c:pt>
              </c:strCache>
            </c:strRef>
          </c:cat>
          <c:val>
            <c:numRef>
              <c:f>Planning!$C$99:$C$101</c:f>
              <c:numCache>
                <c:formatCode>0.00</c:formatCode>
                <c:ptCount val="3"/>
                <c:pt idx="0">
                  <c:v>11.6</c:v>
                </c:pt>
                <c:pt idx="1">
                  <c:v>10.58</c:v>
                </c:pt>
                <c:pt idx="2">
                  <c:v>8.36</c:v>
                </c:pt>
              </c:numCache>
            </c:numRef>
          </c:val>
          <c:smooth val="0"/>
          <c:extLst>
            <c:ext xmlns:c16="http://schemas.microsoft.com/office/drawing/2014/chart" uri="{C3380CC4-5D6E-409C-BE32-E72D297353CC}">
              <c16:uniqueId val="{00000003-1C28-4FF2-A2B6-5D397364E1A9}"/>
            </c:ext>
          </c:extLst>
        </c:ser>
        <c:dLbls>
          <c:dLblPos val="b"/>
          <c:showLegendKey val="0"/>
          <c:showVal val="1"/>
          <c:showCatName val="0"/>
          <c:showSerName val="0"/>
          <c:showPercent val="0"/>
          <c:showBubbleSize val="0"/>
        </c:dLbls>
        <c:marker val="1"/>
        <c:smooth val="0"/>
        <c:axId val="376494296"/>
        <c:axId val="376494688"/>
      </c:lineChart>
      <c:catAx>
        <c:axId val="37649429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494688"/>
        <c:crosses val="autoZero"/>
        <c:auto val="1"/>
        <c:lblAlgn val="ctr"/>
        <c:lblOffset val="100"/>
        <c:noMultiLvlLbl val="0"/>
      </c:catAx>
      <c:valAx>
        <c:axId val="376494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494296"/>
        <c:crosses val="autoZero"/>
        <c:crossBetween val="between"/>
      </c:valAx>
      <c:spPr>
        <a:noFill/>
        <a:ln>
          <a:noFill/>
        </a:ln>
        <a:effectLst/>
      </c:spPr>
    </c:plotArea>
    <c:legend>
      <c:legendPos val="b"/>
      <c:layout>
        <c:manualLayout>
          <c:xMode val="edge"/>
          <c:yMode val="edge"/>
          <c:x val="0.13221117388726245"/>
          <c:y val="0.8726507273682097"/>
          <c:w val="0.82944959508196092"/>
          <c:h val="9.3946357197276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Long Term Working Days Lost per Full Time Equivalent EPES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19713287258935716"/>
          <c:w val="0.8388209386783646"/>
          <c:h val="0.59647393213684852"/>
        </c:manualLayout>
      </c:layout>
      <c:lineChart>
        <c:grouping val="standard"/>
        <c:varyColors val="0"/>
        <c:ser>
          <c:idx val="0"/>
          <c:order val="0"/>
          <c:tx>
            <c:strRef>
              <c:f>Planning!$B$113</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0756321523155452E-2"/>
                  <c:y val="4.736244092023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1B-42CA-BFC6-B62DCA325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Planning!$A$114:$A$116</c:f>
              <c:strCache>
                <c:ptCount val="3"/>
                <c:pt idx="0">
                  <c:v>2016/17</c:v>
                </c:pt>
                <c:pt idx="1">
                  <c:v>2017/18</c:v>
                </c:pt>
                <c:pt idx="2">
                  <c:v>2018/19</c:v>
                </c:pt>
              </c:strCache>
            </c:strRef>
          </c:cat>
          <c:val>
            <c:numRef>
              <c:f>Planning!$B$114:$B$116</c:f>
              <c:numCache>
                <c:formatCode>0.00</c:formatCode>
                <c:ptCount val="3"/>
                <c:pt idx="0">
                  <c:v>6.88</c:v>
                </c:pt>
                <c:pt idx="1">
                  <c:v>7.79</c:v>
                </c:pt>
                <c:pt idx="2">
                  <c:v>7.76</c:v>
                </c:pt>
              </c:numCache>
            </c:numRef>
          </c:val>
          <c:smooth val="0"/>
          <c:extLst>
            <c:ext xmlns:c16="http://schemas.microsoft.com/office/drawing/2014/chart" uri="{C3380CC4-5D6E-409C-BE32-E72D297353CC}">
              <c16:uniqueId val="{00000001-E11B-42CA-BFC6-B62DCA325579}"/>
            </c:ext>
          </c:extLst>
        </c:ser>
        <c:ser>
          <c:idx val="1"/>
          <c:order val="1"/>
          <c:tx>
            <c:strRef>
              <c:f>Planning!$C$113</c:f>
              <c:strCache>
                <c:ptCount val="1"/>
                <c:pt idx="0">
                  <c:v>EPES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5.7279572759591307E-2"/>
                  <c:y val="-5.2929593492656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1B-42CA-BFC6-B62DCA325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Planning!$A$114:$A$116</c:f>
              <c:strCache>
                <c:ptCount val="3"/>
                <c:pt idx="0">
                  <c:v>2016/17</c:v>
                </c:pt>
                <c:pt idx="1">
                  <c:v>2017/18</c:v>
                </c:pt>
                <c:pt idx="2">
                  <c:v>2018/19</c:v>
                </c:pt>
              </c:strCache>
            </c:strRef>
          </c:cat>
          <c:val>
            <c:numRef>
              <c:f>Planning!$C$114:$C$116</c:f>
              <c:numCache>
                <c:formatCode>0.00</c:formatCode>
                <c:ptCount val="3"/>
                <c:pt idx="0">
                  <c:v>8.5500000000000007</c:v>
                </c:pt>
                <c:pt idx="1">
                  <c:v>6.89</c:v>
                </c:pt>
                <c:pt idx="2">
                  <c:v>5.12</c:v>
                </c:pt>
              </c:numCache>
            </c:numRef>
          </c:val>
          <c:smooth val="0"/>
          <c:extLst>
            <c:ext xmlns:c16="http://schemas.microsoft.com/office/drawing/2014/chart" uri="{C3380CC4-5D6E-409C-BE32-E72D297353CC}">
              <c16:uniqueId val="{00000003-E11B-42CA-BFC6-B62DCA325579}"/>
            </c:ext>
          </c:extLst>
        </c:ser>
        <c:dLbls>
          <c:dLblPos val="t"/>
          <c:showLegendKey val="0"/>
          <c:showVal val="1"/>
          <c:showCatName val="0"/>
          <c:showSerName val="0"/>
          <c:showPercent val="0"/>
          <c:showBubbleSize val="0"/>
        </c:dLbls>
        <c:marker val="1"/>
        <c:smooth val="0"/>
        <c:axId val="372897984"/>
        <c:axId val="236005640"/>
      </c:lineChart>
      <c:catAx>
        <c:axId val="3728979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005640"/>
        <c:crosses val="autoZero"/>
        <c:auto val="1"/>
        <c:lblAlgn val="ctr"/>
        <c:lblOffset val="100"/>
        <c:noMultiLvlLbl val="0"/>
      </c:catAx>
      <c:valAx>
        <c:axId val="236005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97984"/>
        <c:crosses val="autoZero"/>
        <c:crossBetween val="between"/>
      </c:valAx>
      <c:spPr>
        <a:noFill/>
        <a:ln>
          <a:noFill/>
        </a:ln>
        <a:effectLst/>
      </c:spPr>
    </c:plotArea>
    <c:legend>
      <c:legendPos val="b"/>
      <c:layout>
        <c:manualLayout>
          <c:xMode val="edge"/>
          <c:yMode val="edge"/>
          <c:x val="0.12873442512369832"/>
          <c:y val="0.8726507273682097"/>
          <c:w val="0.82249609755483266"/>
          <c:h val="9.3946357197276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 of Building Warrant Applications responded to within 20 working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Protective!$B$78</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2.7777777777777779E-3"/>
                  <c:y val="0.10648148148148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DF-465E-8C11-0253F2C93811}"/>
                </c:ext>
              </c:extLst>
            </c:dLbl>
            <c:dLbl>
              <c:idx val="1"/>
              <c:layout>
                <c:manualLayout>
                  <c:x val="-5.0925337632079971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DF-465E-8C11-0253F2C93811}"/>
                </c:ext>
              </c:extLst>
            </c:dLbl>
            <c:dLbl>
              <c:idx val="2"/>
              <c:layout>
                <c:manualLayout>
                  <c:x val="0"/>
                  <c:y val="7.407407407407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DF-465E-8C11-0253F2C93811}"/>
                </c:ext>
              </c:extLst>
            </c:dLbl>
            <c:dLbl>
              <c:idx val="3"/>
              <c:layout>
                <c:manualLayout>
                  <c:x val="-8.3333333333335362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DF-465E-8C11-0253F2C938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Protective!$A$79:$A$82</c:f>
              <c:strCache>
                <c:ptCount val="4"/>
                <c:pt idx="0">
                  <c:v>2015/16</c:v>
                </c:pt>
                <c:pt idx="1">
                  <c:v>2016/17</c:v>
                </c:pt>
                <c:pt idx="2">
                  <c:v>2017/18</c:v>
                </c:pt>
                <c:pt idx="3">
                  <c:v>2018/19</c:v>
                </c:pt>
              </c:strCache>
            </c:strRef>
          </c:cat>
          <c:val>
            <c:numRef>
              <c:f>Protective!$B$79:$B$82</c:f>
              <c:numCache>
                <c:formatCode>0.00</c:formatCode>
                <c:ptCount val="4"/>
                <c:pt idx="0">
                  <c:v>98.52</c:v>
                </c:pt>
                <c:pt idx="1">
                  <c:v>93.79</c:v>
                </c:pt>
                <c:pt idx="2">
                  <c:v>93.81</c:v>
                </c:pt>
                <c:pt idx="3">
                  <c:v>92.83</c:v>
                </c:pt>
              </c:numCache>
            </c:numRef>
          </c:val>
          <c:smooth val="0"/>
          <c:extLst>
            <c:ext xmlns:c16="http://schemas.microsoft.com/office/drawing/2014/chart" uri="{C3380CC4-5D6E-409C-BE32-E72D297353CC}">
              <c16:uniqueId val="{00000004-ECDF-465E-8C11-0253F2C93811}"/>
            </c:ext>
          </c:extLst>
        </c:ser>
        <c:ser>
          <c:idx val="1"/>
          <c:order val="1"/>
          <c:tx>
            <c:strRef>
              <c:f>Protective!$C$78</c:f>
              <c:strCache>
                <c:ptCount val="1"/>
                <c:pt idx="0">
                  <c:v>Scotland</c:v>
                </c:pt>
              </c:strCache>
            </c:strRef>
          </c:tx>
          <c:spPr>
            <a:ln w="28575" cap="rnd">
              <a:solidFill>
                <a:schemeClr val="bg1">
                  <a:lumMod val="75000"/>
                </a:schemeClr>
              </a:solidFill>
              <a:prstDash val="sysDot"/>
              <a:round/>
            </a:ln>
            <a:effectLst/>
          </c:spPr>
          <c:marker>
            <c:symbol val="circle"/>
            <c:size val="5"/>
            <c:spPr>
              <a:solidFill>
                <a:schemeClr val="bg1">
                  <a:lumMod val="75000"/>
                </a:schemeClr>
              </a:solidFill>
              <a:ln w="9525">
                <a:solidFill>
                  <a:schemeClr val="bg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Protective!$A$79:$A$82</c:f>
              <c:strCache>
                <c:ptCount val="4"/>
                <c:pt idx="0">
                  <c:v>2015/16</c:v>
                </c:pt>
                <c:pt idx="1">
                  <c:v>2016/17</c:v>
                </c:pt>
                <c:pt idx="2">
                  <c:v>2017/18</c:v>
                </c:pt>
                <c:pt idx="3">
                  <c:v>2018/19</c:v>
                </c:pt>
              </c:strCache>
            </c:strRef>
          </c:cat>
          <c:val>
            <c:numRef>
              <c:f>Protective!$C$79:$C$82</c:f>
              <c:numCache>
                <c:formatCode>0.00</c:formatCode>
                <c:ptCount val="4"/>
                <c:pt idx="0">
                  <c:v>88.7</c:v>
                </c:pt>
                <c:pt idx="1">
                  <c:v>84.49</c:v>
                </c:pt>
                <c:pt idx="2">
                  <c:v>86.3</c:v>
                </c:pt>
                <c:pt idx="3">
                  <c:v>83.83</c:v>
                </c:pt>
              </c:numCache>
            </c:numRef>
          </c:val>
          <c:smooth val="0"/>
          <c:extLst>
            <c:ext xmlns:c16="http://schemas.microsoft.com/office/drawing/2014/chart" uri="{C3380CC4-5D6E-409C-BE32-E72D297353CC}">
              <c16:uniqueId val="{00000005-ECDF-465E-8C11-0253F2C93811}"/>
            </c:ext>
          </c:extLst>
        </c:ser>
        <c:dLbls>
          <c:showLegendKey val="0"/>
          <c:showVal val="0"/>
          <c:showCatName val="0"/>
          <c:showSerName val="0"/>
          <c:showPercent val="0"/>
          <c:showBubbleSize val="0"/>
        </c:dLbls>
        <c:marker val="1"/>
        <c:smooth val="0"/>
        <c:axId val="313007984"/>
        <c:axId val="313008376"/>
      </c:lineChart>
      <c:catAx>
        <c:axId val="313007984"/>
        <c:scaling>
          <c:orientation val="minMax"/>
        </c:scaling>
        <c:delete val="0"/>
        <c:axPos val="b"/>
        <c:numFmt formatCode="General" sourceLinked="1"/>
        <c:majorTickMark val="none"/>
        <c:minorTickMark val="none"/>
        <c:tickLblPos val="nextTo"/>
        <c:spPr>
          <a:noFill/>
          <a:ln w="9525" cap="flat" cmpd="sng" algn="ctr">
            <a:solidFill>
              <a:srgbClr val="1F4E7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08376"/>
        <c:crosses val="autoZero"/>
        <c:auto val="1"/>
        <c:lblAlgn val="ctr"/>
        <c:lblOffset val="100"/>
        <c:noMultiLvlLbl val="0"/>
      </c:catAx>
      <c:valAx>
        <c:axId val="313008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rgbClr val="1F4E7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0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 applications issued within 10 working days</a:t>
            </a:r>
          </a:p>
          <a:p>
            <a:pPr>
              <a:defRPr/>
            </a:pPr>
            <a:r>
              <a:rPr lang="en-US" sz="1000"/>
              <a:t> of receipt of all relevant information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Protective!$B$94</c:f>
              <c:strCache>
                <c:ptCount val="1"/>
                <c:pt idx="0">
                  <c:v>Building Standards</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Protective!$A$95:$A$96</c:f>
              <c:strCache>
                <c:ptCount val="2"/>
                <c:pt idx="0">
                  <c:v>2017/18</c:v>
                </c:pt>
                <c:pt idx="1">
                  <c:v>2018/19</c:v>
                </c:pt>
              </c:strCache>
            </c:strRef>
          </c:cat>
          <c:val>
            <c:numRef>
              <c:f>Protective!$B$95:$B$96</c:f>
              <c:numCache>
                <c:formatCode>#,##0.00</c:formatCode>
                <c:ptCount val="2"/>
                <c:pt idx="0">
                  <c:v>71.14</c:v>
                </c:pt>
                <c:pt idx="1">
                  <c:v>74.5</c:v>
                </c:pt>
              </c:numCache>
            </c:numRef>
          </c:val>
          <c:smooth val="0"/>
          <c:extLst>
            <c:ext xmlns:c16="http://schemas.microsoft.com/office/drawing/2014/chart" uri="{C3380CC4-5D6E-409C-BE32-E72D297353CC}">
              <c16:uniqueId val="{00000000-D683-4B47-AF98-DB0EEB9DA0A0}"/>
            </c:ext>
          </c:extLst>
        </c:ser>
        <c:dLbls>
          <c:dLblPos val="b"/>
          <c:showLegendKey val="0"/>
          <c:showVal val="1"/>
          <c:showCatName val="0"/>
          <c:showSerName val="0"/>
          <c:showPercent val="0"/>
          <c:showBubbleSize val="0"/>
        </c:dLbls>
        <c:marker val="1"/>
        <c:smooth val="0"/>
        <c:axId val="313009160"/>
        <c:axId val="313009552"/>
      </c:lineChart>
      <c:catAx>
        <c:axId val="313009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09552"/>
        <c:crosses val="autoZero"/>
        <c:auto val="1"/>
        <c:lblAlgn val="ctr"/>
        <c:lblOffset val="100"/>
        <c:noMultiLvlLbl val="0"/>
      </c:catAx>
      <c:valAx>
        <c:axId val="31300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0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Average working days to issue building warrant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Protective!$B$158</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6.1729811176953496E-2"/>
                  <c:y val="4.1795288347818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3A-47DD-A222-5628B71D8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Protective!$A$159:$A$162</c:f>
              <c:strCache>
                <c:ptCount val="4"/>
                <c:pt idx="0">
                  <c:v>2015/16</c:v>
                </c:pt>
                <c:pt idx="1">
                  <c:v>2016/17</c:v>
                </c:pt>
                <c:pt idx="2">
                  <c:v>2017/18</c:v>
                </c:pt>
                <c:pt idx="3">
                  <c:v>2018/19</c:v>
                </c:pt>
              </c:strCache>
            </c:strRef>
          </c:cat>
          <c:val>
            <c:numRef>
              <c:f>Protective!$B$159:$B$162</c:f>
              <c:numCache>
                <c:formatCode>0.00</c:formatCode>
                <c:ptCount val="4"/>
                <c:pt idx="0">
                  <c:v>61.53</c:v>
                </c:pt>
                <c:pt idx="1">
                  <c:v>67.099999999999994</c:v>
                </c:pt>
                <c:pt idx="2">
                  <c:v>64.989999999999995</c:v>
                </c:pt>
                <c:pt idx="3">
                  <c:v>60.11</c:v>
                </c:pt>
              </c:numCache>
            </c:numRef>
          </c:val>
          <c:smooth val="0"/>
          <c:extLst>
            <c:ext xmlns:c16="http://schemas.microsoft.com/office/drawing/2014/chart" uri="{C3380CC4-5D6E-409C-BE32-E72D297353CC}">
              <c16:uniqueId val="{00000001-8A3A-47DD-A222-5628B71D81FD}"/>
            </c:ext>
          </c:extLst>
        </c:ser>
        <c:ser>
          <c:idx val="1"/>
          <c:order val="1"/>
          <c:tx>
            <c:strRef>
              <c:f>Protective!$C$158</c:f>
              <c:strCache>
                <c:ptCount val="1"/>
                <c:pt idx="0">
                  <c:v>Scotland</c:v>
                </c:pt>
              </c:strCache>
            </c:strRef>
          </c:tx>
          <c:spPr>
            <a:ln w="28575" cap="rnd">
              <a:solidFill>
                <a:schemeClr val="bg1">
                  <a:lumMod val="75000"/>
                </a:schemeClr>
              </a:solidFill>
              <a:prstDash val="sysDot"/>
              <a:round/>
            </a:ln>
            <a:effectLst/>
          </c:spPr>
          <c:marker>
            <c:symbol val="circle"/>
            <c:size val="5"/>
            <c:spPr>
              <a:solidFill>
                <a:schemeClr val="bg1">
                  <a:lumMod val="75000"/>
                </a:schemeClr>
              </a:solidFill>
              <a:ln w="9525">
                <a:solidFill>
                  <a:schemeClr val="bg1">
                    <a:lumMod val="75000"/>
                  </a:schemeClr>
                </a:solidFill>
              </a:ln>
              <a:effectLst/>
            </c:spPr>
          </c:marker>
          <c:dLbls>
            <c:dLbl>
              <c:idx val="3"/>
              <c:layout>
                <c:manualLayout>
                  <c:x val="-6.8683308704081722E-2"/>
                  <c:y val="-5.8496746065075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3A-47DD-A222-5628B71D8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Protective!$A$159:$A$162</c:f>
              <c:strCache>
                <c:ptCount val="4"/>
                <c:pt idx="0">
                  <c:v>2015/16</c:v>
                </c:pt>
                <c:pt idx="1">
                  <c:v>2016/17</c:v>
                </c:pt>
                <c:pt idx="2">
                  <c:v>2017/18</c:v>
                </c:pt>
                <c:pt idx="3">
                  <c:v>2018/19</c:v>
                </c:pt>
              </c:strCache>
            </c:strRef>
          </c:cat>
          <c:val>
            <c:numRef>
              <c:f>Protective!$C$159:$C$162</c:f>
              <c:numCache>
                <c:formatCode>0.00</c:formatCode>
                <c:ptCount val="4"/>
                <c:pt idx="0">
                  <c:v>61</c:v>
                </c:pt>
                <c:pt idx="1">
                  <c:v>56</c:v>
                </c:pt>
                <c:pt idx="2">
                  <c:v>47</c:v>
                </c:pt>
                <c:pt idx="3">
                  <c:v>78</c:v>
                </c:pt>
              </c:numCache>
            </c:numRef>
          </c:val>
          <c:smooth val="0"/>
          <c:extLst>
            <c:ext xmlns:c16="http://schemas.microsoft.com/office/drawing/2014/chart" uri="{C3380CC4-5D6E-409C-BE32-E72D297353CC}">
              <c16:uniqueId val="{00000003-8A3A-47DD-A222-5628B71D81FD}"/>
            </c:ext>
          </c:extLst>
        </c:ser>
        <c:dLbls>
          <c:dLblPos val="t"/>
          <c:showLegendKey val="0"/>
          <c:showVal val="1"/>
          <c:showCatName val="0"/>
          <c:showSerName val="0"/>
          <c:showPercent val="0"/>
          <c:showBubbleSize val="0"/>
        </c:dLbls>
        <c:marker val="1"/>
        <c:smooth val="0"/>
        <c:axId val="313010336"/>
        <c:axId val="313010728"/>
      </c:lineChart>
      <c:catAx>
        <c:axId val="313010336"/>
        <c:scaling>
          <c:orientation val="minMax"/>
        </c:scaling>
        <c:delete val="0"/>
        <c:axPos val="b"/>
        <c:numFmt formatCode="General" sourceLinked="1"/>
        <c:majorTickMark val="none"/>
        <c:minorTickMark val="none"/>
        <c:tickLblPos val="nextTo"/>
        <c:spPr>
          <a:noFill/>
          <a:ln w="9525" cap="flat" cmpd="sng" algn="ctr">
            <a:solidFill>
              <a:srgbClr val="1F4E7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10728"/>
        <c:crosses val="autoZero"/>
        <c:auto val="1"/>
        <c:lblAlgn val="ctr"/>
        <c:lblOffset val="100"/>
        <c:noMultiLvlLbl val="0"/>
      </c:catAx>
      <c:valAx>
        <c:axId val="313010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rgbClr val="1F4E7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1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F83E10020D843946BC4606BA634DF8F7" ma:contentTypeVersion="12" ma:contentTypeDescription="" ma:contentTypeScope="" ma:versionID="d70da416a977ab5a8ee043f5d5e741dd">
  <xsd:schema xmlns:xsd="http://www.w3.org/2001/XMLSchema" xmlns:xs="http://www.w3.org/2001/XMLSchema" xmlns:p="http://schemas.microsoft.com/office/2006/metadata/properties" xmlns:ns2="264c5323-e590-4694-88b8-b70f18bb79bc" xmlns:ns3="75422c5c-010d-470d-a7c5-1822c7ba693e" targetNamespace="http://schemas.microsoft.com/office/2006/metadata/properties" ma:root="true" ma:fieldsID="bde459d1215dfc1e57f24dd10ec3530b" ns2:_="" ns3:_="">
    <xsd:import namespace="264c5323-e590-4694-88b8-b70f18bb79bc"/>
    <xsd:import namespace="75422c5c-010d-470d-a7c5-1822c7ba693e"/>
    <xsd:element name="properties">
      <xsd:complexType>
        <xsd:sequence>
          <xsd:element name="documentManagement">
            <xsd:complexType>
              <xsd:all>
                <xsd:element ref="ns2:Protective_x0020_Marking"/>
                <xsd:element ref="ns2:FinYearReq"/>
                <xsd:element ref="ns2:j7c3ea7b1fc84fa29f85968fcdc8726d" minOccurs="0"/>
                <xsd:element ref="ns2:TaxCatchAll" minOccurs="0"/>
                <xsd:element ref="ns2:TaxCatchAllLabel" minOccurs="0"/>
                <xsd:element ref="ns3:ItemPPRReq"/>
                <xsd:element ref="ns3:PolicyThemeReq"/>
                <xsd:element ref="ns3:ScoreCardTheme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FinYearReq" ma:index="9" ma:displayName="Fin Year*" ma:default="2021-03-31T00:00:00Z" ma:format="DateOnly" ma:internalName="FinYearReq" ma:readOnly="false">
      <xsd:simpleType>
        <xsd:restriction base="dms:DateTime"/>
      </xsd:simpleType>
    </xsd:element>
    <xsd:element name="j7c3ea7b1fc84fa29f85968fcdc8726d" ma:index="10" ma:taxonomy="true" ma:internalName="j7c3ea7b1fc84fa29f85968fcdc8726d" ma:taxonomyFieldName="FinancialYearReq" ma:displayName="Financial Year*" ma:readOnly="false" ma:default="" ma:fieldId="{37c3ea7b-1fc8-4fa2-9f85-968fcdc8726d}" ma:sspId="a91404d7-7751-41e8-a4ee-909c4e7c55f3" ma:termSetId="9b58a08c-f373-4f9a-9f4a-c004f449658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e204aa7-0da6-4e89-918d-778555bc74db}" ma:internalName="TaxCatchAll" ma:showField="CatchAllData" ma:web="75422c5c-010d-470d-a7c5-1822c7ba69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e204aa7-0da6-4e89-918d-778555bc74db}" ma:internalName="TaxCatchAllLabel" ma:readOnly="true" ma:showField="CatchAllDataLabel" ma:web="75422c5c-010d-470d-a7c5-1822c7ba69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422c5c-010d-470d-a7c5-1822c7ba693e" elementFormDefault="qualified">
    <xsd:import namespace="http://schemas.microsoft.com/office/2006/documentManagement/types"/>
    <xsd:import namespace="http://schemas.microsoft.com/office/infopath/2007/PartnerControls"/>
    <xsd:element name="ItemPPRReq" ma:index="14" ma:displayName="Item (PPR)*" ma:internalName="ItemPPRReq">
      <xsd:simpleType>
        <xsd:restriction base="dms:Choice">
          <xsd:enumeration value="Info Graphics"/>
          <xsd:enumeration value="Photograph"/>
          <xsd:enumeration value="PPR Report"/>
          <xsd:enumeration value="Committee Report"/>
          <xsd:enumeration value="Presentation"/>
          <xsd:enumeration value="E-Flyer"/>
          <xsd:enumeration value="Case Study"/>
          <xsd:enumeration value="Internal Guidance"/>
          <xsd:enumeration value="Survey"/>
          <xsd:enumeration value="Template"/>
          <xsd:enumeration value="SPI Direction"/>
          <xsd:enumeration value="Statutory Guidance"/>
          <xsd:enumeration value="Performance Page"/>
        </xsd:restriction>
      </xsd:simpleType>
    </xsd:element>
    <xsd:element name="PolicyThemeReq" ma:index="15" ma:displayName="Policy Theme*" ma:internalName="PolicyThemeReq" ma:readOnly="false">
      <xsd:simpleType>
        <xsd:restriction base="dms:Choice">
          <xsd:enumeration value="Community Safety"/>
          <xsd:enumeration value="Economy"/>
          <xsd:enumeration value="Education"/>
          <xsd:enumeration value="Environment"/>
          <xsd:enumeration value="Finance"/>
          <xsd:enumeration value="Sport and Leisure"/>
          <xsd:enumeration value="Organisation"/>
          <xsd:enumeration value="Housing"/>
          <xsd:enumeration value="Not Applicable"/>
        </xsd:restriction>
      </xsd:simpleType>
    </xsd:element>
    <xsd:element name="ScoreCardThemeReq" ma:index="16" ma:displayName="Score Card Theme*" ma:internalName="ScoreCardThemeReq" ma:readOnly="false">
      <xsd:simpleType>
        <xsd:restriction base="dms:Choice">
          <xsd:enumeration value="Customer"/>
          <xsd:enumeration value="Cost"/>
          <xsd:enumeration value="Not Applicable"/>
          <xsd:enumeration value="People"/>
          <xsd:enumeration value="Responsiven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coreCardThemeReq xmlns="75422c5c-010d-470d-a7c5-1822c7ba693e">Not Applicable</ScoreCardThemeReq>
    <FinYearReq xmlns="264c5323-e590-4694-88b8-b70f18bb79bc">2021-03-31T00:00:00+00:00</FinYearReq>
    <TaxCatchAll xmlns="264c5323-e590-4694-88b8-b70f18bb79bc">
      <Value>58</Value>
    </TaxCatchAll>
    <j7c3ea7b1fc84fa29f85968fcdc8726d xmlns="264c5323-e590-4694-88b8-b70f18bb79bc">
      <Terms xmlns="http://schemas.microsoft.com/office/infopath/2007/PartnerControls">
        <TermInfo xmlns="http://schemas.microsoft.com/office/infopath/2007/PartnerControls">
          <TermName xmlns="http://schemas.microsoft.com/office/infopath/2007/PartnerControls">2018 - 2019</TermName>
          <TermId xmlns="http://schemas.microsoft.com/office/infopath/2007/PartnerControls">615afd54-f9aa-41fa-86a7-1f9dd92a1838</TermId>
        </TermInfo>
      </Terms>
    </j7c3ea7b1fc84fa29f85968fcdc8726d>
    <Protective_x0020_Marking xmlns="264c5323-e590-4694-88b8-b70f18bb79bc">OFFICIAL</Protective_x0020_Marking>
    <ItemPPRReq xmlns="75422c5c-010d-470d-a7c5-1822c7ba693e">Performance Page</ItemPPRReq>
    <PolicyThemeReq xmlns="75422c5c-010d-470d-a7c5-1822c7ba693e">Not Applicable</PolicyThemeReq>
  </documentManagement>
</p:properties>
</file>

<file path=customXml/itemProps1.xml><?xml version="1.0" encoding="utf-8"?>
<ds:datastoreItem xmlns:ds="http://schemas.openxmlformats.org/officeDocument/2006/customXml" ds:itemID="{2596E911-5A65-4557-9E2E-B8F50D423F10}">
  <ds:schemaRefs>
    <ds:schemaRef ds:uri="http://schemas.openxmlformats.org/officeDocument/2006/bibliography"/>
  </ds:schemaRefs>
</ds:datastoreItem>
</file>

<file path=customXml/itemProps2.xml><?xml version="1.0" encoding="utf-8"?>
<ds:datastoreItem xmlns:ds="http://schemas.openxmlformats.org/officeDocument/2006/customXml" ds:itemID="{614C15FD-85BA-4836-B3F9-22CBB97A321A}"/>
</file>

<file path=customXml/itemProps3.xml><?xml version="1.0" encoding="utf-8"?>
<ds:datastoreItem xmlns:ds="http://schemas.openxmlformats.org/officeDocument/2006/customXml" ds:itemID="{8D56C996-11C4-41F1-AF8F-22D6C1644BB0}"/>
</file>

<file path=customXml/itemProps4.xml><?xml version="1.0" encoding="utf-8"?>
<ds:datastoreItem xmlns:ds="http://schemas.openxmlformats.org/officeDocument/2006/customXml" ds:itemID="{0E852056-38D1-40FB-80E0-967460AE5A58}"/>
</file>

<file path=customXml/itemProps5.xml><?xml version="1.0" encoding="utf-8"?>
<ds:datastoreItem xmlns:ds="http://schemas.openxmlformats.org/officeDocument/2006/customXml" ds:itemID="{C8F1074F-236E-4BF3-B51D-9C87ECBFD594}"/>
</file>

<file path=docProps/app.xml><?xml version="1.0" encoding="utf-8"?>
<Properties xmlns="http://schemas.openxmlformats.org/officeDocument/2006/extended-properties" xmlns:vt="http://schemas.openxmlformats.org/officeDocument/2006/docPropsVTypes">
  <Template>Normal</Template>
  <TotalTime>0</TotalTime>
  <Pages>10</Pages>
  <Words>1323</Words>
  <Characters>7543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Policy, Finance and Asset Management Committee</vt:lpstr>
    </vt:vector>
  </TitlesOfParts>
  <Company>Fife Council</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Finance and Asset Management Committee</dc:title>
  <dc:subject/>
  <dc:creator>Jim Lumsden</dc:creator>
  <cp:keywords/>
  <cp:lastModifiedBy>Jacqui Prokes</cp:lastModifiedBy>
  <cp:revision>2</cp:revision>
  <cp:lastPrinted>2019-08-12T10:45:00Z</cp:lastPrinted>
  <dcterms:created xsi:type="dcterms:W3CDTF">2020-11-17T11:16:00Z</dcterms:created>
  <dcterms:modified xsi:type="dcterms:W3CDTF">2020-11-17T11:16:00Z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/sites/mgtcor/per-mgt-dc/PublicPerformanceReporting</vt:lpwstr>
  </property>
  <property fmtid="{D5CDD505-2E9C-101B-9397-08002B2CF9AE}" pid="3" name="ContentTypeId">
    <vt:lpwstr>0x010100A2637EAA83360140BB49E0F830C79BBC0100F83E10020D843946BC4606BA634DF8F7</vt:lpwstr>
  </property>
  <property fmtid="{D5CDD505-2E9C-101B-9397-08002B2CF9AE}" pid="4" name="_dlc_ExpireDate">
    <vt:filetime>2021-11-17T12:17:48Z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6" name="FinancialYearReq">
    <vt:lpwstr>58;#2018 - 2019|615afd54-f9aa-41fa-86a7-1f9dd92a1838</vt:lpwstr>
  </property>
</Properties>
</file>