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W w:w="0" w:type="auto"/>
        <w:tblLayout w:type="fixed"/>
        <w:tblLook w:val="01E0" w:firstRow="1" w:lastRow="1" w:firstColumn="1" w:lastColumn="1" w:noHBand="0" w:noVBand="0"/>
      </w:tblPr>
      <w:tblGrid>
        <w:gridCol w:w="3135"/>
        <w:gridCol w:w="6840"/>
      </w:tblGrid>
      <w:tr w:rsidR="00495725" w:rsidRPr="00D33AF5" w14:paraId="34132184" w14:textId="77777777" w:rsidTr="00F6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Pr>
          <w:p w14:paraId="066EBE24" w14:textId="77777777" w:rsidR="00495725" w:rsidRPr="00D33AF5" w:rsidRDefault="008343AC" w:rsidP="002B0CC5">
            <w:pPr>
              <w:rPr>
                <w:b w:val="0"/>
                <w:sz w:val="22"/>
                <w:szCs w:val="22"/>
              </w:rPr>
            </w:pPr>
            <w:r>
              <w:rPr>
                <w:b w:val="0"/>
                <w:sz w:val="22"/>
                <w:szCs w:val="22"/>
              </w:rPr>
              <w:t>Programme</w:t>
            </w:r>
            <w:r w:rsidR="00A34275">
              <w:rPr>
                <w:b w:val="0"/>
                <w:sz w:val="22"/>
                <w:szCs w:val="22"/>
              </w:rPr>
              <w:t xml:space="preserve"> t</w:t>
            </w:r>
            <w:r w:rsidR="00D137F1" w:rsidRPr="00D33AF5">
              <w:rPr>
                <w:b w:val="0"/>
                <w:sz w:val="22"/>
                <w:szCs w:val="22"/>
              </w:rPr>
              <w:t>itle</w:t>
            </w:r>
          </w:p>
        </w:tc>
        <w:tc>
          <w:tcPr>
            <w:cnfStyle w:val="000100000000" w:firstRow="0" w:lastRow="0" w:firstColumn="0" w:lastColumn="1" w:oddVBand="0" w:evenVBand="0" w:oddHBand="0" w:evenHBand="0" w:firstRowFirstColumn="0" w:firstRowLastColumn="0" w:lastRowFirstColumn="0" w:lastRowLastColumn="0"/>
            <w:tcW w:w="6840" w:type="dxa"/>
          </w:tcPr>
          <w:p w14:paraId="61812FC9" w14:textId="77777777" w:rsidR="00495725" w:rsidRPr="009061BF" w:rsidRDefault="004866D9" w:rsidP="00756CE4">
            <w:pPr>
              <w:rPr>
                <w:sz w:val="22"/>
                <w:szCs w:val="22"/>
              </w:rPr>
            </w:pPr>
            <w:r>
              <w:rPr>
                <w:sz w:val="22"/>
                <w:szCs w:val="22"/>
              </w:rPr>
              <w:t>Procurement</w:t>
            </w:r>
            <w:r w:rsidR="009061BF" w:rsidRPr="009061BF">
              <w:rPr>
                <w:sz w:val="22"/>
                <w:szCs w:val="22"/>
              </w:rPr>
              <w:t xml:space="preserve"> Programme</w:t>
            </w:r>
          </w:p>
        </w:tc>
      </w:tr>
      <w:tr w:rsidR="00495725" w:rsidRPr="00D33AF5" w14:paraId="0B4AE180" w14:textId="77777777" w:rsidTr="00F62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Pr>
          <w:p w14:paraId="5CF98338" w14:textId="77777777" w:rsidR="00495725" w:rsidRPr="00D33AF5" w:rsidRDefault="00447B3B" w:rsidP="002B0CC5">
            <w:pPr>
              <w:rPr>
                <w:b/>
                <w:sz w:val="22"/>
                <w:szCs w:val="22"/>
              </w:rPr>
            </w:pPr>
            <w:r>
              <w:rPr>
                <w:b/>
                <w:sz w:val="22"/>
                <w:szCs w:val="22"/>
              </w:rPr>
              <w:t>Programme</w:t>
            </w:r>
            <w:r w:rsidR="00495725" w:rsidRPr="00D33AF5">
              <w:rPr>
                <w:b/>
                <w:sz w:val="22"/>
                <w:szCs w:val="22"/>
              </w:rPr>
              <w:t xml:space="preserve"> Manager</w:t>
            </w:r>
          </w:p>
        </w:tc>
        <w:tc>
          <w:tcPr>
            <w:cnfStyle w:val="000100000000" w:firstRow="0" w:lastRow="0" w:firstColumn="0" w:lastColumn="1" w:oddVBand="0" w:evenVBand="0" w:oddHBand="0" w:evenHBand="0" w:firstRowFirstColumn="0" w:firstRowLastColumn="0" w:lastRowFirstColumn="0" w:lastRowLastColumn="0"/>
            <w:tcW w:w="6840" w:type="dxa"/>
          </w:tcPr>
          <w:p w14:paraId="6B2BD302" w14:textId="77777777" w:rsidR="00495725" w:rsidRPr="009061BF" w:rsidRDefault="009061BF" w:rsidP="002B0CC5">
            <w:pPr>
              <w:rPr>
                <w:sz w:val="22"/>
                <w:szCs w:val="22"/>
              </w:rPr>
            </w:pPr>
            <w:r w:rsidRPr="009061BF">
              <w:rPr>
                <w:sz w:val="22"/>
                <w:szCs w:val="22"/>
              </w:rPr>
              <w:t>Stuart Fargie</w:t>
            </w:r>
          </w:p>
        </w:tc>
      </w:tr>
      <w:tr w:rsidR="00447B3B" w:rsidRPr="00D33AF5" w14:paraId="15514743" w14:textId="77777777" w:rsidTr="00F621E0">
        <w:tc>
          <w:tcPr>
            <w:cnfStyle w:val="001000000000" w:firstRow="0" w:lastRow="0" w:firstColumn="1" w:lastColumn="0" w:oddVBand="0" w:evenVBand="0" w:oddHBand="0" w:evenHBand="0" w:firstRowFirstColumn="0" w:firstRowLastColumn="0" w:lastRowFirstColumn="0" w:lastRowLastColumn="0"/>
            <w:tcW w:w="3135" w:type="dxa"/>
          </w:tcPr>
          <w:p w14:paraId="52B9A305" w14:textId="77777777" w:rsidR="00447B3B" w:rsidRDefault="00447B3B" w:rsidP="002B0CC5">
            <w:pPr>
              <w:rPr>
                <w:b/>
                <w:sz w:val="22"/>
                <w:szCs w:val="22"/>
              </w:rPr>
            </w:pPr>
            <w:r>
              <w:rPr>
                <w:b/>
                <w:sz w:val="22"/>
                <w:szCs w:val="22"/>
              </w:rPr>
              <w:t>Business Change Manager</w:t>
            </w:r>
          </w:p>
        </w:tc>
        <w:tc>
          <w:tcPr>
            <w:cnfStyle w:val="000100000000" w:firstRow="0" w:lastRow="0" w:firstColumn="0" w:lastColumn="1" w:oddVBand="0" w:evenVBand="0" w:oddHBand="0" w:evenHBand="0" w:firstRowFirstColumn="0" w:firstRowLastColumn="0" w:lastRowFirstColumn="0" w:lastRowLastColumn="0"/>
            <w:tcW w:w="6840" w:type="dxa"/>
          </w:tcPr>
          <w:p w14:paraId="36AFE782" w14:textId="77777777" w:rsidR="00447B3B" w:rsidRPr="009061BF" w:rsidRDefault="00447B3B" w:rsidP="002B0CC5">
            <w:pPr>
              <w:rPr>
                <w:sz w:val="22"/>
                <w:szCs w:val="22"/>
              </w:rPr>
            </w:pPr>
          </w:p>
        </w:tc>
      </w:tr>
      <w:tr w:rsidR="00495725" w:rsidRPr="00D33AF5" w14:paraId="1171D767" w14:textId="77777777" w:rsidTr="00F621E0">
        <w:tc>
          <w:tcPr>
            <w:cnfStyle w:val="001000000001" w:firstRow="0" w:lastRow="0" w:firstColumn="1" w:lastColumn="0" w:oddVBand="0" w:evenVBand="0" w:oddHBand="0" w:evenHBand="0" w:firstRowFirstColumn="0" w:firstRowLastColumn="0" w:lastRowFirstColumn="1" w:lastRowLastColumn="0"/>
            <w:tcW w:w="3135" w:type="dxa"/>
          </w:tcPr>
          <w:p w14:paraId="6A27916E" w14:textId="77777777" w:rsidR="00495725" w:rsidRPr="00D33AF5" w:rsidRDefault="00495725" w:rsidP="002B0CC5">
            <w:pPr>
              <w:rPr>
                <w:b w:val="0"/>
                <w:sz w:val="22"/>
                <w:szCs w:val="22"/>
              </w:rPr>
            </w:pPr>
            <w:r w:rsidRPr="00D33AF5">
              <w:rPr>
                <w:b w:val="0"/>
                <w:sz w:val="22"/>
                <w:szCs w:val="22"/>
              </w:rPr>
              <w:t>Date</w:t>
            </w:r>
            <w:r w:rsidR="007F1BDE" w:rsidRPr="00D33AF5">
              <w:rPr>
                <w:b w:val="0"/>
                <w:sz w:val="22"/>
                <w:szCs w:val="22"/>
              </w:rPr>
              <w:t xml:space="preserve"> &amp; v</w:t>
            </w:r>
            <w:r w:rsidR="00F20D9C" w:rsidRPr="00D33AF5">
              <w:rPr>
                <w:b w:val="0"/>
                <w:sz w:val="22"/>
                <w:szCs w:val="22"/>
              </w:rPr>
              <w:t>ersion</w:t>
            </w:r>
          </w:p>
        </w:tc>
        <w:tc>
          <w:tcPr>
            <w:cnfStyle w:val="000100000000" w:firstRow="0" w:lastRow="0" w:firstColumn="0" w:lastColumn="1" w:oddVBand="0" w:evenVBand="0" w:oddHBand="0" w:evenHBand="0" w:firstRowFirstColumn="0" w:firstRowLastColumn="0" w:lastRowFirstColumn="0" w:lastRowLastColumn="0"/>
            <w:tcW w:w="6840" w:type="dxa"/>
          </w:tcPr>
          <w:p w14:paraId="0B031CBB" w14:textId="77777777" w:rsidR="00495725" w:rsidRPr="009061BF" w:rsidRDefault="00DA27F2" w:rsidP="002B0CC5">
            <w:pPr>
              <w:rPr>
                <w:sz w:val="22"/>
                <w:szCs w:val="22"/>
              </w:rPr>
            </w:pPr>
            <w:r>
              <w:rPr>
                <w:sz w:val="22"/>
                <w:szCs w:val="22"/>
              </w:rPr>
              <w:t>1</w:t>
            </w:r>
            <w:r w:rsidR="009061BF" w:rsidRPr="009061BF">
              <w:rPr>
                <w:sz w:val="22"/>
                <w:szCs w:val="22"/>
              </w:rPr>
              <w:t>9/</w:t>
            </w:r>
            <w:r>
              <w:rPr>
                <w:sz w:val="22"/>
                <w:szCs w:val="22"/>
              </w:rPr>
              <w:t>3</w:t>
            </w:r>
            <w:r w:rsidR="009061BF" w:rsidRPr="009061BF">
              <w:rPr>
                <w:sz w:val="22"/>
                <w:szCs w:val="22"/>
              </w:rPr>
              <w:t xml:space="preserve">/2021 </w:t>
            </w:r>
            <w:r>
              <w:rPr>
                <w:sz w:val="22"/>
                <w:szCs w:val="22"/>
              </w:rPr>
              <w:t>Final</w:t>
            </w:r>
          </w:p>
        </w:tc>
      </w:tr>
    </w:tbl>
    <w:p w14:paraId="57613700" w14:textId="77777777" w:rsidR="00AA7AEF" w:rsidRPr="00AA7AEF" w:rsidRDefault="00AA7AEF" w:rsidP="00106D46">
      <w:pPr>
        <w:tabs>
          <w:tab w:val="left" w:pos="425"/>
        </w:tabs>
        <w:rPr>
          <w:sz w:val="22"/>
          <w:szCs w:val="22"/>
        </w:rPr>
      </w:pPr>
    </w:p>
    <w:p w14:paraId="4787D7C3" w14:textId="77777777" w:rsidR="00194AC0" w:rsidRDefault="007F1BDE" w:rsidP="00194AC0">
      <w:pPr>
        <w:tabs>
          <w:tab w:val="left" w:pos="425"/>
        </w:tabs>
        <w:rPr>
          <w:b/>
        </w:rPr>
      </w:pPr>
      <w:r>
        <w:rPr>
          <w:b/>
        </w:rPr>
        <w:t>Document h</w:t>
      </w:r>
      <w:r w:rsidR="00194AC0">
        <w:rPr>
          <w:b/>
        </w:rPr>
        <w:t>istory</w:t>
      </w:r>
    </w:p>
    <w:tbl>
      <w:tblPr>
        <w:tblStyle w:val="TableClassic1"/>
        <w:tblW w:w="9975" w:type="dxa"/>
        <w:tblLook w:val="01E0" w:firstRow="1" w:lastRow="1" w:firstColumn="1" w:lastColumn="1" w:noHBand="0" w:noVBand="0"/>
      </w:tblPr>
      <w:tblGrid>
        <w:gridCol w:w="1366"/>
        <w:gridCol w:w="1026"/>
        <w:gridCol w:w="2450"/>
        <w:gridCol w:w="5133"/>
      </w:tblGrid>
      <w:tr w:rsidR="00194AC0" w:rsidRPr="00D33AF5" w14:paraId="1F201567" w14:textId="77777777" w:rsidTr="00F6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Pr>
          <w:p w14:paraId="416D28BC" w14:textId="77777777" w:rsidR="00194AC0" w:rsidRPr="00D33AF5" w:rsidRDefault="006A1D49" w:rsidP="00D33AF5">
            <w:pPr>
              <w:tabs>
                <w:tab w:val="left" w:pos="425"/>
              </w:tabs>
              <w:rPr>
                <w:b/>
                <w:sz w:val="22"/>
                <w:szCs w:val="22"/>
              </w:rPr>
            </w:pPr>
            <w:r>
              <w:rPr>
                <w:b/>
                <w:sz w:val="22"/>
                <w:szCs w:val="22"/>
              </w:rPr>
              <w:t>Date</w:t>
            </w:r>
          </w:p>
        </w:tc>
        <w:tc>
          <w:tcPr>
            <w:tcW w:w="1026" w:type="dxa"/>
          </w:tcPr>
          <w:p w14:paraId="13C0866C" w14:textId="77777777" w:rsidR="00194AC0" w:rsidRPr="00D33AF5" w:rsidRDefault="006A1D49" w:rsidP="00D33AF5">
            <w:pPr>
              <w:tabs>
                <w:tab w:val="left" w:pos="42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Version</w:t>
            </w:r>
          </w:p>
        </w:tc>
        <w:tc>
          <w:tcPr>
            <w:tcW w:w="2450" w:type="dxa"/>
          </w:tcPr>
          <w:p w14:paraId="5BF193B5" w14:textId="77777777" w:rsidR="00194AC0" w:rsidRPr="00D33AF5" w:rsidRDefault="006A1D49" w:rsidP="00D33AF5">
            <w:pPr>
              <w:tabs>
                <w:tab w:val="left" w:pos="42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Last revised by</w:t>
            </w:r>
          </w:p>
        </w:tc>
        <w:tc>
          <w:tcPr>
            <w:cnfStyle w:val="000000001000" w:firstRow="0" w:lastRow="0" w:firstColumn="0" w:lastColumn="0" w:oddVBand="0" w:evenVBand="0" w:oddHBand="0" w:evenHBand="0" w:firstRowFirstColumn="0" w:firstRowLastColumn="1" w:lastRowFirstColumn="0" w:lastRowLastColumn="0"/>
            <w:tcW w:w="5133" w:type="dxa"/>
          </w:tcPr>
          <w:p w14:paraId="5DBC629D" w14:textId="77777777" w:rsidR="00194AC0" w:rsidRPr="00D33AF5" w:rsidRDefault="006A1D49" w:rsidP="00D33AF5">
            <w:pPr>
              <w:tabs>
                <w:tab w:val="left" w:pos="425"/>
              </w:tabs>
              <w:rPr>
                <w:b w:val="0"/>
                <w:sz w:val="22"/>
                <w:szCs w:val="22"/>
              </w:rPr>
            </w:pPr>
            <w:r>
              <w:rPr>
                <w:b w:val="0"/>
                <w:sz w:val="22"/>
                <w:szCs w:val="22"/>
              </w:rPr>
              <w:t>Details of revision</w:t>
            </w:r>
          </w:p>
        </w:tc>
      </w:tr>
    </w:tbl>
    <w:p w14:paraId="2CE1C744" w14:textId="77777777" w:rsidR="00217946" w:rsidRDefault="00217946" w:rsidP="00194AC0">
      <w:pPr>
        <w:tabs>
          <w:tab w:val="left" w:pos="425"/>
        </w:tabs>
        <w:rPr>
          <w:sz w:val="22"/>
          <w:szCs w:val="22"/>
        </w:rPr>
        <w:sectPr w:rsidR="00217946" w:rsidSect="00495725">
          <w:headerReference w:type="default" r:id="rId11"/>
          <w:footerReference w:type="default" r:id="rId12"/>
          <w:pgSz w:w="11906" w:h="16838" w:code="9"/>
          <w:pgMar w:top="1418" w:right="851" w:bottom="851" w:left="1134" w:header="709" w:footer="709" w:gutter="0"/>
          <w:cols w:space="708"/>
          <w:docGrid w:linePitch="360"/>
        </w:sectPr>
      </w:pPr>
    </w:p>
    <w:tbl>
      <w:tblPr>
        <w:tblStyle w:val="TableClassic1"/>
        <w:tblW w:w="9975" w:type="dxa"/>
        <w:tblLayout w:type="fixed"/>
        <w:tblLook w:val="01E0" w:firstRow="1" w:lastRow="1" w:firstColumn="1" w:lastColumn="1" w:noHBand="0" w:noVBand="0"/>
      </w:tblPr>
      <w:tblGrid>
        <w:gridCol w:w="1366"/>
        <w:gridCol w:w="1026"/>
        <w:gridCol w:w="2450"/>
        <w:gridCol w:w="5133"/>
      </w:tblGrid>
      <w:tr w:rsidR="00194AC0" w:rsidRPr="00D33AF5" w14:paraId="3C0E6532" w14:textId="77777777" w:rsidTr="00F6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Pr>
          <w:p w14:paraId="6CA6540B" w14:textId="77777777" w:rsidR="00194AC0" w:rsidRDefault="008A2FA3" w:rsidP="00D33AF5">
            <w:pPr>
              <w:tabs>
                <w:tab w:val="left" w:pos="425"/>
              </w:tabs>
              <w:rPr>
                <w:sz w:val="22"/>
                <w:szCs w:val="22"/>
              </w:rPr>
            </w:pPr>
            <w:r>
              <w:rPr>
                <w:sz w:val="22"/>
                <w:szCs w:val="22"/>
              </w:rPr>
              <w:t>12/03</w:t>
            </w:r>
            <w:r w:rsidR="009061BF" w:rsidRPr="009061BF">
              <w:rPr>
                <w:sz w:val="22"/>
                <w:szCs w:val="22"/>
              </w:rPr>
              <w:t>/2021</w:t>
            </w:r>
          </w:p>
          <w:p w14:paraId="43F309C1" w14:textId="77777777" w:rsidR="00A342BD" w:rsidRPr="009061BF" w:rsidRDefault="00A342BD" w:rsidP="00D33AF5">
            <w:pPr>
              <w:tabs>
                <w:tab w:val="left" w:pos="425"/>
              </w:tabs>
              <w:rPr>
                <w:sz w:val="22"/>
                <w:szCs w:val="22"/>
              </w:rPr>
            </w:pPr>
            <w:r>
              <w:rPr>
                <w:sz w:val="22"/>
                <w:szCs w:val="22"/>
              </w:rPr>
              <w:t>19/03/3021</w:t>
            </w:r>
          </w:p>
        </w:tc>
        <w:tc>
          <w:tcPr>
            <w:tcW w:w="1026" w:type="dxa"/>
          </w:tcPr>
          <w:p w14:paraId="5DCA1058" w14:textId="77777777" w:rsidR="00194AC0" w:rsidRDefault="00A342BD" w:rsidP="00D33AF5">
            <w:pPr>
              <w:tabs>
                <w:tab w:val="left" w:pos="425"/>
              </w:tabs>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1</w:t>
            </w:r>
          </w:p>
          <w:p w14:paraId="2BE1FB01" w14:textId="77777777" w:rsidR="00A342BD" w:rsidRPr="009061BF" w:rsidRDefault="00A342BD" w:rsidP="00D33AF5">
            <w:pPr>
              <w:tabs>
                <w:tab w:val="left" w:pos="425"/>
              </w:tabs>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2450" w:type="dxa"/>
          </w:tcPr>
          <w:p w14:paraId="17671295" w14:textId="77777777" w:rsidR="00194AC0" w:rsidRDefault="00EF16D2" w:rsidP="00D33AF5">
            <w:pPr>
              <w:tabs>
                <w:tab w:val="left" w:pos="425"/>
              </w:tabs>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S Fargie </w:t>
            </w:r>
          </w:p>
          <w:p w14:paraId="6840A0F6" w14:textId="77777777" w:rsidR="00A342BD" w:rsidRPr="009061BF" w:rsidRDefault="00A342BD" w:rsidP="00D33AF5">
            <w:pPr>
              <w:tabs>
                <w:tab w:val="left" w:pos="425"/>
              </w:tabs>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 Fargie</w:t>
            </w:r>
          </w:p>
        </w:tc>
        <w:tc>
          <w:tcPr>
            <w:cnfStyle w:val="000000001000" w:firstRow="0" w:lastRow="0" w:firstColumn="0" w:lastColumn="0" w:oddVBand="0" w:evenVBand="0" w:oddHBand="0" w:evenHBand="0" w:firstRowFirstColumn="0" w:firstRowLastColumn="1" w:lastRowFirstColumn="0" w:lastRowLastColumn="0"/>
            <w:tcW w:w="5133" w:type="dxa"/>
          </w:tcPr>
          <w:p w14:paraId="126BFE79" w14:textId="77777777" w:rsidR="009061BF" w:rsidRDefault="009061BF" w:rsidP="00D33AF5">
            <w:pPr>
              <w:tabs>
                <w:tab w:val="left" w:pos="425"/>
              </w:tabs>
              <w:rPr>
                <w:sz w:val="22"/>
                <w:szCs w:val="22"/>
              </w:rPr>
            </w:pPr>
            <w:r w:rsidRPr="009061BF">
              <w:rPr>
                <w:sz w:val="22"/>
                <w:szCs w:val="22"/>
              </w:rPr>
              <w:t>1</w:t>
            </w:r>
            <w:r w:rsidRPr="009061BF">
              <w:rPr>
                <w:sz w:val="22"/>
                <w:szCs w:val="22"/>
                <w:vertAlign w:val="superscript"/>
              </w:rPr>
              <w:t>st</w:t>
            </w:r>
            <w:r w:rsidRPr="009061BF">
              <w:rPr>
                <w:sz w:val="22"/>
                <w:szCs w:val="22"/>
              </w:rPr>
              <w:t xml:space="preserve"> draft</w:t>
            </w:r>
          </w:p>
          <w:p w14:paraId="540E1A28" w14:textId="77777777" w:rsidR="00A342BD" w:rsidRPr="009061BF" w:rsidRDefault="00A342BD" w:rsidP="00D33AF5">
            <w:pPr>
              <w:tabs>
                <w:tab w:val="left" w:pos="425"/>
              </w:tabs>
              <w:rPr>
                <w:sz w:val="22"/>
                <w:szCs w:val="22"/>
              </w:rPr>
            </w:pPr>
            <w:r>
              <w:rPr>
                <w:sz w:val="22"/>
                <w:szCs w:val="22"/>
              </w:rPr>
              <w:t>Final Draft</w:t>
            </w:r>
          </w:p>
        </w:tc>
      </w:tr>
    </w:tbl>
    <w:p w14:paraId="0F4D01E3" w14:textId="77777777" w:rsidR="00217946" w:rsidRDefault="00217946" w:rsidP="00194AC0">
      <w:pPr>
        <w:tabs>
          <w:tab w:val="left" w:pos="425"/>
        </w:tabs>
        <w:spacing w:line="120" w:lineRule="auto"/>
        <w:rPr>
          <w:b/>
        </w:rPr>
        <w:sectPr w:rsidR="00217946" w:rsidSect="00217946">
          <w:type w:val="continuous"/>
          <w:pgSz w:w="11906" w:h="16838" w:code="9"/>
          <w:pgMar w:top="1418" w:right="851" w:bottom="851" w:left="1134" w:header="709" w:footer="709" w:gutter="0"/>
          <w:cols w:space="708"/>
          <w:formProt w:val="0"/>
          <w:docGrid w:linePitch="360"/>
        </w:sectPr>
      </w:pPr>
    </w:p>
    <w:p w14:paraId="184E2953" w14:textId="77777777" w:rsidR="00194AC0" w:rsidRPr="00106D46" w:rsidRDefault="00194AC0" w:rsidP="00106D46">
      <w:pPr>
        <w:tabs>
          <w:tab w:val="left" w:pos="425"/>
        </w:tabs>
        <w:rPr>
          <w:sz w:val="22"/>
          <w:szCs w:val="22"/>
        </w:rPr>
      </w:pPr>
    </w:p>
    <w:p w14:paraId="0994100D" w14:textId="77777777" w:rsidR="00D137F1" w:rsidRDefault="007F1BDE" w:rsidP="004528F1">
      <w:pPr>
        <w:tabs>
          <w:tab w:val="left" w:pos="425"/>
        </w:tabs>
        <w:rPr>
          <w:b/>
        </w:rPr>
      </w:pPr>
      <w:r>
        <w:rPr>
          <w:b/>
        </w:rPr>
        <w:t xml:space="preserve">1. </w:t>
      </w:r>
      <w:r w:rsidR="00C73908">
        <w:rPr>
          <w:b/>
        </w:rPr>
        <w:t>Background</w:t>
      </w:r>
    </w:p>
    <w:p w14:paraId="10386D5C" w14:textId="77777777" w:rsidR="00CF00BA" w:rsidRDefault="00CF00BA" w:rsidP="00FA0585">
      <w:pPr>
        <w:ind w:left="300"/>
        <w:rPr>
          <w:color w:val="FF0000"/>
          <w:sz w:val="22"/>
          <w:szCs w:val="22"/>
        </w:rPr>
      </w:pPr>
    </w:p>
    <w:p w14:paraId="5FC82375" w14:textId="77777777" w:rsidR="00965FB0" w:rsidRPr="00965FB0" w:rsidRDefault="00965FB0" w:rsidP="00965FB0">
      <w:pPr>
        <w:ind w:left="300"/>
        <w:rPr>
          <w:sz w:val="22"/>
          <w:szCs w:val="22"/>
        </w:rPr>
      </w:pPr>
      <w:r w:rsidRPr="00965FB0">
        <w:rPr>
          <w:sz w:val="22"/>
          <w:szCs w:val="22"/>
        </w:rPr>
        <w:t xml:space="preserve">Fife Council, like most other LA’s in Scotland, faces significant challenges </w:t>
      </w:r>
      <w:proofErr w:type="gramStart"/>
      <w:r w:rsidRPr="00965FB0">
        <w:rPr>
          <w:sz w:val="22"/>
          <w:szCs w:val="22"/>
        </w:rPr>
        <w:t>with regard to</w:t>
      </w:r>
      <w:proofErr w:type="gramEnd"/>
      <w:r w:rsidRPr="00965FB0">
        <w:rPr>
          <w:sz w:val="22"/>
          <w:szCs w:val="22"/>
        </w:rPr>
        <w:t xml:space="preserve"> ongoing service provision with greatly reduced resources going forward in the short to medium term.  </w:t>
      </w:r>
    </w:p>
    <w:p w14:paraId="1C0532D2" w14:textId="77777777" w:rsidR="00965FB0" w:rsidRPr="00965FB0" w:rsidRDefault="00965FB0" w:rsidP="00965FB0">
      <w:pPr>
        <w:ind w:left="300"/>
        <w:rPr>
          <w:sz w:val="22"/>
          <w:szCs w:val="22"/>
        </w:rPr>
      </w:pPr>
    </w:p>
    <w:p w14:paraId="0E7B6AAC" w14:textId="77777777" w:rsidR="00965FB0" w:rsidRDefault="00965FB0" w:rsidP="00965FB0">
      <w:pPr>
        <w:ind w:left="300"/>
        <w:rPr>
          <w:sz w:val="22"/>
          <w:szCs w:val="22"/>
        </w:rPr>
      </w:pPr>
      <w:r w:rsidRPr="00965FB0">
        <w:rPr>
          <w:sz w:val="22"/>
          <w:szCs w:val="22"/>
        </w:rPr>
        <w:tab/>
        <w:t>Following the approval of the Revenue Budget in February 2018, the remaining budget gap was £43.4m which highlight</w:t>
      </w:r>
      <w:r w:rsidR="00F118CE">
        <w:rPr>
          <w:sz w:val="22"/>
          <w:szCs w:val="22"/>
        </w:rPr>
        <w:t>ed</w:t>
      </w:r>
      <w:r w:rsidRPr="00965FB0">
        <w:rPr>
          <w:sz w:val="22"/>
          <w:szCs w:val="22"/>
        </w:rPr>
        <w:t xml:space="preserve"> a degree of uncertainty regarding future resources.  This </w:t>
      </w:r>
      <w:r w:rsidR="00F118CE">
        <w:rPr>
          <w:sz w:val="22"/>
          <w:szCs w:val="22"/>
        </w:rPr>
        <w:t xml:space="preserve">was </w:t>
      </w:r>
      <w:r w:rsidRPr="00965FB0">
        <w:rPr>
          <w:sz w:val="22"/>
          <w:szCs w:val="22"/>
        </w:rPr>
        <w:t>plac</w:t>
      </w:r>
      <w:r w:rsidR="00F118CE">
        <w:rPr>
          <w:sz w:val="22"/>
          <w:szCs w:val="22"/>
        </w:rPr>
        <w:t>ing</w:t>
      </w:r>
      <w:r w:rsidRPr="00965FB0">
        <w:rPr>
          <w:sz w:val="22"/>
          <w:szCs w:val="22"/>
        </w:rPr>
        <w:t xml:space="preserve"> pressure on the sustainability of services </w:t>
      </w:r>
      <w:r w:rsidR="00F118CE">
        <w:rPr>
          <w:sz w:val="22"/>
          <w:szCs w:val="22"/>
        </w:rPr>
        <w:t>being delivered at that time</w:t>
      </w:r>
      <w:r w:rsidRPr="00965FB0">
        <w:rPr>
          <w:sz w:val="22"/>
          <w:szCs w:val="22"/>
        </w:rPr>
        <w:t xml:space="preserve">.  The Changing to Deliver programme </w:t>
      </w:r>
      <w:r w:rsidR="00F118CE">
        <w:rPr>
          <w:sz w:val="22"/>
          <w:szCs w:val="22"/>
        </w:rPr>
        <w:t xml:space="preserve">seen as </w:t>
      </w:r>
      <w:r w:rsidRPr="00965FB0">
        <w:rPr>
          <w:sz w:val="22"/>
          <w:szCs w:val="22"/>
        </w:rPr>
        <w:t xml:space="preserve">key to the financial strategy and financial sustainability of the Council.  </w:t>
      </w:r>
    </w:p>
    <w:p w14:paraId="2FB80DCB" w14:textId="77777777" w:rsidR="00965FB0" w:rsidRPr="00965FB0" w:rsidRDefault="00965FB0" w:rsidP="00965FB0">
      <w:pPr>
        <w:ind w:left="300"/>
        <w:rPr>
          <w:sz w:val="22"/>
          <w:szCs w:val="22"/>
        </w:rPr>
      </w:pPr>
    </w:p>
    <w:p w14:paraId="42F5FF42" w14:textId="77777777" w:rsidR="00965FB0" w:rsidRDefault="00965FB0" w:rsidP="00965FB0">
      <w:pPr>
        <w:ind w:left="300"/>
        <w:rPr>
          <w:sz w:val="22"/>
          <w:szCs w:val="22"/>
        </w:rPr>
      </w:pPr>
      <w:r w:rsidRPr="00965FB0">
        <w:rPr>
          <w:sz w:val="22"/>
          <w:szCs w:val="22"/>
        </w:rPr>
        <w:tab/>
        <w:t xml:space="preserve">Following two separate reviews of </w:t>
      </w:r>
      <w:r w:rsidR="00A0392F" w:rsidRPr="00965FB0">
        <w:rPr>
          <w:sz w:val="22"/>
          <w:szCs w:val="22"/>
        </w:rPr>
        <w:t>third-party</w:t>
      </w:r>
      <w:r w:rsidRPr="00965FB0">
        <w:rPr>
          <w:sz w:val="22"/>
          <w:szCs w:val="22"/>
        </w:rPr>
        <w:t xml:space="preserve"> Council spend (circa £500m including Health &amp; Social Care) by a consultancy firm Ernst &amp; Young and Scotland’s Public Centre of Procurement Expertise Scotland Excel </w:t>
      </w:r>
      <w:r w:rsidR="00F118CE">
        <w:rPr>
          <w:sz w:val="22"/>
          <w:szCs w:val="22"/>
        </w:rPr>
        <w:t xml:space="preserve">a </w:t>
      </w:r>
      <w:r w:rsidRPr="00965FB0">
        <w:rPr>
          <w:sz w:val="22"/>
          <w:szCs w:val="22"/>
        </w:rPr>
        <w:t xml:space="preserve">significant opportunity </w:t>
      </w:r>
      <w:r w:rsidR="00F118CE">
        <w:rPr>
          <w:sz w:val="22"/>
          <w:szCs w:val="22"/>
        </w:rPr>
        <w:t xml:space="preserve">was </w:t>
      </w:r>
      <w:r w:rsidRPr="00965FB0">
        <w:rPr>
          <w:sz w:val="22"/>
          <w:szCs w:val="22"/>
        </w:rPr>
        <w:t>identified to reduce third party spend.</w:t>
      </w:r>
    </w:p>
    <w:p w14:paraId="724E70FF" w14:textId="77777777" w:rsidR="00F118CE" w:rsidRDefault="00F118CE" w:rsidP="00965FB0">
      <w:pPr>
        <w:ind w:left="300"/>
        <w:rPr>
          <w:sz w:val="22"/>
          <w:szCs w:val="22"/>
        </w:rPr>
      </w:pPr>
    </w:p>
    <w:p w14:paraId="4651E7AA" w14:textId="77777777" w:rsidR="00965FB0" w:rsidRPr="00F118CE" w:rsidRDefault="00F118CE" w:rsidP="00F118CE">
      <w:pPr>
        <w:ind w:left="300"/>
        <w:rPr>
          <w:sz w:val="22"/>
        </w:rPr>
      </w:pPr>
      <w:r>
        <w:rPr>
          <w:sz w:val="22"/>
          <w:szCs w:val="22"/>
        </w:rPr>
        <w:t xml:space="preserve">The Commercialisation Programme was established with an </w:t>
      </w:r>
      <w:r w:rsidR="00CF00BA" w:rsidRPr="00CF00BA">
        <w:rPr>
          <w:sz w:val="22"/>
          <w:szCs w:val="22"/>
        </w:rPr>
        <w:t>aim of reduc</w:t>
      </w:r>
      <w:r>
        <w:rPr>
          <w:sz w:val="22"/>
          <w:szCs w:val="22"/>
        </w:rPr>
        <w:t>ing</w:t>
      </w:r>
      <w:r w:rsidR="00CF00BA" w:rsidRPr="00CF00BA">
        <w:rPr>
          <w:sz w:val="22"/>
          <w:szCs w:val="22"/>
        </w:rPr>
        <w:t xml:space="preserve"> Fife Council</w:t>
      </w:r>
      <w:r>
        <w:rPr>
          <w:sz w:val="22"/>
          <w:szCs w:val="22"/>
        </w:rPr>
        <w:t>s</w:t>
      </w:r>
      <w:r w:rsidR="00CF00BA" w:rsidRPr="00CF00BA">
        <w:rPr>
          <w:sz w:val="22"/>
          <w:szCs w:val="22"/>
        </w:rPr>
        <w:t xml:space="preserve"> third party spend by £16m by undertaking a consistent and commercial approach to Procurement activity</w:t>
      </w:r>
      <w:r w:rsidR="00190A6B">
        <w:rPr>
          <w:sz w:val="22"/>
          <w:szCs w:val="22"/>
        </w:rPr>
        <w:t>.</w:t>
      </w:r>
      <w:r>
        <w:rPr>
          <w:sz w:val="22"/>
          <w:szCs w:val="22"/>
        </w:rPr>
        <w:t xml:space="preserve">  </w:t>
      </w:r>
      <w:r w:rsidR="00965FB0" w:rsidRPr="00F118CE">
        <w:rPr>
          <w:sz w:val="22"/>
        </w:rPr>
        <w:t>The Policy and Co</w:t>
      </w:r>
      <w:r w:rsidR="00A0392F">
        <w:rPr>
          <w:sz w:val="22"/>
        </w:rPr>
        <w:t>-</w:t>
      </w:r>
      <w:r w:rsidR="00965FB0" w:rsidRPr="00F118CE">
        <w:rPr>
          <w:sz w:val="22"/>
        </w:rPr>
        <w:t>ordination Committee endorsed the Procurement Business case on the</w:t>
      </w:r>
    </w:p>
    <w:p w14:paraId="4F313681" w14:textId="77777777" w:rsidR="00965FB0" w:rsidRPr="00F118CE" w:rsidRDefault="00965FB0" w:rsidP="00965FB0">
      <w:pPr>
        <w:ind w:left="720" w:hanging="420"/>
        <w:rPr>
          <w:sz w:val="22"/>
        </w:rPr>
      </w:pPr>
      <w:r w:rsidRPr="00F118CE">
        <w:rPr>
          <w:sz w:val="22"/>
        </w:rPr>
        <w:t>12th April 2018.  The business case projected an estimated £16m procurement saving</w:t>
      </w:r>
    </w:p>
    <w:p w14:paraId="2E04D339" w14:textId="77777777" w:rsidR="00965FB0" w:rsidRPr="00F118CE" w:rsidRDefault="00965FB0" w:rsidP="00965FB0">
      <w:pPr>
        <w:ind w:left="720" w:hanging="420"/>
        <w:rPr>
          <w:sz w:val="22"/>
        </w:rPr>
      </w:pPr>
      <w:r w:rsidRPr="00F118CE">
        <w:rPr>
          <w:sz w:val="22"/>
        </w:rPr>
        <w:t>from the reduction of Council third party spend (circa £500m).</w:t>
      </w:r>
    </w:p>
    <w:p w14:paraId="0A27FBD1" w14:textId="77777777" w:rsidR="00965FB0" w:rsidRPr="00F118CE" w:rsidRDefault="00965FB0" w:rsidP="00965FB0">
      <w:pPr>
        <w:ind w:left="720" w:hanging="720"/>
        <w:rPr>
          <w:sz w:val="22"/>
        </w:rPr>
      </w:pPr>
    </w:p>
    <w:p w14:paraId="3AF426B1" w14:textId="77777777" w:rsidR="00965FB0" w:rsidRPr="00F118CE" w:rsidRDefault="00965FB0" w:rsidP="00F118CE">
      <w:pPr>
        <w:ind w:left="720" w:hanging="420"/>
        <w:rPr>
          <w:sz w:val="22"/>
        </w:rPr>
      </w:pPr>
      <w:r w:rsidRPr="00F118CE">
        <w:rPr>
          <w:sz w:val="22"/>
        </w:rPr>
        <w:t>The estimated £16</w:t>
      </w:r>
      <w:r w:rsidR="00F118CE">
        <w:rPr>
          <w:sz w:val="22"/>
        </w:rPr>
        <w:t>m</w:t>
      </w:r>
      <w:r w:rsidRPr="00F118CE">
        <w:rPr>
          <w:sz w:val="22"/>
        </w:rPr>
        <w:t xml:space="preserve"> savings figure was broken down into 3 areas</w:t>
      </w:r>
    </w:p>
    <w:p w14:paraId="437D1CC2" w14:textId="77777777" w:rsidR="00965FB0" w:rsidRPr="00F118CE" w:rsidRDefault="00965FB0" w:rsidP="00965FB0">
      <w:pPr>
        <w:numPr>
          <w:ilvl w:val="0"/>
          <w:numId w:val="8"/>
        </w:numPr>
        <w:rPr>
          <w:sz w:val="22"/>
        </w:rPr>
      </w:pPr>
      <w:r w:rsidRPr="00F118CE">
        <w:rPr>
          <w:sz w:val="22"/>
        </w:rPr>
        <w:t xml:space="preserve">£6m Revenue </w:t>
      </w:r>
    </w:p>
    <w:p w14:paraId="31C50AC1" w14:textId="77777777" w:rsidR="00965FB0" w:rsidRPr="00F118CE" w:rsidRDefault="00965FB0" w:rsidP="00965FB0">
      <w:pPr>
        <w:numPr>
          <w:ilvl w:val="0"/>
          <w:numId w:val="8"/>
        </w:numPr>
        <w:rPr>
          <w:sz w:val="22"/>
        </w:rPr>
      </w:pPr>
      <w:r w:rsidRPr="00F118CE">
        <w:rPr>
          <w:sz w:val="22"/>
        </w:rPr>
        <w:t xml:space="preserve">£6m Capital </w:t>
      </w:r>
    </w:p>
    <w:p w14:paraId="6F3A6481" w14:textId="77777777" w:rsidR="00965FB0" w:rsidRPr="00F118CE" w:rsidRDefault="00965FB0" w:rsidP="00965FB0">
      <w:pPr>
        <w:numPr>
          <w:ilvl w:val="0"/>
          <w:numId w:val="8"/>
        </w:numPr>
        <w:rPr>
          <w:sz w:val="22"/>
        </w:rPr>
      </w:pPr>
      <w:r w:rsidRPr="00F118CE">
        <w:rPr>
          <w:sz w:val="22"/>
        </w:rPr>
        <w:t>£4m HRA</w:t>
      </w:r>
    </w:p>
    <w:p w14:paraId="2E2E9343" w14:textId="77777777" w:rsidR="00965FB0" w:rsidRPr="00190A6B" w:rsidRDefault="00965FB0" w:rsidP="00190A6B">
      <w:pPr>
        <w:ind w:left="300"/>
        <w:rPr>
          <w:sz w:val="22"/>
          <w:szCs w:val="22"/>
        </w:rPr>
      </w:pPr>
    </w:p>
    <w:p w14:paraId="4BD4487B" w14:textId="77777777" w:rsidR="00E553E8" w:rsidRPr="00F118CE" w:rsidRDefault="00E553E8" w:rsidP="00E553E8">
      <w:pPr>
        <w:ind w:left="300"/>
        <w:rPr>
          <w:sz w:val="22"/>
          <w:szCs w:val="22"/>
        </w:rPr>
      </w:pPr>
      <w:r w:rsidRPr="00F118CE">
        <w:rPr>
          <w:sz w:val="22"/>
          <w:szCs w:val="22"/>
        </w:rPr>
        <w:t xml:space="preserve">The Programme commenced in September 2018 </w:t>
      </w:r>
      <w:r w:rsidR="00965FB0" w:rsidRPr="00F118CE">
        <w:rPr>
          <w:sz w:val="22"/>
          <w:szCs w:val="22"/>
        </w:rPr>
        <w:t xml:space="preserve">with </w:t>
      </w:r>
      <w:r w:rsidRPr="00F118CE">
        <w:rPr>
          <w:sz w:val="22"/>
          <w:szCs w:val="22"/>
        </w:rPr>
        <w:t xml:space="preserve">the first </w:t>
      </w:r>
      <w:r w:rsidR="00965FB0" w:rsidRPr="00F118CE">
        <w:rPr>
          <w:sz w:val="22"/>
          <w:szCs w:val="22"/>
        </w:rPr>
        <w:t xml:space="preserve">two </w:t>
      </w:r>
      <w:r w:rsidRPr="00F118CE">
        <w:rPr>
          <w:sz w:val="22"/>
          <w:szCs w:val="22"/>
        </w:rPr>
        <w:t>years supported by Scotland Excel, who are a public body and are the Centre of Procurement Expertise for Local Government in Scotland.  Scotland Excel exited from Fife on 24</w:t>
      </w:r>
      <w:r w:rsidRPr="00F118CE">
        <w:rPr>
          <w:sz w:val="22"/>
          <w:szCs w:val="22"/>
          <w:vertAlign w:val="superscript"/>
        </w:rPr>
        <w:t>th</w:t>
      </w:r>
      <w:r w:rsidRPr="00F118CE">
        <w:rPr>
          <w:sz w:val="22"/>
          <w:szCs w:val="22"/>
        </w:rPr>
        <w:t xml:space="preserve"> September 2020.  </w:t>
      </w:r>
    </w:p>
    <w:p w14:paraId="29ED7A0A" w14:textId="77777777" w:rsidR="00190A6B" w:rsidRPr="00F118CE" w:rsidRDefault="00190A6B" w:rsidP="004866D9">
      <w:pPr>
        <w:rPr>
          <w:sz w:val="20"/>
          <w:szCs w:val="22"/>
        </w:rPr>
      </w:pPr>
    </w:p>
    <w:p w14:paraId="166FA5EE" w14:textId="77777777" w:rsidR="00447ADA" w:rsidRPr="00D137F1" w:rsidRDefault="00447ADA" w:rsidP="00C73908">
      <w:pPr>
        <w:tabs>
          <w:tab w:val="left" w:pos="425"/>
        </w:tabs>
        <w:rPr>
          <w:b/>
          <w:sz w:val="22"/>
          <w:szCs w:val="22"/>
        </w:rPr>
      </w:pPr>
    </w:p>
    <w:p w14:paraId="543D5C33" w14:textId="77777777" w:rsidR="000943D6" w:rsidRDefault="00D237BB" w:rsidP="00D237BB">
      <w:pPr>
        <w:tabs>
          <w:tab w:val="left" w:pos="425"/>
        </w:tabs>
        <w:rPr>
          <w:b/>
        </w:rPr>
      </w:pPr>
      <w:r>
        <w:rPr>
          <w:b/>
        </w:rPr>
        <w:t xml:space="preserve">2. </w:t>
      </w:r>
      <w:r w:rsidR="00C73908">
        <w:rPr>
          <w:b/>
        </w:rPr>
        <w:t>Blueprint</w:t>
      </w:r>
      <w:r w:rsidR="000943D6">
        <w:rPr>
          <w:b/>
        </w:rPr>
        <w:t xml:space="preserve"> </w:t>
      </w:r>
    </w:p>
    <w:p w14:paraId="5106E7F8" w14:textId="77777777" w:rsidR="00C73908" w:rsidRPr="00097DF6" w:rsidRDefault="00FA0585" w:rsidP="00FA0585">
      <w:pPr>
        <w:tabs>
          <w:tab w:val="left" w:pos="0"/>
        </w:tabs>
        <w:ind w:left="284" w:hanging="284"/>
        <w:rPr>
          <w:b/>
        </w:rPr>
      </w:pPr>
      <w:r>
        <w:rPr>
          <w:color w:val="FF0000"/>
          <w:sz w:val="22"/>
          <w:szCs w:val="22"/>
        </w:rPr>
        <w:t xml:space="preserve">    </w:t>
      </w:r>
      <w:r w:rsidR="00097DF6" w:rsidRPr="00097DF6">
        <w:rPr>
          <w:sz w:val="22"/>
          <w:szCs w:val="22"/>
        </w:rPr>
        <w:t xml:space="preserve">There was no blueprint prepared </w:t>
      </w:r>
      <w:r w:rsidR="000D46F5">
        <w:rPr>
          <w:sz w:val="22"/>
          <w:szCs w:val="22"/>
        </w:rPr>
        <w:t xml:space="preserve">by the Programme </w:t>
      </w:r>
      <w:r w:rsidR="00097DF6" w:rsidRPr="00097DF6">
        <w:rPr>
          <w:sz w:val="22"/>
          <w:szCs w:val="22"/>
        </w:rPr>
        <w:t xml:space="preserve">as the purpose was not </w:t>
      </w:r>
      <w:r w:rsidR="000D46F5">
        <w:rPr>
          <w:sz w:val="22"/>
          <w:szCs w:val="22"/>
        </w:rPr>
        <w:t xml:space="preserve">to change </w:t>
      </w:r>
      <w:r w:rsidR="00097DF6" w:rsidRPr="00097DF6">
        <w:rPr>
          <w:sz w:val="22"/>
          <w:szCs w:val="22"/>
        </w:rPr>
        <w:t>the structure of the procurement operating model within the Council.  The Procurement Transformation Programme had two clear objectives.  Reduce third party spend on goods and services by £16m. The target measure was “Identification of £16m savings &amp; benefits from external third party spend (CAT A, B, C) by August 21</w:t>
      </w:r>
      <w:r w:rsidR="00A0392F">
        <w:rPr>
          <w:sz w:val="22"/>
          <w:szCs w:val="22"/>
        </w:rPr>
        <w:t>”</w:t>
      </w:r>
      <w:r w:rsidR="00097DF6" w:rsidRPr="00097DF6">
        <w:rPr>
          <w:sz w:val="22"/>
          <w:szCs w:val="22"/>
        </w:rPr>
        <w:t xml:space="preserve">. The second objective was “Improve Procurement &amp; Commercial Skills and Capabilities”.  </w:t>
      </w:r>
      <w:r w:rsidR="000D46F5">
        <w:rPr>
          <w:sz w:val="22"/>
          <w:szCs w:val="22"/>
        </w:rPr>
        <w:t xml:space="preserve">The work </w:t>
      </w:r>
      <w:r w:rsidR="00097DF6" w:rsidRPr="00097DF6">
        <w:rPr>
          <w:sz w:val="22"/>
          <w:szCs w:val="22"/>
        </w:rPr>
        <w:t xml:space="preserve">undertaken by the programme </w:t>
      </w:r>
      <w:r w:rsidR="000D46F5">
        <w:rPr>
          <w:sz w:val="22"/>
          <w:szCs w:val="22"/>
        </w:rPr>
        <w:t xml:space="preserve">could </w:t>
      </w:r>
      <w:r w:rsidR="00097DF6" w:rsidRPr="00097DF6">
        <w:rPr>
          <w:sz w:val="22"/>
          <w:szCs w:val="22"/>
        </w:rPr>
        <w:t xml:space="preserve">inform any potential changes </w:t>
      </w:r>
      <w:r w:rsidR="000D46F5">
        <w:rPr>
          <w:sz w:val="22"/>
          <w:szCs w:val="22"/>
        </w:rPr>
        <w:t xml:space="preserve">that may be required </w:t>
      </w:r>
      <w:r w:rsidR="00097DF6" w:rsidRPr="00097DF6">
        <w:rPr>
          <w:sz w:val="22"/>
          <w:szCs w:val="22"/>
        </w:rPr>
        <w:t xml:space="preserve">to current procurement operating structures. </w:t>
      </w:r>
    </w:p>
    <w:p w14:paraId="10FDEDF6" w14:textId="77777777" w:rsidR="00D237BB" w:rsidRDefault="00D237BB" w:rsidP="00447ADA">
      <w:pPr>
        <w:spacing w:line="120" w:lineRule="auto"/>
        <w:ind w:left="970"/>
        <w:rPr>
          <w:b/>
          <w:sz w:val="22"/>
          <w:szCs w:val="22"/>
        </w:rPr>
      </w:pPr>
    </w:p>
    <w:p w14:paraId="789EBA2D" w14:textId="77777777" w:rsidR="00194AC0" w:rsidRDefault="00194AC0" w:rsidP="00C73908">
      <w:pPr>
        <w:spacing w:line="120" w:lineRule="auto"/>
        <w:rPr>
          <w:b/>
          <w:sz w:val="22"/>
          <w:szCs w:val="22"/>
        </w:rPr>
      </w:pPr>
    </w:p>
    <w:p w14:paraId="7C5938F2" w14:textId="77777777" w:rsidR="000D46F5" w:rsidRDefault="000D46F5" w:rsidP="00C73908">
      <w:pPr>
        <w:spacing w:line="120" w:lineRule="auto"/>
        <w:rPr>
          <w:b/>
          <w:sz w:val="22"/>
          <w:szCs w:val="22"/>
        </w:rPr>
      </w:pPr>
    </w:p>
    <w:p w14:paraId="05EA8BA3" w14:textId="77777777" w:rsidR="000D46F5" w:rsidRDefault="000D46F5" w:rsidP="00C73908">
      <w:pPr>
        <w:spacing w:line="120" w:lineRule="auto"/>
        <w:rPr>
          <w:b/>
          <w:sz w:val="22"/>
          <w:szCs w:val="22"/>
        </w:rPr>
      </w:pPr>
    </w:p>
    <w:p w14:paraId="11FB991A" w14:textId="77777777" w:rsidR="000D46F5" w:rsidRDefault="000D46F5" w:rsidP="00C73908">
      <w:pPr>
        <w:spacing w:line="120" w:lineRule="auto"/>
        <w:rPr>
          <w:b/>
          <w:sz w:val="22"/>
          <w:szCs w:val="22"/>
        </w:rPr>
      </w:pPr>
    </w:p>
    <w:p w14:paraId="7C2D265A" w14:textId="77777777" w:rsidR="000D7550" w:rsidRDefault="000D7550" w:rsidP="00C73908">
      <w:pPr>
        <w:spacing w:line="120" w:lineRule="auto"/>
        <w:rPr>
          <w:b/>
          <w:sz w:val="22"/>
          <w:szCs w:val="22"/>
        </w:rPr>
      </w:pPr>
    </w:p>
    <w:p w14:paraId="6B253577" w14:textId="77777777" w:rsidR="000D7550" w:rsidRDefault="000D7550" w:rsidP="00C73908">
      <w:pPr>
        <w:spacing w:line="120" w:lineRule="auto"/>
        <w:rPr>
          <w:b/>
          <w:sz w:val="22"/>
          <w:szCs w:val="22"/>
        </w:rPr>
      </w:pPr>
    </w:p>
    <w:p w14:paraId="0D81104B" w14:textId="77777777" w:rsidR="000D46F5" w:rsidRDefault="000D46F5" w:rsidP="00C73908">
      <w:pPr>
        <w:spacing w:line="120" w:lineRule="auto"/>
        <w:rPr>
          <w:b/>
          <w:sz w:val="22"/>
          <w:szCs w:val="22"/>
        </w:rPr>
      </w:pPr>
    </w:p>
    <w:p w14:paraId="2B5ABCAD" w14:textId="77777777" w:rsidR="000D46F5" w:rsidRDefault="000D46F5" w:rsidP="00C73908">
      <w:pPr>
        <w:spacing w:line="120" w:lineRule="auto"/>
        <w:rPr>
          <w:b/>
          <w:sz w:val="22"/>
          <w:szCs w:val="22"/>
        </w:rPr>
      </w:pPr>
    </w:p>
    <w:p w14:paraId="530511DD" w14:textId="77777777" w:rsidR="000D46F5" w:rsidRDefault="000D46F5" w:rsidP="00C73908">
      <w:pPr>
        <w:spacing w:line="120" w:lineRule="auto"/>
        <w:rPr>
          <w:b/>
          <w:sz w:val="22"/>
          <w:szCs w:val="22"/>
        </w:rPr>
      </w:pPr>
    </w:p>
    <w:p w14:paraId="048B1D09" w14:textId="77777777" w:rsidR="000D46F5" w:rsidRDefault="000D46F5" w:rsidP="00C73908">
      <w:pPr>
        <w:spacing w:line="120" w:lineRule="auto"/>
        <w:rPr>
          <w:b/>
          <w:sz w:val="22"/>
          <w:szCs w:val="22"/>
        </w:rPr>
      </w:pPr>
    </w:p>
    <w:p w14:paraId="67E59C43" w14:textId="77777777" w:rsidR="00AE7584" w:rsidRPr="00FA0585" w:rsidRDefault="00AE7584" w:rsidP="00FA0585">
      <w:pPr>
        <w:rPr>
          <w:b/>
        </w:rPr>
      </w:pPr>
      <w:r w:rsidRPr="00EA6E2B">
        <w:rPr>
          <w:b/>
        </w:rPr>
        <w:t xml:space="preserve">3. Benefits </w:t>
      </w:r>
    </w:p>
    <w:p w14:paraId="6EA8A6CE" w14:textId="77777777" w:rsidR="00AE7584" w:rsidRDefault="00AE7584" w:rsidP="00AE7584">
      <w:pPr>
        <w:ind w:left="240"/>
        <w:rPr>
          <w:sz w:val="18"/>
          <w:szCs w:val="18"/>
        </w:rPr>
      </w:pPr>
    </w:p>
    <w:p w14:paraId="57141F53" w14:textId="77777777" w:rsidR="009E1E0F" w:rsidRDefault="009E1E0F" w:rsidP="00AE7584">
      <w:pPr>
        <w:ind w:left="240"/>
        <w:rPr>
          <w:b/>
          <w:sz w:val="22"/>
          <w:szCs w:val="22"/>
        </w:rPr>
      </w:pPr>
      <w:r>
        <w:rPr>
          <w:b/>
          <w:sz w:val="22"/>
          <w:szCs w:val="22"/>
        </w:rPr>
        <w:t>Reduced third party spend by £16m</w:t>
      </w:r>
    </w:p>
    <w:p w14:paraId="3A02A1F9" w14:textId="77777777" w:rsidR="003E5965" w:rsidRDefault="003E5965" w:rsidP="00AE7584">
      <w:pPr>
        <w:ind w:left="240"/>
        <w:rPr>
          <w:sz w:val="22"/>
          <w:szCs w:val="22"/>
        </w:rPr>
      </w:pPr>
      <w:r>
        <w:rPr>
          <w:sz w:val="22"/>
          <w:szCs w:val="22"/>
        </w:rPr>
        <w:t xml:space="preserve">The Programme has achieved its financial target </w:t>
      </w:r>
      <w:r w:rsidRPr="00097DF6">
        <w:rPr>
          <w:sz w:val="22"/>
          <w:szCs w:val="22"/>
        </w:rPr>
        <w:t xml:space="preserve">“Identification of £16m savings &amp; benefits from external third party spend (CAT A, B, C) by </w:t>
      </w:r>
      <w:r w:rsidR="00F4221F">
        <w:rPr>
          <w:sz w:val="22"/>
          <w:szCs w:val="22"/>
        </w:rPr>
        <w:t>September 20</w:t>
      </w:r>
      <w:r>
        <w:rPr>
          <w:sz w:val="22"/>
          <w:szCs w:val="22"/>
        </w:rPr>
        <w:t>2</w:t>
      </w:r>
      <w:r w:rsidR="00F4221F">
        <w:rPr>
          <w:sz w:val="22"/>
          <w:szCs w:val="22"/>
        </w:rPr>
        <w:t>1</w:t>
      </w:r>
      <w:r>
        <w:rPr>
          <w:sz w:val="22"/>
          <w:szCs w:val="22"/>
        </w:rPr>
        <w:t>.</w:t>
      </w:r>
      <w:r w:rsidR="009E1E0F">
        <w:rPr>
          <w:sz w:val="22"/>
          <w:szCs w:val="22"/>
        </w:rPr>
        <w:t xml:space="preserve">  </w:t>
      </w:r>
      <w:r w:rsidR="00F4221F">
        <w:rPr>
          <w:sz w:val="22"/>
          <w:szCs w:val="22"/>
        </w:rPr>
        <w:t xml:space="preserve">Delivery plans set the date </w:t>
      </w:r>
      <w:r w:rsidR="009E1E0F">
        <w:rPr>
          <w:sz w:val="22"/>
          <w:szCs w:val="22"/>
        </w:rPr>
        <w:t xml:space="preserve">to be met </w:t>
      </w:r>
      <w:proofErr w:type="gramStart"/>
      <w:r w:rsidR="00F4221F">
        <w:rPr>
          <w:sz w:val="22"/>
          <w:szCs w:val="22"/>
        </w:rPr>
        <w:t>at</w:t>
      </w:r>
      <w:proofErr w:type="gramEnd"/>
      <w:r w:rsidR="00F4221F">
        <w:rPr>
          <w:sz w:val="22"/>
          <w:szCs w:val="22"/>
        </w:rPr>
        <w:t xml:space="preserve"> 2</w:t>
      </w:r>
      <w:r w:rsidR="00F4221F" w:rsidRPr="00F4221F">
        <w:rPr>
          <w:sz w:val="22"/>
          <w:szCs w:val="22"/>
          <w:vertAlign w:val="superscript"/>
        </w:rPr>
        <w:t>nd</w:t>
      </w:r>
      <w:r w:rsidR="00F4221F">
        <w:rPr>
          <w:sz w:val="22"/>
          <w:szCs w:val="22"/>
        </w:rPr>
        <w:t xml:space="preserve"> </w:t>
      </w:r>
      <w:r w:rsidR="009E1E0F">
        <w:rPr>
          <w:sz w:val="22"/>
          <w:szCs w:val="22"/>
        </w:rPr>
        <w:t>August 21.</w:t>
      </w:r>
      <w:r>
        <w:rPr>
          <w:sz w:val="22"/>
          <w:szCs w:val="22"/>
        </w:rPr>
        <w:t xml:space="preserve">  A financial summary table below shows both identified and delivered procurement savings </w:t>
      </w:r>
      <w:r w:rsidR="009E1E0F">
        <w:rPr>
          <w:sz w:val="22"/>
          <w:szCs w:val="22"/>
        </w:rPr>
        <w:t xml:space="preserve">from the start of the programme in 2018.  The achieved value of benefits and savings to the Council is in now </w:t>
      </w:r>
      <w:proofErr w:type="gramStart"/>
      <w:r w:rsidR="009E1E0F">
        <w:rPr>
          <w:sz w:val="22"/>
          <w:szCs w:val="22"/>
        </w:rPr>
        <w:t>in excess of</w:t>
      </w:r>
      <w:proofErr w:type="gramEnd"/>
      <w:r w:rsidR="009E1E0F">
        <w:rPr>
          <w:sz w:val="22"/>
          <w:szCs w:val="22"/>
        </w:rPr>
        <w:t xml:space="preserve"> £20m</w:t>
      </w:r>
      <w:r w:rsidR="008051EA">
        <w:rPr>
          <w:sz w:val="22"/>
          <w:szCs w:val="22"/>
        </w:rPr>
        <w:t xml:space="preserve"> surpassing the Programme benefit target</w:t>
      </w:r>
      <w:r w:rsidR="009E1E0F">
        <w:rPr>
          <w:sz w:val="22"/>
          <w:szCs w:val="22"/>
        </w:rPr>
        <w:t>.</w:t>
      </w:r>
      <w:r w:rsidR="00A0392F">
        <w:rPr>
          <w:sz w:val="22"/>
          <w:szCs w:val="22"/>
        </w:rPr>
        <w:t xml:space="preserve"> This is on the assumption that the £9.3m that is currently in phase (delivery plan/pipeline) is delivered.</w:t>
      </w:r>
    </w:p>
    <w:p w14:paraId="120C99BD" w14:textId="77777777" w:rsidR="003E5965" w:rsidRDefault="003E5965" w:rsidP="00AE7584">
      <w:pPr>
        <w:ind w:left="240"/>
        <w:rPr>
          <w:sz w:val="22"/>
          <w:szCs w:val="22"/>
        </w:rPr>
      </w:pPr>
    </w:p>
    <w:p w14:paraId="087297B1" w14:textId="77777777" w:rsidR="009E1E0F" w:rsidRDefault="009E1E0F" w:rsidP="00AE7584">
      <w:pPr>
        <w:ind w:left="240"/>
        <w:rPr>
          <w:sz w:val="22"/>
          <w:szCs w:val="22"/>
        </w:rPr>
      </w:pPr>
      <w:r>
        <w:rPr>
          <w:sz w:val="22"/>
          <w:szCs w:val="22"/>
        </w:rPr>
        <w:t>Table 1 Procurement Savings &amp; Benefits 2018-21 (up to Q3)</w:t>
      </w:r>
    </w:p>
    <w:p w14:paraId="2F322556" w14:textId="4AC34E83" w:rsidR="003E5965" w:rsidRPr="003E5965" w:rsidRDefault="00B70DEF" w:rsidP="00AE7584">
      <w:pPr>
        <w:ind w:left="240"/>
        <w:rPr>
          <w:sz w:val="22"/>
          <w:szCs w:val="22"/>
        </w:rPr>
      </w:pPr>
      <w:r w:rsidRPr="00B12F0C">
        <w:rPr>
          <w:noProof/>
        </w:rPr>
        <w:drawing>
          <wp:inline distT="0" distB="0" distL="0" distR="0" wp14:anchorId="187C6090" wp14:editId="270D164B">
            <wp:extent cx="6067425" cy="1666875"/>
            <wp:effectExtent l="0" t="0" r="0" b="0"/>
            <wp:docPr id="2" name="Picture 1" descr="Table showing Procurement savings and benefits from 2018 to 2021 (up to quar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able showing Procurement savings and benefits from 2018 to 2021 (up to quarter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1666875"/>
                    </a:xfrm>
                    <a:prstGeom prst="rect">
                      <a:avLst/>
                    </a:prstGeom>
                    <a:noFill/>
                    <a:ln>
                      <a:noFill/>
                    </a:ln>
                  </pic:spPr>
                </pic:pic>
              </a:graphicData>
            </a:graphic>
          </wp:inline>
        </w:drawing>
      </w:r>
    </w:p>
    <w:p w14:paraId="31CF2B63" w14:textId="77777777" w:rsidR="000E3D9C" w:rsidRDefault="000E3D9C" w:rsidP="00AE7584">
      <w:pPr>
        <w:ind w:left="240"/>
        <w:rPr>
          <w:b/>
          <w:sz w:val="18"/>
          <w:szCs w:val="18"/>
        </w:rPr>
      </w:pPr>
    </w:p>
    <w:p w14:paraId="73C031F4" w14:textId="77777777" w:rsidR="009E1E0F" w:rsidRDefault="009E1E0F" w:rsidP="009E1E0F">
      <w:pPr>
        <w:ind w:left="240"/>
        <w:rPr>
          <w:b/>
          <w:sz w:val="22"/>
          <w:szCs w:val="22"/>
        </w:rPr>
      </w:pPr>
      <w:r>
        <w:rPr>
          <w:b/>
          <w:sz w:val="22"/>
          <w:szCs w:val="22"/>
        </w:rPr>
        <w:t>Improve Procurement &amp; Commercial Skills and Capabilities</w:t>
      </w:r>
    </w:p>
    <w:p w14:paraId="2F49584D" w14:textId="77777777" w:rsidR="009E1E0F" w:rsidRDefault="009E1E0F" w:rsidP="009E1E0F">
      <w:pPr>
        <w:ind w:left="240"/>
        <w:rPr>
          <w:sz w:val="22"/>
          <w:szCs w:val="22"/>
        </w:rPr>
      </w:pPr>
      <w:r>
        <w:rPr>
          <w:sz w:val="22"/>
          <w:szCs w:val="22"/>
        </w:rPr>
        <w:t xml:space="preserve">The programme measured </w:t>
      </w:r>
      <w:r w:rsidR="008051EA">
        <w:rPr>
          <w:sz w:val="22"/>
          <w:szCs w:val="22"/>
        </w:rPr>
        <w:t xml:space="preserve">upskilling </w:t>
      </w:r>
      <w:r>
        <w:rPr>
          <w:sz w:val="22"/>
          <w:szCs w:val="22"/>
        </w:rPr>
        <w:t xml:space="preserve">progress against high level outputs around Demand Management, Operational Control, Strategic Sourcing, Contract Review.  Procurement Competencies were </w:t>
      </w:r>
      <w:r w:rsidR="00F57259">
        <w:rPr>
          <w:sz w:val="22"/>
          <w:szCs w:val="22"/>
        </w:rPr>
        <w:t xml:space="preserve">based on </w:t>
      </w:r>
      <w:r>
        <w:rPr>
          <w:sz w:val="22"/>
          <w:szCs w:val="22"/>
        </w:rPr>
        <w:t xml:space="preserve">the Scottish Governments Procurement </w:t>
      </w:r>
      <w:r w:rsidR="00A0392F">
        <w:rPr>
          <w:sz w:val="22"/>
          <w:szCs w:val="22"/>
        </w:rPr>
        <w:t>Development</w:t>
      </w:r>
      <w:r>
        <w:rPr>
          <w:sz w:val="22"/>
          <w:szCs w:val="22"/>
        </w:rPr>
        <w:t xml:space="preserve"> Framework</w:t>
      </w:r>
      <w:r w:rsidR="00F57259">
        <w:rPr>
          <w:sz w:val="22"/>
          <w:szCs w:val="22"/>
        </w:rPr>
        <w:t xml:space="preserve"> </w:t>
      </w:r>
      <w:r w:rsidR="00922F85">
        <w:rPr>
          <w:sz w:val="22"/>
          <w:szCs w:val="22"/>
        </w:rPr>
        <w:t xml:space="preserve">and </w:t>
      </w:r>
      <w:r>
        <w:rPr>
          <w:sz w:val="22"/>
          <w:szCs w:val="22"/>
        </w:rPr>
        <w:t xml:space="preserve">benchmarks </w:t>
      </w:r>
      <w:r w:rsidR="00922F85">
        <w:rPr>
          <w:sz w:val="22"/>
          <w:szCs w:val="22"/>
        </w:rPr>
        <w:t xml:space="preserve">were </w:t>
      </w:r>
      <w:r w:rsidR="007E3870">
        <w:rPr>
          <w:sz w:val="22"/>
          <w:szCs w:val="22"/>
        </w:rPr>
        <w:t xml:space="preserve">created </w:t>
      </w:r>
      <w:r>
        <w:rPr>
          <w:sz w:val="22"/>
          <w:szCs w:val="22"/>
        </w:rPr>
        <w:t>for each job role type</w:t>
      </w:r>
      <w:r w:rsidR="00922F85">
        <w:rPr>
          <w:sz w:val="22"/>
          <w:szCs w:val="22"/>
        </w:rPr>
        <w:t xml:space="preserve"> </w:t>
      </w:r>
      <w:proofErr w:type="gramStart"/>
      <w:r w:rsidR="008051EA">
        <w:rPr>
          <w:sz w:val="22"/>
          <w:szCs w:val="22"/>
        </w:rPr>
        <w:t>i.e.</w:t>
      </w:r>
      <w:proofErr w:type="gramEnd"/>
      <w:r w:rsidR="008051EA">
        <w:rPr>
          <w:sz w:val="22"/>
          <w:szCs w:val="22"/>
        </w:rPr>
        <w:t xml:space="preserve"> </w:t>
      </w:r>
      <w:r w:rsidR="00922F85">
        <w:rPr>
          <w:sz w:val="22"/>
          <w:szCs w:val="22"/>
        </w:rPr>
        <w:t>Buyer, Procurement Officer</w:t>
      </w:r>
      <w:r w:rsidR="008051EA">
        <w:rPr>
          <w:sz w:val="22"/>
          <w:szCs w:val="22"/>
        </w:rPr>
        <w:t xml:space="preserve"> and Category Manager</w:t>
      </w:r>
      <w:r>
        <w:rPr>
          <w:sz w:val="22"/>
          <w:szCs w:val="22"/>
        </w:rPr>
        <w:t>.</w:t>
      </w:r>
      <w:r w:rsidR="008051EA">
        <w:rPr>
          <w:sz w:val="22"/>
          <w:szCs w:val="22"/>
        </w:rPr>
        <w:t xml:space="preserve"> </w:t>
      </w:r>
      <w:r w:rsidR="00D668BD">
        <w:rPr>
          <w:sz w:val="22"/>
          <w:szCs w:val="22"/>
        </w:rPr>
        <w:t xml:space="preserve"> </w:t>
      </w:r>
      <w:r w:rsidR="00F630A6">
        <w:rPr>
          <w:sz w:val="22"/>
          <w:szCs w:val="22"/>
        </w:rPr>
        <w:t xml:space="preserve">This was replicated for the </w:t>
      </w:r>
      <w:r w:rsidR="008051EA">
        <w:rPr>
          <w:sz w:val="22"/>
          <w:szCs w:val="22"/>
        </w:rPr>
        <w:t>Delegated Procuring Areas</w:t>
      </w:r>
      <w:r w:rsidR="00F630A6">
        <w:rPr>
          <w:sz w:val="22"/>
          <w:szCs w:val="22"/>
        </w:rPr>
        <w:t xml:space="preserve"> (DPA)</w:t>
      </w:r>
      <w:r w:rsidR="008051EA">
        <w:rPr>
          <w:sz w:val="22"/>
          <w:szCs w:val="22"/>
        </w:rPr>
        <w:t>.</w:t>
      </w:r>
      <w:r>
        <w:rPr>
          <w:sz w:val="22"/>
          <w:szCs w:val="22"/>
        </w:rPr>
        <w:t xml:space="preserve">  Following the </w:t>
      </w:r>
      <w:r w:rsidR="00922F85">
        <w:rPr>
          <w:sz w:val="22"/>
          <w:szCs w:val="22"/>
        </w:rPr>
        <w:t>P</w:t>
      </w:r>
      <w:r>
        <w:rPr>
          <w:sz w:val="22"/>
          <w:szCs w:val="22"/>
        </w:rPr>
        <w:t xml:space="preserve">rocurement </w:t>
      </w:r>
      <w:r w:rsidR="00D668BD">
        <w:rPr>
          <w:sz w:val="22"/>
          <w:szCs w:val="22"/>
        </w:rPr>
        <w:t>t</w:t>
      </w:r>
      <w:r>
        <w:rPr>
          <w:sz w:val="22"/>
          <w:szCs w:val="22"/>
        </w:rPr>
        <w:t>eam</w:t>
      </w:r>
      <w:r w:rsidR="00A0392F">
        <w:rPr>
          <w:sz w:val="22"/>
          <w:szCs w:val="22"/>
        </w:rPr>
        <w:t>’</w:t>
      </w:r>
      <w:r>
        <w:rPr>
          <w:sz w:val="22"/>
          <w:szCs w:val="22"/>
        </w:rPr>
        <w:t>s completion of the framework an analysis was undertaken to identify skills gaps and develop training plans</w:t>
      </w:r>
      <w:r w:rsidR="008134A9">
        <w:rPr>
          <w:sz w:val="22"/>
          <w:szCs w:val="22"/>
        </w:rPr>
        <w:t xml:space="preserve"> for areas of greatest need</w:t>
      </w:r>
      <w:r w:rsidR="00922F85">
        <w:rPr>
          <w:sz w:val="22"/>
          <w:szCs w:val="22"/>
        </w:rPr>
        <w:t xml:space="preserve"> </w:t>
      </w:r>
      <w:proofErr w:type="gramStart"/>
      <w:r w:rsidR="00922F85">
        <w:rPr>
          <w:sz w:val="22"/>
          <w:szCs w:val="22"/>
        </w:rPr>
        <w:t>e.g.</w:t>
      </w:r>
      <w:proofErr w:type="gramEnd"/>
      <w:r w:rsidR="00922F85">
        <w:rPr>
          <w:sz w:val="22"/>
          <w:szCs w:val="22"/>
        </w:rPr>
        <w:t xml:space="preserve"> Negotiation, Contract Management etc</w:t>
      </w:r>
      <w:r>
        <w:rPr>
          <w:sz w:val="22"/>
          <w:szCs w:val="22"/>
        </w:rPr>
        <w:t>. Skills development activity would be measured over the 2 years of the programme</w:t>
      </w:r>
      <w:r w:rsidR="008A2B91">
        <w:rPr>
          <w:sz w:val="22"/>
          <w:szCs w:val="22"/>
        </w:rPr>
        <w:t>.</w:t>
      </w:r>
    </w:p>
    <w:p w14:paraId="2BCD42CA" w14:textId="77777777" w:rsidR="00F630A6" w:rsidRDefault="00F630A6" w:rsidP="009E1E0F">
      <w:pPr>
        <w:ind w:left="240"/>
        <w:rPr>
          <w:sz w:val="22"/>
          <w:szCs w:val="22"/>
        </w:rPr>
      </w:pPr>
    </w:p>
    <w:p w14:paraId="7C87F76D" w14:textId="77777777" w:rsidR="00F630A6" w:rsidRDefault="008A2B91" w:rsidP="00F630A6">
      <w:pPr>
        <w:ind w:left="240"/>
        <w:rPr>
          <w:sz w:val="22"/>
          <w:szCs w:val="22"/>
        </w:rPr>
      </w:pPr>
      <w:r>
        <w:rPr>
          <w:sz w:val="22"/>
          <w:szCs w:val="22"/>
        </w:rPr>
        <w:t xml:space="preserve">At Programme Close there </w:t>
      </w:r>
      <w:r w:rsidR="00F630A6">
        <w:rPr>
          <w:sz w:val="22"/>
          <w:szCs w:val="22"/>
        </w:rPr>
        <w:t xml:space="preserve">has </w:t>
      </w:r>
      <w:r>
        <w:rPr>
          <w:sz w:val="22"/>
          <w:szCs w:val="22"/>
        </w:rPr>
        <w:t xml:space="preserve">been </w:t>
      </w:r>
      <w:r w:rsidR="00F630A6">
        <w:rPr>
          <w:sz w:val="22"/>
          <w:szCs w:val="22"/>
        </w:rPr>
        <w:t xml:space="preserve">significant increases across almost all </w:t>
      </w:r>
      <w:r w:rsidR="00F67E72">
        <w:rPr>
          <w:sz w:val="22"/>
          <w:szCs w:val="22"/>
        </w:rPr>
        <w:t xml:space="preserve">procurement </w:t>
      </w:r>
      <w:r w:rsidR="00F630A6">
        <w:rPr>
          <w:sz w:val="22"/>
          <w:szCs w:val="22"/>
        </w:rPr>
        <w:t>competences</w:t>
      </w:r>
      <w:r w:rsidR="00F67E72">
        <w:rPr>
          <w:sz w:val="22"/>
          <w:szCs w:val="22"/>
        </w:rPr>
        <w:t xml:space="preserve"> as shown in the table below. This has also </w:t>
      </w:r>
      <w:r w:rsidR="00F630A6">
        <w:rPr>
          <w:sz w:val="22"/>
          <w:szCs w:val="22"/>
        </w:rPr>
        <w:t xml:space="preserve">provided </w:t>
      </w:r>
      <w:r w:rsidR="00F67E72">
        <w:rPr>
          <w:sz w:val="22"/>
          <w:szCs w:val="22"/>
        </w:rPr>
        <w:t>t</w:t>
      </w:r>
      <w:r>
        <w:rPr>
          <w:sz w:val="22"/>
          <w:szCs w:val="22"/>
        </w:rPr>
        <w:t>he Councils Procurement f</w:t>
      </w:r>
      <w:r w:rsidR="00F630A6">
        <w:rPr>
          <w:sz w:val="22"/>
          <w:szCs w:val="22"/>
        </w:rPr>
        <w:t>unction with a clear understanding for all areas of focus going forward.</w:t>
      </w:r>
    </w:p>
    <w:p w14:paraId="072C0BB5" w14:textId="77777777" w:rsidR="00A0392F" w:rsidRDefault="00A0392F" w:rsidP="00F630A6">
      <w:pPr>
        <w:ind w:left="240"/>
        <w:rPr>
          <w:sz w:val="22"/>
          <w:szCs w:val="22"/>
        </w:rPr>
      </w:pPr>
    </w:p>
    <w:p w14:paraId="3FC9E304" w14:textId="77777777" w:rsidR="00A0392F" w:rsidRDefault="00A0392F" w:rsidP="00F630A6">
      <w:pPr>
        <w:ind w:left="240"/>
        <w:rPr>
          <w:sz w:val="22"/>
          <w:szCs w:val="22"/>
        </w:rPr>
      </w:pPr>
      <w:r>
        <w:rPr>
          <w:sz w:val="22"/>
          <w:szCs w:val="22"/>
        </w:rPr>
        <w:t>The Procurement Development Framework is a subjective tool and used to inform personal and team development, ensuring team members have the necessary skill set to conduct their job effectively. The initial scores submitted may be subject to change following a peer review and conversation with the manager. Some of the benchmarks may not be applicable to certain category areas due to varied activity therefore there is acceptance that the benchmark is not always the target area for all individuals, even if it is noted as a target for the overall role. The tool is a useful snapshot for training plans but for the reasons noted above, it is a tool rather than an evidence-based tracker.</w:t>
      </w:r>
    </w:p>
    <w:p w14:paraId="3F16D623" w14:textId="77777777" w:rsidR="00F630A6" w:rsidRDefault="00F630A6" w:rsidP="00F630A6">
      <w:pPr>
        <w:ind w:left="240"/>
        <w:rPr>
          <w:sz w:val="22"/>
          <w:szCs w:val="22"/>
        </w:rPr>
      </w:pPr>
    </w:p>
    <w:p w14:paraId="6A21D3B4" w14:textId="77777777" w:rsidR="007142ED" w:rsidRDefault="007142ED" w:rsidP="00F630A6">
      <w:pPr>
        <w:ind w:left="240"/>
        <w:rPr>
          <w:sz w:val="22"/>
          <w:szCs w:val="22"/>
        </w:rPr>
      </w:pPr>
    </w:p>
    <w:p w14:paraId="2EC39C2C" w14:textId="77777777" w:rsidR="007142ED" w:rsidRDefault="007142ED" w:rsidP="00F630A6">
      <w:pPr>
        <w:ind w:left="240"/>
        <w:rPr>
          <w:sz w:val="22"/>
          <w:szCs w:val="22"/>
        </w:rPr>
      </w:pPr>
    </w:p>
    <w:p w14:paraId="214B2086" w14:textId="77777777" w:rsidR="007142ED" w:rsidRDefault="007142ED" w:rsidP="00F630A6">
      <w:pPr>
        <w:ind w:left="240"/>
        <w:rPr>
          <w:sz w:val="22"/>
          <w:szCs w:val="22"/>
        </w:rPr>
      </w:pPr>
    </w:p>
    <w:p w14:paraId="5A2B74AB" w14:textId="77777777" w:rsidR="007142ED" w:rsidRDefault="007142ED" w:rsidP="00F630A6">
      <w:pPr>
        <w:ind w:left="240"/>
        <w:rPr>
          <w:sz w:val="22"/>
          <w:szCs w:val="22"/>
        </w:rPr>
      </w:pPr>
    </w:p>
    <w:p w14:paraId="5027A29B" w14:textId="77777777" w:rsidR="007142ED" w:rsidRDefault="007142ED" w:rsidP="00F630A6">
      <w:pPr>
        <w:ind w:left="240"/>
        <w:rPr>
          <w:sz w:val="22"/>
          <w:szCs w:val="22"/>
        </w:rPr>
      </w:pPr>
    </w:p>
    <w:p w14:paraId="1B95F006" w14:textId="77777777" w:rsidR="007142ED" w:rsidRDefault="007142ED" w:rsidP="00F630A6">
      <w:pPr>
        <w:ind w:left="240"/>
        <w:rPr>
          <w:sz w:val="22"/>
          <w:szCs w:val="22"/>
        </w:rPr>
      </w:pPr>
    </w:p>
    <w:p w14:paraId="6225D63E" w14:textId="77777777" w:rsidR="007142ED" w:rsidRDefault="007142ED" w:rsidP="00F630A6">
      <w:pPr>
        <w:ind w:left="240"/>
        <w:rPr>
          <w:sz w:val="22"/>
          <w:szCs w:val="22"/>
        </w:rPr>
      </w:pPr>
    </w:p>
    <w:p w14:paraId="6098EDFA" w14:textId="77777777" w:rsidR="007142ED" w:rsidRDefault="007142ED" w:rsidP="00F630A6">
      <w:pPr>
        <w:ind w:left="240"/>
        <w:rPr>
          <w:sz w:val="22"/>
          <w:szCs w:val="22"/>
        </w:rPr>
      </w:pPr>
    </w:p>
    <w:p w14:paraId="65EE6769" w14:textId="77777777" w:rsidR="007142ED" w:rsidRDefault="007142ED" w:rsidP="00F630A6">
      <w:pPr>
        <w:ind w:left="240"/>
        <w:rPr>
          <w:sz w:val="22"/>
          <w:szCs w:val="22"/>
        </w:rPr>
      </w:pPr>
    </w:p>
    <w:p w14:paraId="06020DF3" w14:textId="77777777" w:rsidR="007142ED" w:rsidRDefault="007142ED" w:rsidP="00F630A6">
      <w:pPr>
        <w:ind w:left="240"/>
        <w:rPr>
          <w:sz w:val="22"/>
          <w:szCs w:val="22"/>
        </w:rPr>
      </w:pPr>
    </w:p>
    <w:p w14:paraId="17DDDED9" w14:textId="77777777" w:rsidR="00F630A6" w:rsidRPr="008A2B91" w:rsidRDefault="00F630A6" w:rsidP="00F630A6">
      <w:pPr>
        <w:ind w:left="240"/>
        <w:rPr>
          <w:b/>
          <w:sz w:val="22"/>
          <w:szCs w:val="22"/>
          <w:u w:val="single"/>
        </w:rPr>
      </w:pPr>
      <w:r w:rsidRPr="008A2B91">
        <w:rPr>
          <w:b/>
          <w:sz w:val="22"/>
          <w:szCs w:val="22"/>
          <w:u w:val="single"/>
        </w:rPr>
        <w:t xml:space="preserve">Table 2 </w:t>
      </w:r>
      <w:r w:rsidR="008A2B91" w:rsidRPr="008A2B91">
        <w:rPr>
          <w:b/>
          <w:sz w:val="22"/>
          <w:szCs w:val="22"/>
          <w:u w:val="single"/>
        </w:rPr>
        <w:t>–</w:t>
      </w:r>
      <w:r w:rsidRPr="008A2B91">
        <w:rPr>
          <w:b/>
          <w:sz w:val="22"/>
          <w:szCs w:val="22"/>
          <w:u w:val="single"/>
        </w:rPr>
        <w:t xml:space="preserve"> </w:t>
      </w:r>
      <w:r w:rsidR="008A2B91" w:rsidRPr="008A2B91">
        <w:rPr>
          <w:b/>
          <w:sz w:val="22"/>
          <w:szCs w:val="22"/>
          <w:u w:val="single"/>
        </w:rPr>
        <w:t xml:space="preserve">Skills and Competencies </w:t>
      </w:r>
    </w:p>
    <w:p w14:paraId="35BAEDD2" w14:textId="77777777" w:rsidR="00F630A6" w:rsidRDefault="00F630A6" w:rsidP="00AE7584">
      <w:pPr>
        <w:ind w:left="240"/>
        <w:rPr>
          <w:b/>
          <w:sz w:val="18"/>
          <w:szCs w:val="18"/>
        </w:rPr>
      </w:pPr>
    </w:p>
    <w:p w14:paraId="5F425399" w14:textId="64F37003" w:rsidR="00F630A6" w:rsidRDefault="00B70DEF" w:rsidP="00AE7584">
      <w:pPr>
        <w:ind w:left="240"/>
        <w:rPr>
          <w:b/>
          <w:sz w:val="18"/>
          <w:szCs w:val="18"/>
        </w:rPr>
      </w:pPr>
      <w:r w:rsidRPr="00B12F0C">
        <w:rPr>
          <w:noProof/>
        </w:rPr>
        <w:drawing>
          <wp:inline distT="0" distB="0" distL="0" distR="0" wp14:anchorId="76912144" wp14:editId="413164CB">
            <wp:extent cx="5943600" cy="2590800"/>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14:paraId="0E8E0B46" w14:textId="77777777" w:rsidR="0076088A" w:rsidRPr="007142ED" w:rsidRDefault="007142ED" w:rsidP="007142ED">
      <w:pPr>
        <w:ind w:left="240"/>
        <w:rPr>
          <w:b/>
          <w:i/>
          <w:iCs/>
          <w:sz w:val="20"/>
          <w:szCs w:val="20"/>
        </w:rPr>
      </w:pPr>
      <w:r>
        <w:rPr>
          <w:b/>
          <w:i/>
          <w:iCs/>
          <w:sz w:val="20"/>
          <w:szCs w:val="20"/>
        </w:rPr>
        <w:t>*</w:t>
      </w:r>
      <w:r w:rsidR="00A0392F" w:rsidRPr="007142ED">
        <w:rPr>
          <w:b/>
          <w:i/>
          <w:iCs/>
          <w:sz w:val="20"/>
          <w:szCs w:val="20"/>
        </w:rPr>
        <w:t xml:space="preserve">Note in relation to above table – highlighted green areas demonstrate the improvement. The percentages in the columns indicate </w:t>
      </w:r>
      <w:r w:rsidR="00251099" w:rsidRPr="007142ED">
        <w:rPr>
          <w:b/>
          <w:i/>
          <w:iCs/>
          <w:sz w:val="20"/>
          <w:szCs w:val="20"/>
        </w:rPr>
        <w:t xml:space="preserve">the percentages that scored below the benchmark – therefore a decrease in this number illustrates an improvement, </w:t>
      </w:r>
      <w:proofErr w:type="gramStart"/>
      <w:r w:rsidR="00251099" w:rsidRPr="007142ED">
        <w:rPr>
          <w:b/>
          <w:i/>
          <w:iCs/>
          <w:sz w:val="20"/>
          <w:szCs w:val="20"/>
        </w:rPr>
        <w:t>i.e.</w:t>
      </w:r>
      <w:proofErr w:type="gramEnd"/>
      <w:r w:rsidR="00251099" w:rsidRPr="007142ED">
        <w:rPr>
          <w:b/>
          <w:i/>
          <w:iCs/>
          <w:sz w:val="20"/>
          <w:szCs w:val="20"/>
        </w:rPr>
        <w:t xml:space="preserve"> less now under the benchmark.</w:t>
      </w:r>
    </w:p>
    <w:p w14:paraId="7A53251D" w14:textId="77777777" w:rsidR="0076088A" w:rsidRDefault="0076088A" w:rsidP="00F630A6">
      <w:pPr>
        <w:rPr>
          <w:b/>
          <w:sz w:val="20"/>
          <w:szCs w:val="20"/>
        </w:rPr>
      </w:pPr>
    </w:p>
    <w:p w14:paraId="62C3BB93" w14:textId="77777777" w:rsidR="00F630A6" w:rsidRDefault="000E3D9C" w:rsidP="00F630A6">
      <w:pPr>
        <w:rPr>
          <w:b/>
          <w:sz w:val="22"/>
          <w:szCs w:val="22"/>
        </w:rPr>
      </w:pPr>
      <w:r>
        <w:rPr>
          <w:b/>
          <w:sz w:val="20"/>
          <w:szCs w:val="20"/>
        </w:rPr>
        <w:t xml:space="preserve">  </w:t>
      </w:r>
      <w:r w:rsidRPr="00FA0585">
        <w:rPr>
          <w:b/>
          <w:sz w:val="22"/>
          <w:szCs w:val="22"/>
        </w:rPr>
        <w:t>3.2 Handover</w:t>
      </w:r>
    </w:p>
    <w:p w14:paraId="09FFE1EE" w14:textId="77777777" w:rsidR="00F630A6" w:rsidRDefault="00F630A6" w:rsidP="00F630A6">
      <w:pPr>
        <w:rPr>
          <w:b/>
          <w:sz w:val="18"/>
          <w:szCs w:val="18"/>
        </w:rPr>
      </w:pPr>
    </w:p>
    <w:p w14:paraId="388B0DAD" w14:textId="77777777" w:rsidR="009121CE" w:rsidRPr="00F630A6" w:rsidRDefault="00F630A6" w:rsidP="00F630A6">
      <w:pPr>
        <w:ind w:left="195"/>
        <w:rPr>
          <w:b/>
          <w:sz w:val="22"/>
          <w:szCs w:val="22"/>
        </w:rPr>
      </w:pPr>
      <w:r w:rsidRPr="00F630A6">
        <w:rPr>
          <w:sz w:val="22"/>
          <w:szCs w:val="22"/>
        </w:rPr>
        <w:t xml:space="preserve">All project outputs have been delivered in line with Programme delivery plans and signed approved by the Commercialisation Board </w:t>
      </w:r>
      <w:r w:rsidR="00FA0585" w:rsidRPr="00F630A6">
        <w:rPr>
          <w:sz w:val="22"/>
          <w:szCs w:val="22"/>
        </w:rPr>
        <w:t xml:space="preserve">or any benefits that has yet to be fully realised, list who is the new owner of the benefits realisation activities and </w:t>
      </w:r>
      <w:proofErr w:type="gramStart"/>
      <w:r w:rsidR="00FA0585" w:rsidRPr="00F630A6">
        <w:rPr>
          <w:sz w:val="22"/>
          <w:szCs w:val="22"/>
        </w:rPr>
        <w:t>whether or not</w:t>
      </w:r>
      <w:proofErr w:type="gramEnd"/>
      <w:r w:rsidR="00FA0585" w:rsidRPr="00F630A6">
        <w:rPr>
          <w:sz w:val="22"/>
          <w:szCs w:val="22"/>
        </w:rPr>
        <w:t xml:space="preserve"> this responsibility has been formally handed over and accepted.</w:t>
      </w:r>
    </w:p>
    <w:p w14:paraId="499871C0" w14:textId="77777777" w:rsidR="000E3D9C" w:rsidRPr="00F630A6" w:rsidRDefault="000E3D9C" w:rsidP="00C73908">
      <w:pPr>
        <w:rPr>
          <w:b/>
          <w:sz w:val="20"/>
          <w:szCs w:val="20"/>
        </w:rPr>
      </w:pPr>
    </w:p>
    <w:p w14:paraId="7850ACA9" w14:textId="77777777" w:rsidR="00AE7584" w:rsidRPr="009121CE" w:rsidRDefault="009121CE" w:rsidP="00C73908">
      <w:pPr>
        <w:rPr>
          <w:b/>
        </w:rPr>
      </w:pPr>
      <w:r>
        <w:rPr>
          <w:b/>
        </w:rPr>
        <w:t xml:space="preserve">4. Outstanding </w:t>
      </w:r>
      <w:r w:rsidR="000E3D9C" w:rsidRPr="009121CE">
        <w:rPr>
          <w:b/>
        </w:rPr>
        <w:t>Risks</w:t>
      </w:r>
    </w:p>
    <w:p w14:paraId="49FCCE66" w14:textId="77777777" w:rsidR="00AE7584" w:rsidRPr="00FA0585" w:rsidRDefault="000E3D9C" w:rsidP="00C73908">
      <w:pPr>
        <w:rPr>
          <w:color w:val="FF0000"/>
          <w:sz w:val="22"/>
          <w:szCs w:val="22"/>
        </w:rPr>
      </w:pPr>
      <w:r>
        <w:rPr>
          <w:sz w:val="22"/>
          <w:szCs w:val="22"/>
        </w:rPr>
        <w:t xml:space="preserve">    </w:t>
      </w:r>
      <w:r w:rsidR="00150BD6">
        <w:rPr>
          <w:sz w:val="22"/>
          <w:szCs w:val="22"/>
        </w:rPr>
        <w:t xml:space="preserve">All </w:t>
      </w:r>
      <w:r w:rsidR="00731261">
        <w:rPr>
          <w:sz w:val="22"/>
          <w:szCs w:val="22"/>
        </w:rPr>
        <w:t xml:space="preserve">programme risks outstanding and ownership in </w:t>
      </w:r>
      <w:r w:rsidR="00731261" w:rsidRPr="00731261">
        <w:rPr>
          <w:b/>
          <w:sz w:val="22"/>
          <w:szCs w:val="22"/>
        </w:rPr>
        <w:t>Appendix 1</w:t>
      </w:r>
    </w:p>
    <w:p w14:paraId="0286F467" w14:textId="77777777" w:rsidR="009121CE" w:rsidRDefault="009121CE" w:rsidP="00C73908">
      <w:pPr>
        <w:rPr>
          <w:sz w:val="22"/>
          <w:szCs w:val="22"/>
        </w:rPr>
      </w:pPr>
    </w:p>
    <w:p w14:paraId="0E5AC2A0" w14:textId="77777777" w:rsidR="009121CE" w:rsidRDefault="009121CE" w:rsidP="00C73908">
      <w:pPr>
        <w:rPr>
          <w:b/>
        </w:rPr>
      </w:pPr>
      <w:r w:rsidRPr="009121CE">
        <w:rPr>
          <w:b/>
        </w:rPr>
        <w:t>5. Out</w:t>
      </w:r>
      <w:r>
        <w:rPr>
          <w:b/>
        </w:rPr>
        <w:t>standing Issues</w:t>
      </w:r>
    </w:p>
    <w:p w14:paraId="4AE9383D" w14:textId="77777777" w:rsidR="009121CE" w:rsidRPr="00731261" w:rsidRDefault="00731261" w:rsidP="00731261">
      <w:pPr>
        <w:ind w:left="270"/>
        <w:rPr>
          <w:color w:val="FF0000"/>
          <w:sz w:val="22"/>
          <w:szCs w:val="22"/>
        </w:rPr>
      </w:pPr>
      <w:r>
        <w:t xml:space="preserve">All programme Issues are now closed.  A copy of the Issues log including outcomes will be handed over to procurement as part of programme closure. </w:t>
      </w:r>
    </w:p>
    <w:p w14:paraId="701F4AE8" w14:textId="77777777" w:rsidR="009121CE" w:rsidRDefault="009121CE" w:rsidP="00C73908">
      <w:pPr>
        <w:rPr>
          <w:sz w:val="22"/>
          <w:szCs w:val="22"/>
        </w:rPr>
      </w:pPr>
    </w:p>
    <w:p w14:paraId="7B89A2CF" w14:textId="77777777" w:rsidR="009121CE" w:rsidRPr="009121CE" w:rsidRDefault="009121CE" w:rsidP="00C73908">
      <w:pPr>
        <w:rPr>
          <w:b/>
        </w:rPr>
      </w:pPr>
      <w:r w:rsidRPr="009121CE">
        <w:rPr>
          <w:b/>
        </w:rPr>
        <w:t xml:space="preserve">6. Future / follow-on projects </w:t>
      </w:r>
    </w:p>
    <w:p w14:paraId="6A37DB34" w14:textId="77777777" w:rsidR="00F1396A" w:rsidRDefault="00E30D18" w:rsidP="00E30D18">
      <w:pPr>
        <w:ind w:left="240"/>
        <w:rPr>
          <w:sz w:val="22"/>
        </w:rPr>
      </w:pPr>
      <w:r w:rsidRPr="00E30D18">
        <w:rPr>
          <w:sz w:val="22"/>
          <w:szCs w:val="22"/>
        </w:rPr>
        <w:t xml:space="preserve">Following the successful conclusion of </w:t>
      </w:r>
      <w:r>
        <w:rPr>
          <w:sz w:val="22"/>
          <w:szCs w:val="22"/>
        </w:rPr>
        <w:t xml:space="preserve">the Programme </w:t>
      </w:r>
      <w:r w:rsidRPr="00E30D18">
        <w:rPr>
          <w:sz w:val="22"/>
          <w:szCs w:val="22"/>
        </w:rPr>
        <w:t>project</w:t>
      </w:r>
      <w:r>
        <w:rPr>
          <w:sz w:val="22"/>
          <w:szCs w:val="22"/>
        </w:rPr>
        <w:t xml:space="preserve"> </w:t>
      </w:r>
      <w:r w:rsidRPr="00E30D18">
        <w:rPr>
          <w:sz w:val="22"/>
          <w:szCs w:val="22"/>
        </w:rPr>
        <w:t>deliverables</w:t>
      </w:r>
      <w:r>
        <w:rPr>
          <w:sz w:val="22"/>
          <w:szCs w:val="22"/>
        </w:rPr>
        <w:t>,</w:t>
      </w:r>
      <w:r w:rsidRPr="00E30D18">
        <w:rPr>
          <w:sz w:val="22"/>
          <w:szCs w:val="22"/>
        </w:rPr>
        <w:t xml:space="preserve"> </w:t>
      </w:r>
      <w:r>
        <w:rPr>
          <w:sz w:val="22"/>
          <w:szCs w:val="22"/>
        </w:rPr>
        <w:t xml:space="preserve">all </w:t>
      </w:r>
      <w:r w:rsidRPr="00E30D18">
        <w:rPr>
          <w:sz w:val="22"/>
          <w:szCs w:val="22"/>
        </w:rPr>
        <w:t xml:space="preserve">follow on activity </w:t>
      </w:r>
      <w:r>
        <w:rPr>
          <w:sz w:val="22"/>
          <w:szCs w:val="22"/>
        </w:rPr>
        <w:t xml:space="preserve">which forms </w:t>
      </w:r>
      <w:r w:rsidRPr="00E30D18">
        <w:rPr>
          <w:sz w:val="22"/>
          <w:szCs w:val="22"/>
        </w:rPr>
        <w:t xml:space="preserve">part of Business </w:t>
      </w:r>
      <w:proofErr w:type="gramStart"/>
      <w:r w:rsidRPr="00E30D18">
        <w:rPr>
          <w:sz w:val="22"/>
          <w:szCs w:val="22"/>
        </w:rPr>
        <w:t>As</w:t>
      </w:r>
      <w:proofErr w:type="gramEnd"/>
      <w:r w:rsidRPr="00E30D18">
        <w:rPr>
          <w:sz w:val="22"/>
          <w:szCs w:val="22"/>
        </w:rPr>
        <w:t xml:space="preserve"> Usual </w:t>
      </w:r>
      <w:r>
        <w:rPr>
          <w:sz w:val="22"/>
          <w:szCs w:val="22"/>
        </w:rPr>
        <w:t xml:space="preserve">(BAU) </w:t>
      </w:r>
      <w:r w:rsidRPr="00E30D18">
        <w:rPr>
          <w:sz w:val="22"/>
          <w:szCs w:val="22"/>
        </w:rPr>
        <w:t>was transferred to the Procurement Team</w:t>
      </w:r>
      <w:r w:rsidR="003977B3">
        <w:rPr>
          <w:sz w:val="22"/>
          <w:szCs w:val="22"/>
        </w:rPr>
        <w:t xml:space="preserve"> to embed</w:t>
      </w:r>
      <w:r w:rsidRPr="00E30D18">
        <w:rPr>
          <w:sz w:val="22"/>
          <w:szCs w:val="22"/>
        </w:rPr>
        <w:t>.  Follow on activity was impacted by COVID19 as access to people and information was challenging</w:t>
      </w:r>
      <w:r w:rsidR="003977B3">
        <w:rPr>
          <w:sz w:val="22"/>
          <w:szCs w:val="22"/>
        </w:rPr>
        <w:t xml:space="preserve"> but good progress is being made</w:t>
      </w:r>
      <w:r w:rsidRPr="00E30D18">
        <w:rPr>
          <w:sz w:val="22"/>
          <w:szCs w:val="22"/>
        </w:rPr>
        <w:t>.  As part of the transfer all follow on actions were logged on Teams with owners allocated.  Deliver</w:t>
      </w:r>
      <w:r w:rsidR="003977B3">
        <w:rPr>
          <w:sz w:val="22"/>
          <w:szCs w:val="22"/>
        </w:rPr>
        <w:t>y</w:t>
      </w:r>
      <w:r w:rsidRPr="00E30D18">
        <w:rPr>
          <w:sz w:val="22"/>
          <w:szCs w:val="22"/>
        </w:rPr>
        <w:t xml:space="preserve"> of the </w:t>
      </w:r>
      <w:r w:rsidR="003977B3" w:rsidRPr="00E30D18">
        <w:rPr>
          <w:sz w:val="22"/>
          <w:szCs w:val="22"/>
        </w:rPr>
        <w:t>follow-on</w:t>
      </w:r>
      <w:r w:rsidRPr="00E30D18">
        <w:rPr>
          <w:sz w:val="22"/>
          <w:szCs w:val="22"/>
        </w:rPr>
        <w:t xml:space="preserve"> actions are regularly monitored and managed through the Procurement Management Team. </w:t>
      </w:r>
      <w:r w:rsidRPr="00E30D18">
        <w:rPr>
          <w:b/>
        </w:rPr>
        <w:t xml:space="preserve"> </w:t>
      </w:r>
      <w:r w:rsidRPr="003977B3">
        <w:rPr>
          <w:sz w:val="22"/>
        </w:rPr>
        <w:t xml:space="preserve">Figure 1 below shows progress to date against the </w:t>
      </w:r>
      <w:r w:rsidR="003977B3" w:rsidRPr="003977B3">
        <w:rPr>
          <w:sz w:val="22"/>
        </w:rPr>
        <w:t>follow-on</w:t>
      </w:r>
      <w:r w:rsidRPr="003977B3">
        <w:rPr>
          <w:sz w:val="22"/>
        </w:rPr>
        <w:t xml:space="preserve"> actions. </w:t>
      </w:r>
    </w:p>
    <w:p w14:paraId="7BE14B67" w14:textId="77777777" w:rsidR="007142ED" w:rsidRPr="003977B3" w:rsidRDefault="007142ED" w:rsidP="007142ED">
      <w:pPr>
        <w:rPr>
          <w:sz w:val="22"/>
          <w:u w:val="single"/>
        </w:rPr>
      </w:pPr>
    </w:p>
    <w:p w14:paraId="0D16B5BE" w14:textId="77777777" w:rsidR="00AE7584" w:rsidRDefault="00AE7584" w:rsidP="00C73908">
      <w:pPr>
        <w:rPr>
          <w:b/>
          <w:sz w:val="22"/>
          <w:szCs w:val="22"/>
          <w:u w:val="single"/>
        </w:rPr>
      </w:pPr>
    </w:p>
    <w:p w14:paraId="3B46EF4C" w14:textId="77777777" w:rsidR="00F67E72" w:rsidRDefault="00F67E72" w:rsidP="00C73908">
      <w:pPr>
        <w:rPr>
          <w:b/>
          <w:sz w:val="22"/>
          <w:szCs w:val="22"/>
          <w:u w:val="single"/>
        </w:rPr>
      </w:pPr>
    </w:p>
    <w:p w14:paraId="2B571612" w14:textId="77777777" w:rsidR="007142ED" w:rsidRDefault="007142ED" w:rsidP="00C73908">
      <w:pPr>
        <w:rPr>
          <w:b/>
          <w:sz w:val="22"/>
          <w:szCs w:val="22"/>
          <w:u w:val="single"/>
        </w:rPr>
      </w:pPr>
    </w:p>
    <w:p w14:paraId="46F673C0" w14:textId="77777777" w:rsidR="007142ED" w:rsidRDefault="007142ED" w:rsidP="00C73908">
      <w:pPr>
        <w:rPr>
          <w:b/>
          <w:sz w:val="22"/>
          <w:szCs w:val="22"/>
          <w:u w:val="single"/>
        </w:rPr>
      </w:pPr>
    </w:p>
    <w:p w14:paraId="77C363F7" w14:textId="77777777" w:rsidR="007142ED" w:rsidRDefault="007142ED" w:rsidP="00C73908">
      <w:pPr>
        <w:rPr>
          <w:b/>
          <w:sz w:val="22"/>
          <w:szCs w:val="22"/>
          <w:u w:val="single"/>
        </w:rPr>
      </w:pPr>
    </w:p>
    <w:p w14:paraId="1DDEE50E" w14:textId="77777777" w:rsidR="007142ED" w:rsidRDefault="007142ED" w:rsidP="00C73908">
      <w:pPr>
        <w:rPr>
          <w:b/>
          <w:sz w:val="22"/>
          <w:szCs w:val="22"/>
          <w:u w:val="single"/>
        </w:rPr>
      </w:pPr>
    </w:p>
    <w:p w14:paraId="0B061A56" w14:textId="77777777" w:rsidR="007142ED" w:rsidRDefault="007142ED" w:rsidP="00C73908">
      <w:pPr>
        <w:rPr>
          <w:b/>
          <w:sz w:val="22"/>
          <w:szCs w:val="22"/>
          <w:u w:val="single"/>
        </w:rPr>
      </w:pPr>
    </w:p>
    <w:p w14:paraId="042D1D54" w14:textId="77777777" w:rsidR="007142ED" w:rsidRDefault="007142ED" w:rsidP="00C73908">
      <w:pPr>
        <w:rPr>
          <w:b/>
          <w:sz w:val="22"/>
          <w:szCs w:val="22"/>
          <w:u w:val="single"/>
        </w:rPr>
      </w:pPr>
    </w:p>
    <w:p w14:paraId="51CAC8F3" w14:textId="77777777" w:rsidR="007142ED" w:rsidRDefault="007142ED" w:rsidP="00C73908">
      <w:pPr>
        <w:rPr>
          <w:b/>
          <w:sz w:val="22"/>
          <w:szCs w:val="22"/>
          <w:u w:val="single"/>
        </w:rPr>
      </w:pPr>
    </w:p>
    <w:p w14:paraId="6B8BFD46" w14:textId="77777777" w:rsidR="007142ED" w:rsidRDefault="007142ED" w:rsidP="00C73908">
      <w:pPr>
        <w:rPr>
          <w:b/>
          <w:sz w:val="22"/>
          <w:szCs w:val="22"/>
          <w:u w:val="single"/>
        </w:rPr>
      </w:pPr>
    </w:p>
    <w:p w14:paraId="74804EF4" w14:textId="77777777" w:rsidR="007142ED" w:rsidRDefault="007142ED" w:rsidP="00C73908">
      <w:pPr>
        <w:rPr>
          <w:b/>
          <w:sz w:val="22"/>
          <w:szCs w:val="22"/>
          <w:u w:val="single"/>
        </w:rPr>
      </w:pPr>
    </w:p>
    <w:p w14:paraId="7961CF76" w14:textId="77777777" w:rsidR="007142ED" w:rsidRDefault="007142ED" w:rsidP="00C73908">
      <w:pPr>
        <w:rPr>
          <w:b/>
          <w:sz w:val="22"/>
          <w:szCs w:val="22"/>
          <w:u w:val="single"/>
        </w:rPr>
      </w:pPr>
    </w:p>
    <w:p w14:paraId="3860E691" w14:textId="77777777" w:rsidR="00E30D18" w:rsidRDefault="00E30D18" w:rsidP="00C73908">
      <w:pPr>
        <w:rPr>
          <w:b/>
          <w:sz w:val="22"/>
          <w:szCs w:val="22"/>
          <w:u w:val="single"/>
        </w:rPr>
      </w:pPr>
      <w:r>
        <w:rPr>
          <w:b/>
          <w:sz w:val="22"/>
          <w:szCs w:val="22"/>
          <w:u w:val="single"/>
        </w:rPr>
        <w:t>Figure 1</w:t>
      </w:r>
      <w:r w:rsidR="00F67E72">
        <w:rPr>
          <w:b/>
          <w:sz w:val="22"/>
          <w:szCs w:val="22"/>
          <w:u w:val="single"/>
        </w:rPr>
        <w:t xml:space="preserve"> - </w:t>
      </w:r>
      <w:r>
        <w:rPr>
          <w:b/>
          <w:sz w:val="22"/>
          <w:szCs w:val="22"/>
          <w:u w:val="single"/>
        </w:rPr>
        <w:t>BAU - Progress to date (1</w:t>
      </w:r>
      <w:r w:rsidR="007142ED">
        <w:rPr>
          <w:b/>
          <w:sz w:val="22"/>
          <w:szCs w:val="22"/>
          <w:u w:val="single"/>
        </w:rPr>
        <w:t>7</w:t>
      </w:r>
      <w:r>
        <w:rPr>
          <w:b/>
          <w:sz w:val="22"/>
          <w:szCs w:val="22"/>
          <w:u w:val="single"/>
        </w:rPr>
        <w:t>.3.2</w:t>
      </w:r>
      <w:r w:rsidR="00F4221F">
        <w:rPr>
          <w:b/>
          <w:sz w:val="22"/>
          <w:szCs w:val="22"/>
          <w:u w:val="single"/>
        </w:rPr>
        <w:t>1</w:t>
      </w:r>
      <w:r>
        <w:rPr>
          <w:b/>
          <w:sz w:val="22"/>
          <w:szCs w:val="22"/>
          <w:u w:val="single"/>
        </w:rPr>
        <w:t>)</w:t>
      </w:r>
    </w:p>
    <w:p w14:paraId="787A1686" w14:textId="77777777" w:rsidR="00E30D18" w:rsidRDefault="00E30D18" w:rsidP="00C73908">
      <w:pPr>
        <w:rPr>
          <w:b/>
          <w:sz w:val="22"/>
          <w:szCs w:val="22"/>
          <w:u w:val="single"/>
        </w:rPr>
      </w:pPr>
    </w:p>
    <w:p w14:paraId="7EBF0850" w14:textId="77777777" w:rsidR="00251099" w:rsidRDefault="00251099" w:rsidP="00C73908">
      <w:pPr>
        <w:rPr>
          <w:b/>
          <w:noProof/>
          <w:sz w:val="22"/>
          <w:szCs w:val="22"/>
          <w:u w:val="single"/>
        </w:rPr>
      </w:pPr>
    </w:p>
    <w:p w14:paraId="01AEEC2A" w14:textId="6311E2C8" w:rsidR="00251099" w:rsidRDefault="00B70DEF" w:rsidP="00C73908">
      <w:pPr>
        <w:rPr>
          <w:b/>
          <w:sz w:val="22"/>
          <w:szCs w:val="22"/>
          <w:u w:val="single"/>
        </w:rPr>
      </w:pPr>
      <w:r w:rsidRPr="007142ED">
        <w:rPr>
          <w:noProof/>
        </w:rPr>
        <w:drawing>
          <wp:inline distT="0" distB="0" distL="0" distR="0" wp14:anchorId="38B62D4F" wp14:editId="10D554F7">
            <wp:extent cx="5086350" cy="2238375"/>
            <wp:effectExtent l="0" t="0" r="0" b="0"/>
            <wp:docPr id="4" name="Picture 1" descr="A picture containing diagram of tasks and how they are progr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diagram of tasks and how they are progress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2238375"/>
                    </a:xfrm>
                    <a:prstGeom prst="rect">
                      <a:avLst/>
                    </a:prstGeom>
                    <a:noFill/>
                    <a:ln>
                      <a:noFill/>
                    </a:ln>
                  </pic:spPr>
                </pic:pic>
              </a:graphicData>
            </a:graphic>
          </wp:inline>
        </w:drawing>
      </w:r>
      <w:r w:rsidR="007142ED">
        <w:t xml:space="preserve">  </w:t>
      </w:r>
    </w:p>
    <w:p w14:paraId="2EA6A78E" w14:textId="77777777" w:rsidR="00E30D18" w:rsidRDefault="00E30D18" w:rsidP="00C73908">
      <w:pPr>
        <w:rPr>
          <w:b/>
          <w:sz w:val="22"/>
          <w:szCs w:val="22"/>
          <w:u w:val="single"/>
        </w:rPr>
      </w:pPr>
      <w:r>
        <w:rPr>
          <w:b/>
          <w:sz w:val="22"/>
          <w:szCs w:val="22"/>
          <w:u w:val="single"/>
        </w:rPr>
        <w:t xml:space="preserve">                </w:t>
      </w:r>
    </w:p>
    <w:p w14:paraId="4A76B114" w14:textId="77777777" w:rsidR="007142ED" w:rsidRDefault="007142ED" w:rsidP="00C73908">
      <w:pPr>
        <w:rPr>
          <w:b/>
          <w:sz w:val="22"/>
          <w:szCs w:val="22"/>
          <w:u w:val="single"/>
        </w:rPr>
      </w:pPr>
    </w:p>
    <w:p w14:paraId="4674297A" w14:textId="77777777" w:rsidR="00FE1B3E" w:rsidRDefault="009121CE" w:rsidP="00C73908">
      <w:pPr>
        <w:rPr>
          <w:b/>
          <w:sz w:val="22"/>
          <w:szCs w:val="22"/>
        </w:rPr>
      </w:pPr>
      <w:r w:rsidRPr="00D50702">
        <w:rPr>
          <w:b/>
        </w:rPr>
        <w:t xml:space="preserve">7. </w:t>
      </w:r>
      <w:r w:rsidR="00716463" w:rsidRPr="00D50702">
        <w:rPr>
          <w:b/>
        </w:rPr>
        <w:t xml:space="preserve">Highlight key </w:t>
      </w:r>
      <w:r w:rsidR="00AF501D" w:rsidRPr="00D50702">
        <w:rPr>
          <w:b/>
        </w:rPr>
        <w:t>Lessons Learned</w:t>
      </w:r>
      <w:r w:rsidR="00716463" w:rsidRPr="00C73908">
        <w:rPr>
          <w:b/>
          <w:sz w:val="22"/>
          <w:szCs w:val="22"/>
        </w:rPr>
        <w:t xml:space="preserve"> </w:t>
      </w:r>
    </w:p>
    <w:p w14:paraId="716805A8" w14:textId="77777777" w:rsidR="00716463" w:rsidRDefault="00FA0585" w:rsidP="00FA0585">
      <w:pPr>
        <w:ind w:left="240"/>
        <w:rPr>
          <w:i/>
          <w:sz w:val="22"/>
          <w:szCs w:val="22"/>
        </w:rPr>
      </w:pPr>
      <w:bookmarkStart w:id="0" w:name="Text17"/>
      <w:r w:rsidRPr="00FA0585">
        <w:rPr>
          <w:b/>
          <w:i/>
          <w:sz w:val="22"/>
          <w:szCs w:val="22"/>
        </w:rPr>
        <w:t xml:space="preserve">Note: </w:t>
      </w:r>
      <w:r w:rsidRPr="00FA0585">
        <w:rPr>
          <w:i/>
          <w:sz w:val="22"/>
          <w:szCs w:val="22"/>
        </w:rPr>
        <w:t>Highlight key lessons learned (positive and negative) h</w:t>
      </w:r>
      <w:r w:rsidR="00642574">
        <w:rPr>
          <w:i/>
          <w:sz w:val="22"/>
          <w:szCs w:val="22"/>
        </w:rPr>
        <w:t>ere that should be passed to on-</w:t>
      </w:r>
      <w:r w:rsidRPr="00FA0585">
        <w:rPr>
          <w:i/>
          <w:sz w:val="22"/>
          <w:szCs w:val="22"/>
        </w:rPr>
        <w:t>going   and future programmes.</w:t>
      </w:r>
    </w:p>
    <w:p w14:paraId="3EAE0427" w14:textId="77777777" w:rsidR="00D46032" w:rsidRDefault="00D46032" w:rsidP="00FA0585">
      <w:pPr>
        <w:ind w:left="240"/>
        <w:rPr>
          <w:b/>
          <w:i/>
          <w:sz w:val="22"/>
          <w:szCs w:val="22"/>
          <w:u w:val="single"/>
        </w:rPr>
      </w:pPr>
    </w:p>
    <w:tbl>
      <w:tblPr>
        <w:tblStyle w:val="TableClassic1"/>
        <w:tblW w:w="0" w:type="auto"/>
        <w:tblLook w:val="04A0" w:firstRow="1" w:lastRow="0" w:firstColumn="1" w:lastColumn="0" w:noHBand="0" w:noVBand="1"/>
      </w:tblPr>
      <w:tblGrid>
        <w:gridCol w:w="3283"/>
        <w:gridCol w:w="3305"/>
        <w:gridCol w:w="3309"/>
      </w:tblGrid>
      <w:tr w:rsidR="00D46032" w:rsidRPr="00FE56F2" w14:paraId="3ABFA693" w14:textId="77777777" w:rsidTr="00F6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3" w:type="dxa"/>
          </w:tcPr>
          <w:p w14:paraId="34E22B67" w14:textId="77777777" w:rsidR="00D46032" w:rsidRPr="00FE56F2" w:rsidRDefault="00D46032" w:rsidP="00FE56F2">
            <w:pPr>
              <w:tabs>
                <w:tab w:val="left" w:pos="425"/>
              </w:tabs>
              <w:rPr>
                <w:sz w:val="22"/>
                <w:szCs w:val="22"/>
              </w:rPr>
            </w:pPr>
          </w:p>
        </w:tc>
        <w:tc>
          <w:tcPr>
            <w:tcW w:w="6614" w:type="dxa"/>
            <w:gridSpan w:val="2"/>
          </w:tcPr>
          <w:p w14:paraId="63A7E316" w14:textId="77777777" w:rsidR="00D46032" w:rsidRPr="00FE56F2" w:rsidRDefault="00D46032" w:rsidP="00FE56F2">
            <w:pPr>
              <w:tabs>
                <w:tab w:val="left" w:pos="425"/>
              </w:tabs>
              <w:jc w:val="center"/>
              <w:cnfStyle w:val="100000000000" w:firstRow="1" w:lastRow="0" w:firstColumn="0" w:lastColumn="0" w:oddVBand="0" w:evenVBand="0" w:oddHBand="0" w:evenHBand="0" w:firstRowFirstColumn="0" w:firstRowLastColumn="0" w:lastRowFirstColumn="0" w:lastRowLastColumn="0"/>
              <w:rPr>
                <w:b/>
                <w:sz w:val="22"/>
                <w:szCs w:val="22"/>
              </w:rPr>
            </w:pPr>
            <w:r w:rsidRPr="00FE56F2">
              <w:rPr>
                <w:b/>
                <w:sz w:val="22"/>
                <w:szCs w:val="22"/>
              </w:rPr>
              <w:t>Key Lessons Learned</w:t>
            </w:r>
          </w:p>
        </w:tc>
      </w:tr>
      <w:tr w:rsidR="00D46032" w:rsidRPr="00FE56F2" w14:paraId="09AA6991" w14:textId="77777777" w:rsidTr="00F621E0">
        <w:tc>
          <w:tcPr>
            <w:cnfStyle w:val="001000000000" w:firstRow="0" w:lastRow="0" w:firstColumn="1" w:lastColumn="0" w:oddVBand="0" w:evenVBand="0" w:oddHBand="0" w:evenHBand="0" w:firstRowFirstColumn="0" w:firstRowLastColumn="0" w:lastRowFirstColumn="0" w:lastRowLastColumn="0"/>
            <w:tcW w:w="3283" w:type="dxa"/>
          </w:tcPr>
          <w:p w14:paraId="6566183D" w14:textId="77777777" w:rsidR="00D46032" w:rsidRPr="009E3AE9" w:rsidRDefault="009E3AE9" w:rsidP="00FE56F2">
            <w:pPr>
              <w:tabs>
                <w:tab w:val="left" w:pos="425"/>
              </w:tabs>
              <w:rPr>
                <w:i/>
                <w:sz w:val="20"/>
                <w:szCs w:val="20"/>
              </w:rPr>
            </w:pPr>
            <w:r>
              <w:rPr>
                <w:i/>
                <w:sz w:val="20"/>
                <w:szCs w:val="20"/>
              </w:rPr>
              <w:t>Add/d</w:t>
            </w:r>
            <w:r w:rsidRPr="009E3AE9">
              <w:rPr>
                <w:i/>
                <w:sz w:val="20"/>
                <w:szCs w:val="20"/>
              </w:rPr>
              <w:t>elete as required</w:t>
            </w:r>
          </w:p>
        </w:tc>
        <w:tc>
          <w:tcPr>
            <w:tcW w:w="3305" w:type="dxa"/>
          </w:tcPr>
          <w:p w14:paraId="18BCB6E7" w14:textId="77777777" w:rsidR="00D46032" w:rsidRPr="00FE56F2" w:rsidRDefault="00D46032" w:rsidP="00FE56F2">
            <w:pPr>
              <w:tabs>
                <w:tab w:val="left" w:pos="425"/>
              </w:tabs>
              <w:jc w:val="center"/>
              <w:cnfStyle w:val="000000000000" w:firstRow="0" w:lastRow="0" w:firstColumn="0" w:lastColumn="0" w:oddVBand="0" w:evenVBand="0" w:oddHBand="0" w:evenHBand="0" w:firstRowFirstColumn="0" w:firstRowLastColumn="0" w:lastRowFirstColumn="0" w:lastRowLastColumn="0"/>
              <w:rPr>
                <w:b/>
                <w:sz w:val="22"/>
                <w:szCs w:val="22"/>
              </w:rPr>
            </w:pPr>
            <w:r w:rsidRPr="00FE56F2">
              <w:rPr>
                <w:b/>
                <w:sz w:val="22"/>
                <w:szCs w:val="22"/>
              </w:rPr>
              <w:t>Pos</w:t>
            </w:r>
            <w:r w:rsidR="00D10D5F">
              <w:rPr>
                <w:b/>
                <w:sz w:val="22"/>
                <w:szCs w:val="22"/>
              </w:rPr>
              <w:t>i</w:t>
            </w:r>
            <w:r w:rsidRPr="00FE56F2">
              <w:rPr>
                <w:b/>
                <w:sz w:val="22"/>
                <w:szCs w:val="22"/>
              </w:rPr>
              <w:t>tive</w:t>
            </w:r>
          </w:p>
        </w:tc>
        <w:tc>
          <w:tcPr>
            <w:tcW w:w="3309" w:type="dxa"/>
          </w:tcPr>
          <w:p w14:paraId="1AC16E1F" w14:textId="77777777" w:rsidR="00D46032" w:rsidRPr="00FE56F2" w:rsidRDefault="00D46032" w:rsidP="00FE56F2">
            <w:pPr>
              <w:tabs>
                <w:tab w:val="left" w:pos="425"/>
              </w:tabs>
              <w:jc w:val="center"/>
              <w:cnfStyle w:val="000000000000" w:firstRow="0" w:lastRow="0" w:firstColumn="0" w:lastColumn="0" w:oddVBand="0" w:evenVBand="0" w:oddHBand="0" w:evenHBand="0" w:firstRowFirstColumn="0" w:firstRowLastColumn="0" w:lastRowFirstColumn="0" w:lastRowLastColumn="0"/>
              <w:rPr>
                <w:b/>
                <w:sz w:val="22"/>
                <w:szCs w:val="22"/>
              </w:rPr>
            </w:pPr>
            <w:r w:rsidRPr="00FE56F2">
              <w:rPr>
                <w:b/>
                <w:sz w:val="22"/>
                <w:szCs w:val="22"/>
              </w:rPr>
              <w:t>Negative</w:t>
            </w:r>
          </w:p>
        </w:tc>
      </w:tr>
      <w:tr w:rsidR="00D46032" w:rsidRPr="00FE56F2" w14:paraId="0C806D1E" w14:textId="77777777" w:rsidTr="00F621E0">
        <w:tc>
          <w:tcPr>
            <w:cnfStyle w:val="001000000000" w:firstRow="0" w:lastRow="0" w:firstColumn="1" w:lastColumn="0" w:oddVBand="0" w:evenVBand="0" w:oddHBand="0" w:evenHBand="0" w:firstRowFirstColumn="0" w:firstRowLastColumn="0" w:lastRowFirstColumn="0" w:lastRowLastColumn="0"/>
            <w:tcW w:w="3283" w:type="dxa"/>
          </w:tcPr>
          <w:p w14:paraId="69A08C08" w14:textId="77777777" w:rsidR="00D46032" w:rsidRPr="000D7550" w:rsidRDefault="00D46032" w:rsidP="00FA0585">
            <w:pPr>
              <w:rPr>
                <w:sz w:val="22"/>
                <w:szCs w:val="22"/>
              </w:rPr>
            </w:pPr>
            <w:r w:rsidRPr="000D7550">
              <w:rPr>
                <w:sz w:val="22"/>
                <w:szCs w:val="22"/>
              </w:rPr>
              <w:t>Governance</w:t>
            </w:r>
          </w:p>
        </w:tc>
        <w:tc>
          <w:tcPr>
            <w:tcW w:w="3305" w:type="dxa"/>
          </w:tcPr>
          <w:p w14:paraId="4F28FD20" w14:textId="77777777" w:rsidR="00D46032" w:rsidRDefault="00AC45A8" w:rsidP="00F871D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Board structure and terms of reference </w:t>
            </w:r>
            <w:r w:rsidR="00164208">
              <w:rPr>
                <w:sz w:val="22"/>
                <w:szCs w:val="22"/>
              </w:rPr>
              <w:t>provi</w:t>
            </w:r>
            <w:r w:rsidR="00D437BB">
              <w:rPr>
                <w:sz w:val="22"/>
                <w:szCs w:val="22"/>
              </w:rPr>
              <w:t>ded</w:t>
            </w:r>
            <w:r w:rsidR="00164208">
              <w:rPr>
                <w:sz w:val="22"/>
                <w:szCs w:val="22"/>
              </w:rPr>
              <w:t xml:space="preserve"> a clear understanding of Board Members roles and responsibilities has </w:t>
            </w:r>
            <w:r>
              <w:rPr>
                <w:sz w:val="22"/>
                <w:szCs w:val="22"/>
              </w:rPr>
              <w:t>helped with key decisions</w:t>
            </w:r>
            <w:r w:rsidR="00164208">
              <w:rPr>
                <w:sz w:val="22"/>
                <w:szCs w:val="22"/>
              </w:rPr>
              <w:t xml:space="preserve"> making and progressing the programme to a successful conclusion.</w:t>
            </w:r>
          </w:p>
          <w:p w14:paraId="728395E1" w14:textId="77777777" w:rsidR="00AC45A8" w:rsidRDefault="00AC45A8" w:rsidP="00F871D1">
            <w:pPr>
              <w:cnfStyle w:val="000000000000" w:firstRow="0" w:lastRow="0" w:firstColumn="0" w:lastColumn="0" w:oddVBand="0" w:evenVBand="0" w:oddHBand="0" w:evenHBand="0" w:firstRowFirstColumn="0" w:firstRowLastColumn="0" w:lastRowFirstColumn="0" w:lastRowLastColumn="0"/>
              <w:rPr>
                <w:sz w:val="22"/>
                <w:szCs w:val="22"/>
              </w:rPr>
            </w:pPr>
          </w:p>
          <w:p w14:paraId="3D19D019" w14:textId="77777777" w:rsidR="00AC45A8" w:rsidRPr="00BE7A5D" w:rsidRDefault="00AC45A8" w:rsidP="00F871D1">
            <w:pPr>
              <w:cnfStyle w:val="000000000000" w:firstRow="0" w:lastRow="0" w:firstColumn="0" w:lastColumn="0" w:oddVBand="0" w:evenVBand="0" w:oddHBand="0" w:evenHBand="0" w:firstRowFirstColumn="0" w:firstRowLastColumn="0" w:lastRowFirstColumn="0" w:lastRowLastColumn="0"/>
              <w:rPr>
                <w:sz w:val="22"/>
                <w:szCs w:val="22"/>
              </w:rPr>
            </w:pPr>
          </w:p>
        </w:tc>
        <w:tc>
          <w:tcPr>
            <w:tcW w:w="3309" w:type="dxa"/>
          </w:tcPr>
          <w:p w14:paraId="2251368F" w14:textId="77777777" w:rsidR="00AF72C0" w:rsidRDefault="00AF72C0" w:rsidP="00BE7A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SXL Executive Mgmt team were to attend board</w:t>
            </w:r>
            <w:r w:rsidR="00164208">
              <w:rPr>
                <w:sz w:val="22"/>
                <w:szCs w:val="22"/>
              </w:rPr>
              <w:t>s</w:t>
            </w:r>
            <w:r>
              <w:rPr>
                <w:sz w:val="22"/>
                <w:szCs w:val="22"/>
              </w:rPr>
              <w:t xml:space="preserve"> on a rotating basis.  This took place on a regular basis in Year 1 but dropped off to limited attendance in Year 2</w:t>
            </w:r>
          </w:p>
          <w:p w14:paraId="20A6DFDF" w14:textId="77777777" w:rsidR="00D756E8" w:rsidRDefault="00D756E8" w:rsidP="00BE7A5D">
            <w:pPr>
              <w:cnfStyle w:val="000000000000" w:firstRow="0" w:lastRow="0" w:firstColumn="0" w:lastColumn="0" w:oddVBand="0" w:evenVBand="0" w:oddHBand="0" w:evenHBand="0" w:firstRowFirstColumn="0" w:firstRowLastColumn="0" w:lastRowFirstColumn="0" w:lastRowLastColumn="0"/>
              <w:rPr>
                <w:sz w:val="22"/>
                <w:szCs w:val="22"/>
              </w:rPr>
            </w:pPr>
          </w:p>
          <w:p w14:paraId="3CE73246" w14:textId="77777777" w:rsidR="00D756E8" w:rsidRPr="00AF72C0" w:rsidRDefault="007142ED" w:rsidP="00BE7A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Limited </w:t>
            </w:r>
            <w:r w:rsidR="00D756E8">
              <w:rPr>
                <w:sz w:val="22"/>
                <w:szCs w:val="22"/>
              </w:rPr>
              <w:t xml:space="preserve">internal programme support provided. Programme Manger </w:t>
            </w:r>
            <w:r w:rsidR="00164208">
              <w:rPr>
                <w:sz w:val="22"/>
                <w:szCs w:val="22"/>
              </w:rPr>
              <w:t xml:space="preserve">became </w:t>
            </w:r>
            <w:r w:rsidR="00D756E8">
              <w:rPr>
                <w:sz w:val="22"/>
                <w:szCs w:val="22"/>
              </w:rPr>
              <w:t>responsible for all administration</w:t>
            </w:r>
            <w:r w:rsidR="00164208">
              <w:rPr>
                <w:sz w:val="22"/>
                <w:szCs w:val="22"/>
              </w:rPr>
              <w:t xml:space="preserve"> </w:t>
            </w:r>
            <w:r>
              <w:rPr>
                <w:sz w:val="22"/>
                <w:szCs w:val="22"/>
              </w:rPr>
              <w:t xml:space="preserve">and management of all </w:t>
            </w:r>
            <w:r w:rsidR="00164208">
              <w:rPr>
                <w:sz w:val="22"/>
                <w:szCs w:val="22"/>
              </w:rPr>
              <w:t>programme</w:t>
            </w:r>
            <w:r w:rsidR="00D756E8">
              <w:rPr>
                <w:sz w:val="22"/>
                <w:szCs w:val="22"/>
              </w:rPr>
              <w:t>, document</w:t>
            </w:r>
            <w:r>
              <w:rPr>
                <w:sz w:val="22"/>
                <w:szCs w:val="22"/>
              </w:rPr>
              <w:t>ation,</w:t>
            </w:r>
            <w:r w:rsidR="00D756E8">
              <w:rPr>
                <w:sz w:val="22"/>
                <w:szCs w:val="22"/>
              </w:rPr>
              <w:t xml:space="preserve"> creation</w:t>
            </w:r>
            <w:r w:rsidR="00164208">
              <w:rPr>
                <w:sz w:val="22"/>
                <w:szCs w:val="22"/>
              </w:rPr>
              <w:t>, mgmt</w:t>
            </w:r>
            <w:r w:rsidR="00D756E8">
              <w:rPr>
                <w:sz w:val="22"/>
                <w:szCs w:val="22"/>
              </w:rPr>
              <w:t>,</w:t>
            </w:r>
            <w:r w:rsidR="00164208">
              <w:rPr>
                <w:sz w:val="22"/>
                <w:szCs w:val="22"/>
              </w:rPr>
              <w:t xml:space="preserve"> meetings etc </w:t>
            </w:r>
            <w:r w:rsidR="00D756E8">
              <w:rPr>
                <w:sz w:val="22"/>
                <w:szCs w:val="22"/>
              </w:rPr>
              <w:t xml:space="preserve"> </w:t>
            </w:r>
          </w:p>
        </w:tc>
      </w:tr>
      <w:tr w:rsidR="00D46032" w:rsidRPr="00FE56F2" w14:paraId="562508CA" w14:textId="77777777" w:rsidTr="00F621E0">
        <w:tc>
          <w:tcPr>
            <w:cnfStyle w:val="001000000000" w:firstRow="0" w:lastRow="0" w:firstColumn="1" w:lastColumn="0" w:oddVBand="0" w:evenVBand="0" w:oddHBand="0" w:evenHBand="0" w:firstRowFirstColumn="0" w:firstRowLastColumn="0" w:lastRowFirstColumn="0" w:lastRowLastColumn="0"/>
            <w:tcW w:w="3283" w:type="dxa"/>
          </w:tcPr>
          <w:p w14:paraId="35E6C887" w14:textId="77777777" w:rsidR="00D46032" w:rsidRPr="000D7550" w:rsidRDefault="00D46032" w:rsidP="00FA0585">
            <w:pPr>
              <w:rPr>
                <w:sz w:val="22"/>
                <w:szCs w:val="22"/>
              </w:rPr>
            </w:pPr>
            <w:r w:rsidRPr="000D7550">
              <w:rPr>
                <w:sz w:val="22"/>
                <w:szCs w:val="22"/>
              </w:rPr>
              <w:t>Stakeholder engagement and communications</w:t>
            </w:r>
          </w:p>
        </w:tc>
        <w:tc>
          <w:tcPr>
            <w:tcW w:w="3305" w:type="dxa"/>
          </w:tcPr>
          <w:p w14:paraId="71A7B875" w14:textId="77777777" w:rsidR="00D46032" w:rsidRDefault="00164208" w:rsidP="00AF72C0">
            <w:pPr>
              <w:tabs>
                <w:tab w:val="left" w:pos="387"/>
              </w:tabs>
              <w:cnfStyle w:val="000000000000" w:firstRow="0" w:lastRow="0" w:firstColumn="0" w:lastColumn="0" w:oddVBand="0" w:evenVBand="0" w:oddHBand="0" w:evenHBand="0" w:firstRowFirstColumn="0" w:firstRowLastColumn="0" w:lastRowFirstColumn="0" w:lastRowLastColumn="0"/>
              <w:rPr>
                <w:sz w:val="22"/>
                <w:szCs w:val="22"/>
              </w:rPr>
            </w:pPr>
            <w:r w:rsidRPr="00AF72C0">
              <w:rPr>
                <w:sz w:val="22"/>
                <w:szCs w:val="22"/>
              </w:rPr>
              <w:t>Co-location</w:t>
            </w:r>
            <w:r w:rsidR="00AF72C0" w:rsidRPr="00AF72C0">
              <w:rPr>
                <w:sz w:val="22"/>
                <w:szCs w:val="22"/>
              </w:rPr>
              <w:t xml:space="preserve"> of services over short periods of time </w:t>
            </w:r>
            <w:r>
              <w:rPr>
                <w:sz w:val="22"/>
                <w:szCs w:val="22"/>
              </w:rPr>
              <w:t xml:space="preserve">helped SXL </w:t>
            </w:r>
            <w:r w:rsidR="00AF72C0" w:rsidRPr="00AF72C0">
              <w:rPr>
                <w:sz w:val="22"/>
                <w:szCs w:val="22"/>
              </w:rPr>
              <w:t xml:space="preserve">better understand how each service operates </w:t>
            </w:r>
            <w:r>
              <w:rPr>
                <w:sz w:val="22"/>
                <w:szCs w:val="22"/>
              </w:rPr>
              <w:t xml:space="preserve">and where opportunities for </w:t>
            </w:r>
            <w:r w:rsidR="00AF72C0" w:rsidRPr="00AF72C0">
              <w:rPr>
                <w:sz w:val="22"/>
                <w:szCs w:val="22"/>
              </w:rPr>
              <w:t>improvement</w:t>
            </w:r>
            <w:r>
              <w:rPr>
                <w:sz w:val="22"/>
                <w:szCs w:val="22"/>
              </w:rPr>
              <w:t xml:space="preserve">s may lie helping to </w:t>
            </w:r>
            <w:r w:rsidR="00AF72C0" w:rsidRPr="00AF72C0">
              <w:rPr>
                <w:sz w:val="22"/>
                <w:szCs w:val="22"/>
              </w:rPr>
              <w:t>foster better working relationships</w:t>
            </w:r>
          </w:p>
          <w:p w14:paraId="4A5C6367" w14:textId="77777777" w:rsidR="00FC16FA" w:rsidRDefault="00FC16FA" w:rsidP="00AF72C0">
            <w:pPr>
              <w:tabs>
                <w:tab w:val="left" w:pos="387"/>
              </w:tabs>
              <w:cnfStyle w:val="000000000000" w:firstRow="0" w:lastRow="0" w:firstColumn="0" w:lastColumn="0" w:oddVBand="0" w:evenVBand="0" w:oddHBand="0" w:evenHBand="0" w:firstRowFirstColumn="0" w:firstRowLastColumn="0" w:lastRowFirstColumn="0" w:lastRowLastColumn="0"/>
              <w:rPr>
                <w:sz w:val="22"/>
                <w:szCs w:val="22"/>
              </w:rPr>
            </w:pPr>
          </w:p>
          <w:p w14:paraId="555E4CD8" w14:textId="77777777" w:rsidR="00FC16FA" w:rsidRDefault="00FC16FA" w:rsidP="00AF72C0">
            <w:pPr>
              <w:tabs>
                <w:tab w:val="left" w:pos="387"/>
              </w:tab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Having Scotland Excel embedded within the procurement team helped </w:t>
            </w:r>
            <w:r>
              <w:rPr>
                <w:sz w:val="22"/>
                <w:szCs w:val="22"/>
              </w:rPr>
              <w:lastRenderedPageBreak/>
              <w:t>create a ‘team effort’ approach to the transformation activity</w:t>
            </w:r>
          </w:p>
          <w:p w14:paraId="1DB6DFED" w14:textId="77777777" w:rsidR="000D7550" w:rsidRPr="00BE7A5D" w:rsidRDefault="000D7550" w:rsidP="00AF72C0">
            <w:pPr>
              <w:tabs>
                <w:tab w:val="left" w:pos="387"/>
              </w:tabs>
              <w:cnfStyle w:val="000000000000" w:firstRow="0" w:lastRow="0" w:firstColumn="0" w:lastColumn="0" w:oddVBand="0" w:evenVBand="0" w:oddHBand="0" w:evenHBand="0" w:firstRowFirstColumn="0" w:firstRowLastColumn="0" w:lastRowFirstColumn="0" w:lastRowLastColumn="0"/>
              <w:rPr>
                <w:sz w:val="22"/>
                <w:szCs w:val="22"/>
              </w:rPr>
            </w:pPr>
          </w:p>
        </w:tc>
        <w:tc>
          <w:tcPr>
            <w:tcW w:w="3309" w:type="dxa"/>
          </w:tcPr>
          <w:p w14:paraId="0BB93854" w14:textId="77777777" w:rsidR="002D382E" w:rsidRDefault="00AF72C0" w:rsidP="00AF72C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At the outset of the programme </w:t>
            </w:r>
          </w:p>
          <w:p w14:paraId="5BB2AEF4" w14:textId="77777777" w:rsidR="002D382E" w:rsidRDefault="002D382E" w:rsidP="002D382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SXL at times created unnecessary tension and friction between services and procurement teams through poor communication, planning</w:t>
            </w:r>
          </w:p>
          <w:p w14:paraId="70EEA892" w14:textId="77777777" w:rsidR="002D382E" w:rsidRDefault="002D382E" w:rsidP="00AF72C0">
            <w:pPr>
              <w:cnfStyle w:val="000000000000" w:firstRow="0" w:lastRow="0" w:firstColumn="0" w:lastColumn="0" w:oddVBand="0" w:evenVBand="0" w:oddHBand="0" w:evenHBand="0" w:firstRowFirstColumn="0" w:firstRowLastColumn="0" w:lastRowFirstColumn="0" w:lastRowLastColumn="0"/>
              <w:rPr>
                <w:sz w:val="22"/>
                <w:szCs w:val="22"/>
              </w:rPr>
            </w:pPr>
          </w:p>
          <w:p w14:paraId="0EC5D264" w14:textId="77777777" w:rsidR="002D382E" w:rsidRPr="00AF72C0" w:rsidRDefault="00AC45A8" w:rsidP="002D382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Board decisions and messages would not always filter </w:t>
            </w:r>
            <w:r w:rsidR="00164208">
              <w:rPr>
                <w:sz w:val="22"/>
                <w:szCs w:val="22"/>
              </w:rPr>
              <w:t xml:space="preserve">down </w:t>
            </w:r>
            <w:r>
              <w:rPr>
                <w:sz w:val="22"/>
                <w:szCs w:val="22"/>
              </w:rPr>
              <w:t xml:space="preserve">through to the wider organisation </w:t>
            </w:r>
          </w:p>
        </w:tc>
      </w:tr>
      <w:tr w:rsidR="00D46032" w:rsidRPr="00FE56F2" w14:paraId="736E63AC" w14:textId="77777777" w:rsidTr="00F621E0">
        <w:tc>
          <w:tcPr>
            <w:cnfStyle w:val="001000000000" w:firstRow="0" w:lastRow="0" w:firstColumn="1" w:lastColumn="0" w:oddVBand="0" w:evenVBand="0" w:oddHBand="0" w:evenHBand="0" w:firstRowFirstColumn="0" w:firstRowLastColumn="0" w:lastRowFirstColumn="0" w:lastRowLastColumn="0"/>
            <w:tcW w:w="3283" w:type="dxa"/>
          </w:tcPr>
          <w:p w14:paraId="65CF0BA4" w14:textId="77777777" w:rsidR="00D46032" w:rsidRPr="000D7550" w:rsidRDefault="00D46032" w:rsidP="00FA0585">
            <w:pPr>
              <w:rPr>
                <w:sz w:val="22"/>
                <w:szCs w:val="22"/>
              </w:rPr>
            </w:pPr>
            <w:r w:rsidRPr="000D7550">
              <w:rPr>
                <w:sz w:val="22"/>
                <w:szCs w:val="22"/>
              </w:rPr>
              <w:t>Benefits Realisation</w:t>
            </w:r>
          </w:p>
        </w:tc>
        <w:tc>
          <w:tcPr>
            <w:tcW w:w="3305" w:type="dxa"/>
          </w:tcPr>
          <w:p w14:paraId="52FE7FBF" w14:textId="77777777" w:rsidR="00D46032" w:rsidRPr="00AF72C0" w:rsidRDefault="00AF72C0" w:rsidP="00AF72C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Programme has met and exceed both financial outcomes within the agreed Business Case</w:t>
            </w:r>
            <w:r w:rsidR="00C24ABD">
              <w:rPr>
                <w:sz w:val="22"/>
                <w:szCs w:val="22"/>
              </w:rPr>
              <w:t xml:space="preserve">. This will allow the Councils procurement functions to continue delivering savings and benefits well beyond the life of the programme </w:t>
            </w:r>
          </w:p>
        </w:tc>
        <w:tc>
          <w:tcPr>
            <w:tcW w:w="3309" w:type="dxa"/>
          </w:tcPr>
          <w:p w14:paraId="0877B52E" w14:textId="77777777" w:rsidR="00D46032" w:rsidRPr="00AF72C0" w:rsidRDefault="00AF72C0" w:rsidP="00AF72C0">
            <w:pPr>
              <w:tabs>
                <w:tab w:val="left" w:pos="602"/>
              </w:tab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complexity of reporting procurement benefits using multiple manual systems </w:t>
            </w:r>
            <w:r w:rsidR="002D382E">
              <w:rPr>
                <w:sz w:val="22"/>
                <w:szCs w:val="22"/>
              </w:rPr>
              <w:t>a</w:t>
            </w:r>
            <w:r>
              <w:rPr>
                <w:sz w:val="22"/>
                <w:szCs w:val="22"/>
              </w:rPr>
              <w:t xml:space="preserve">cross multiple service areas (DPA) </w:t>
            </w:r>
            <w:r w:rsidR="002D382E">
              <w:rPr>
                <w:sz w:val="22"/>
                <w:szCs w:val="22"/>
              </w:rPr>
              <w:t xml:space="preserve">did </w:t>
            </w:r>
            <w:r>
              <w:rPr>
                <w:sz w:val="22"/>
                <w:szCs w:val="22"/>
              </w:rPr>
              <w:t>delay financial reporting on progress to the board</w:t>
            </w:r>
          </w:p>
        </w:tc>
      </w:tr>
      <w:tr w:rsidR="00D46032" w:rsidRPr="00FE56F2" w14:paraId="7DD2EA31" w14:textId="77777777" w:rsidTr="00F621E0">
        <w:tc>
          <w:tcPr>
            <w:cnfStyle w:val="001000000000" w:firstRow="0" w:lastRow="0" w:firstColumn="1" w:lastColumn="0" w:oddVBand="0" w:evenVBand="0" w:oddHBand="0" w:evenHBand="0" w:firstRowFirstColumn="0" w:firstRowLastColumn="0" w:lastRowFirstColumn="0" w:lastRowLastColumn="0"/>
            <w:tcW w:w="3283" w:type="dxa"/>
          </w:tcPr>
          <w:p w14:paraId="6CF2C600" w14:textId="77777777" w:rsidR="00D46032" w:rsidRPr="000D7550" w:rsidRDefault="00D46032" w:rsidP="00FA0585">
            <w:pPr>
              <w:rPr>
                <w:sz w:val="22"/>
                <w:szCs w:val="22"/>
              </w:rPr>
            </w:pPr>
            <w:r w:rsidRPr="000D7550">
              <w:rPr>
                <w:sz w:val="22"/>
                <w:szCs w:val="22"/>
              </w:rPr>
              <w:t>Business Case management</w:t>
            </w:r>
          </w:p>
        </w:tc>
        <w:tc>
          <w:tcPr>
            <w:tcW w:w="3305" w:type="dxa"/>
          </w:tcPr>
          <w:p w14:paraId="38A2EC68" w14:textId="77777777" w:rsidR="00D46032" w:rsidRPr="00F35985" w:rsidRDefault="00F35985" w:rsidP="00F3598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Business Case was established and approved at P&amp;C with a Business Case Refresh at end of Year 1 approved by Commercialisation Board  </w:t>
            </w:r>
          </w:p>
        </w:tc>
        <w:tc>
          <w:tcPr>
            <w:tcW w:w="3309" w:type="dxa"/>
          </w:tcPr>
          <w:p w14:paraId="5D5415BD" w14:textId="77777777" w:rsidR="00D46032" w:rsidRPr="00FE56F2" w:rsidRDefault="00D46032" w:rsidP="00F35985">
            <w:pPr>
              <w:cnfStyle w:val="000000000000" w:firstRow="0" w:lastRow="0" w:firstColumn="0" w:lastColumn="0" w:oddVBand="0" w:evenVBand="0" w:oddHBand="0" w:evenHBand="0" w:firstRowFirstColumn="0" w:firstRowLastColumn="0" w:lastRowFirstColumn="0" w:lastRowLastColumn="0"/>
              <w:rPr>
                <w:b/>
                <w:sz w:val="22"/>
                <w:szCs w:val="22"/>
              </w:rPr>
            </w:pPr>
          </w:p>
        </w:tc>
      </w:tr>
      <w:tr w:rsidR="00D46032" w:rsidRPr="00FE56F2" w14:paraId="73053469" w14:textId="77777777" w:rsidTr="00F621E0">
        <w:tc>
          <w:tcPr>
            <w:cnfStyle w:val="001000000000" w:firstRow="0" w:lastRow="0" w:firstColumn="1" w:lastColumn="0" w:oddVBand="0" w:evenVBand="0" w:oddHBand="0" w:evenHBand="0" w:firstRowFirstColumn="0" w:firstRowLastColumn="0" w:lastRowFirstColumn="0" w:lastRowLastColumn="0"/>
            <w:tcW w:w="3283" w:type="dxa"/>
          </w:tcPr>
          <w:p w14:paraId="1F6F67A4" w14:textId="77777777" w:rsidR="00D46032" w:rsidRPr="000D7550" w:rsidRDefault="00D46032" w:rsidP="00FA0585">
            <w:pPr>
              <w:rPr>
                <w:sz w:val="22"/>
                <w:szCs w:val="22"/>
              </w:rPr>
            </w:pPr>
            <w:r w:rsidRPr="000D7550">
              <w:rPr>
                <w:sz w:val="22"/>
                <w:szCs w:val="22"/>
              </w:rPr>
              <w:t>Financial management</w:t>
            </w:r>
          </w:p>
        </w:tc>
        <w:tc>
          <w:tcPr>
            <w:tcW w:w="3305" w:type="dxa"/>
          </w:tcPr>
          <w:p w14:paraId="0FE7D293" w14:textId="77777777" w:rsidR="00D46032" w:rsidRPr="002D382E" w:rsidRDefault="002D382E" w:rsidP="002D382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As part of programme </w:t>
            </w:r>
            <w:r w:rsidR="0012394C">
              <w:rPr>
                <w:sz w:val="22"/>
                <w:szCs w:val="22"/>
              </w:rPr>
              <w:t>activity,</w:t>
            </w:r>
            <w:r>
              <w:rPr>
                <w:sz w:val="22"/>
                <w:szCs w:val="22"/>
              </w:rPr>
              <w:t xml:space="preserve"> a clearly define</w:t>
            </w:r>
            <w:r w:rsidR="00FC16FA">
              <w:rPr>
                <w:sz w:val="22"/>
                <w:szCs w:val="22"/>
              </w:rPr>
              <w:t>d</w:t>
            </w:r>
            <w:r>
              <w:rPr>
                <w:sz w:val="22"/>
                <w:szCs w:val="22"/>
              </w:rPr>
              <w:t xml:space="preserve"> benefits realisation process has been established from Opportunity identification to budget removal</w:t>
            </w:r>
          </w:p>
        </w:tc>
        <w:tc>
          <w:tcPr>
            <w:tcW w:w="3309" w:type="dxa"/>
          </w:tcPr>
          <w:p w14:paraId="4B861CA1" w14:textId="77777777" w:rsidR="00D46032" w:rsidRPr="00D756E8" w:rsidRDefault="00777506" w:rsidP="00D756E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Despite establishing a benefits </w:t>
            </w:r>
            <w:r w:rsidR="00E44B52">
              <w:rPr>
                <w:sz w:val="22"/>
                <w:szCs w:val="22"/>
              </w:rPr>
              <w:t>realisation</w:t>
            </w:r>
            <w:r>
              <w:rPr>
                <w:sz w:val="22"/>
                <w:szCs w:val="22"/>
              </w:rPr>
              <w:t xml:space="preserve"> policy and process </w:t>
            </w:r>
            <w:r w:rsidR="00E44B52">
              <w:rPr>
                <w:sz w:val="22"/>
                <w:szCs w:val="22"/>
              </w:rPr>
              <w:t xml:space="preserve">challenges remain when seeking to remove budgets </w:t>
            </w:r>
          </w:p>
        </w:tc>
      </w:tr>
      <w:tr w:rsidR="00D46032" w:rsidRPr="00FE56F2" w14:paraId="10EADC54" w14:textId="77777777" w:rsidTr="00F621E0">
        <w:tc>
          <w:tcPr>
            <w:cnfStyle w:val="001000000000" w:firstRow="0" w:lastRow="0" w:firstColumn="1" w:lastColumn="0" w:oddVBand="0" w:evenVBand="0" w:oddHBand="0" w:evenHBand="0" w:firstRowFirstColumn="0" w:firstRowLastColumn="0" w:lastRowFirstColumn="0" w:lastRowLastColumn="0"/>
            <w:tcW w:w="3283" w:type="dxa"/>
          </w:tcPr>
          <w:p w14:paraId="29B89DE0" w14:textId="77777777" w:rsidR="00D46032" w:rsidRPr="000D7550" w:rsidRDefault="00D46032" w:rsidP="00FA0585">
            <w:pPr>
              <w:rPr>
                <w:sz w:val="22"/>
                <w:szCs w:val="22"/>
              </w:rPr>
            </w:pPr>
            <w:r w:rsidRPr="000D7550">
              <w:rPr>
                <w:sz w:val="22"/>
                <w:szCs w:val="22"/>
              </w:rPr>
              <w:t>Resource management</w:t>
            </w:r>
          </w:p>
        </w:tc>
        <w:tc>
          <w:tcPr>
            <w:tcW w:w="3305" w:type="dxa"/>
          </w:tcPr>
          <w:p w14:paraId="2A8D6C6C" w14:textId="77777777" w:rsidR="00E20252" w:rsidRDefault="00E20252" w:rsidP="00E2025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As a result of the COVID impact both the Programme and Procurement areas of the Council were able to repurpose activity quickly to support the Councils response to the pandemic. </w:t>
            </w:r>
          </w:p>
          <w:p w14:paraId="0E85411B" w14:textId="77777777" w:rsidR="00E20252" w:rsidRDefault="00E20252" w:rsidP="00D756E8">
            <w:pPr>
              <w:cnfStyle w:val="000000000000" w:firstRow="0" w:lastRow="0" w:firstColumn="0" w:lastColumn="0" w:oddVBand="0" w:evenVBand="0" w:oddHBand="0" w:evenHBand="0" w:firstRowFirstColumn="0" w:firstRowLastColumn="0" w:lastRowFirstColumn="0" w:lastRowLastColumn="0"/>
              <w:rPr>
                <w:sz w:val="22"/>
                <w:szCs w:val="22"/>
              </w:rPr>
            </w:pPr>
          </w:p>
          <w:p w14:paraId="291F626E" w14:textId="77777777" w:rsidR="00E20252" w:rsidRDefault="00E20252" w:rsidP="00D756E8">
            <w:pPr>
              <w:cnfStyle w:val="000000000000" w:firstRow="0" w:lastRow="0" w:firstColumn="0" w:lastColumn="0" w:oddVBand="0" w:evenVBand="0" w:oddHBand="0" w:evenHBand="0" w:firstRowFirstColumn="0" w:firstRowLastColumn="0" w:lastRowFirstColumn="0" w:lastRowLastColumn="0"/>
              <w:rPr>
                <w:sz w:val="22"/>
                <w:szCs w:val="22"/>
              </w:rPr>
            </w:pPr>
          </w:p>
          <w:p w14:paraId="340FE396" w14:textId="77777777" w:rsidR="00D46032" w:rsidRDefault="002D382E" w:rsidP="00D756E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Once a c</w:t>
            </w:r>
            <w:r w:rsidR="00A427BB">
              <w:rPr>
                <w:sz w:val="22"/>
                <w:szCs w:val="22"/>
              </w:rPr>
              <w:t xml:space="preserve">onsistent financial support </w:t>
            </w:r>
            <w:r w:rsidR="00FC16FA">
              <w:rPr>
                <w:sz w:val="22"/>
                <w:szCs w:val="22"/>
              </w:rPr>
              <w:t xml:space="preserve">resource </w:t>
            </w:r>
            <w:r>
              <w:rPr>
                <w:sz w:val="22"/>
                <w:szCs w:val="22"/>
              </w:rPr>
              <w:t xml:space="preserve">to the programme was established, the </w:t>
            </w:r>
            <w:r w:rsidR="00A427BB">
              <w:rPr>
                <w:sz w:val="22"/>
                <w:szCs w:val="22"/>
              </w:rPr>
              <w:t>benefits tracking process was taken forward successfully allowing programme financial reporting to the Board</w:t>
            </w:r>
            <w:r>
              <w:rPr>
                <w:sz w:val="22"/>
                <w:szCs w:val="22"/>
              </w:rPr>
              <w:t>.</w:t>
            </w:r>
          </w:p>
          <w:p w14:paraId="609AD239" w14:textId="77777777" w:rsidR="005034D4" w:rsidRDefault="005034D4" w:rsidP="00D756E8">
            <w:pPr>
              <w:cnfStyle w:val="000000000000" w:firstRow="0" w:lastRow="0" w:firstColumn="0" w:lastColumn="0" w:oddVBand="0" w:evenVBand="0" w:oddHBand="0" w:evenHBand="0" w:firstRowFirstColumn="0" w:firstRowLastColumn="0" w:lastRowFirstColumn="0" w:lastRowLastColumn="0"/>
              <w:rPr>
                <w:sz w:val="22"/>
                <w:szCs w:val="22"/>
              </w:rPr>
            </w:pPr>
          </w:p>
          <w:p w14:paraId="2E7FC1A7" w14:textId="77777777" w:rsidR="005034D4" w:rsidRPr="00A427BB" w:rsidRDefault="005034D4" w:rsidP="00D756E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SXL acknowledged their resource challenges and provided more remote resource at times to compensate as well as extended support beyond the initial contracted </w:t>
            </w:r>
            <w:proofErr w:type="gramStart"/>
            <w:r>
              <w:rPr>
                <w:sz w:val="22"/>
                <w:szCs w:val="22"/>
              </w:rPr>
              <w:t>time period</w:t>
            </w:r>
            <w:proofErr w:type="gramEnd"/>
            <w:r>
              <w:rPr>
                <w:sz w:val="22"/>
                <w:szCs w:val="22"/>
              </w:rPr>
              <w:t>.</w:t>
            </w:r>
          </w:p>
        </w:tc>
        <w:tc>
          <w:tcPr>
            <w:tcW w:w="3309" w:type="dxa"/>
          </w:tcPr>
          <w:p w14:paraId="7635018D" w14:textId="77777777" w:rsidR="0012394C" w:rsidRDefault="0012394C" w:rsidP="00BE7A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Difficulties existed with SXL duplication of a Programme Manager role.  No formal authority for FC Programme Manager over SXL team created friction and tensions </w:t>
            </w:r>
          </w:p>
          <w:p w14:paraId="6A896EEA" w14:textId="77777777" w:rsidR="0012394C" w:rsidRDefault="0012394C" w:rsidP="00BE7A5D">
            <w:pPr>
              <w:cnfStyle w:val="000000000000" w:firstRow="0" w:lastRow="0" w:firstColumn="0" w:lastColumn="0" w:oddVBand="0" w:evenVBand="0" w:oddHBand="0" w:evenHBand="0" w:firstRowFirstColumn="0" w:firstRowLastColumn="0" w:lastRowFirstColumn="0" w:lastRowLastColumn="0"/>
              <w:rPr>
                <w:sz w:val="22"/>
                <w:szCs w:val="22"/>
              </w:rPr>
            </w:pPr>
          </w:p>
          <w:p w14:paraId="3570E80A" w14:textId="77777777" w:rsidR="00D756E8" w:rsidRDefault="00BE7A5D" w:rsidP="00BE7A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Despite multiple requests </w:t>
            </w:r>
            <w:r w:rsidR="002D382E">
              <w:rPr>
                <w:sz w:val="22"/>
                <w:szCs w:val="22"/>
              </w:rPr>
              <w:t xml:space="preserve">SXL </w:t>
            </w:r>
            <w:r>
              <w:rPr>
                <w:sz w:val="22"/>
                <w:szCs w:val="22"/>
              </w:rPr>
              <w:t xml:space="preserve">did not use Fife Council systems.  This </w:t>
            </w:r>
            <w:r w:rsidR="004519EC">
              <w:rPr>
                <w:sz w:val="22"/>
                <w:szCs w:val="22"/>
              </w:rPr>
              <w:t xml:space="preserve">reduced </w:t>
            </w:r>
            <w:r>
              <w:rPr>
                <w:sz w:val="22"/>
                <w:szCs w:val="22"/>
              </w:rPr>
              <w:t xml:space="preserve">Council visibility </w:t>
            </w:r>
            <w:r w:rsidR="004519EC">
              <w:rPr>
                <w:sz w:val="22"/>
                <w:szCs w:val="22"/>
              </w:rPr>
              <w:t xml:space="preserve">and </w:t>
            </w:r>
            <w:r w:rsidR="002D382E">
              <w:rPr>
                <w:sz w:val="22"/>
                <w:szCs w:val="22"/>
              </w:rPr>
              <w:t xml:space="preserve">control </w:t>
            </w:r>
            <w:r>
              <w:rPr>
                <w:sz w:val="22"/>
                <w:szCs w:val="22"/>
              </w:rPr>
              <w:t xml:space="preserve">over </w:t>
            </w:r>
            <w:r w:rsidR="004519EC">
              <w:rPr>
                <w:sz w:val="22"/>
                <w:szCs w:val="22"/>
              </w:rPr>
              <w:t xml:space="preserve">SXL activity including </w:t>
            </w:r>
            <w:r>
              <w:rPr>
                <w:sz w:val="22"/>
                <w:szCs w:val="22"/>
              </w:rPr>
              <w:t xml:space="preserve">meetings/holidays etc.  </w:t>
            </w:r>
            <w:r w:rsidR="004519EC">
              <w:rPr>
                <w:sz w:val="22"/>
                <w:szCs w:val="22"/>
              </w:rPr>
              <w:t xml:space="preserve">This impacted speed of delivery and service continuity </w:t>
            </w:r>
            <w:r>
              <w:rPr>
                <w:sz w:val="22"/>
                <w:szCs w:val="22"/>
              </w:rPr>
              <w:t>with individuals being off at the same time</w:t>
            </w:r>
            <w:r w:rsidR="00D756E8">
              <w:rPr>
                <w:sz w:val="22"/>
                <w:szCs w:val="22"/>
              </w:rPr>
              <w:t xml:space="preserve">.  </w:t>
            </w:r>
          </w:p>
          <w:p w14:paraId="4782AA17" w14:textId="77777777" w:rsidR="00D756E8" w:rsidRDefault="00D756E8" w:rsidP="00BE7A5D">
            <w:pPr>
              <w:cnfStyle w:val="000000000000" w:firstRow="0" w:lastRow="0" w:firstColumn="0" w:lastColumn="0" w:oddVBand="0" w:evenVBand="0" w:oddHBand="0" w:evenHBand="0" w:firstRowFirstColumn="0" w:firstRowLastColumn="0" w:lastRowFirstColumn="0" w:lastRowLastColumn="0"/>
              <w:rPr>
                <w:sz w:val="22"/>
                <w:szCs w:val="22"/>
              </w:rPr>
            </w:pPr>
          </w:p>
          <w:p w14:paraId="7AC401C1" w14:textId="77777777" w:rsidR="00D46032" w:rsidRDefault="00D756E8" w:rsidP="00BE7A5D">
            <w:pPr>
              <w:cnfStyle w:val="000000000000" w:firstRow="0" w:lastRow="0" w:firstColumn="0" w:lastColumn="0" w:oddVBand="0" w:evenVBand="0" w:oddHBand="0" w:evenHBand="0" w:firstRowFirstColumn="0" w:firstRowLastColumn="0" w:lastRowFirstColumn="0" w:lastRowLastColumn="0"/>
              <w:rPr>
                <w:sz w:val="22"/>
                <w:szCs w:val="22"/>
              </w:rPr>
            </w:pPr>
            <w:r w:rsidRPr="004519EC">
              <w:rPr>
                <w:sz w:val="22"/>
                <w:szCs w:val="22"/>
              </w:rPr>
              <w:t xml:space="preserve">SXL </w:t>
            </w:r>
            <w:r w:rsidR="002D382E" w:rsidRPr="004519EC">
              <w:rPr>
                <w:sz w:val="22"/>
                <w:szCs w:val="22"/>
              </w:rPr>
              <w:t xml:space="preserve">staff did </w:t>
            </w:r>
            <w:r w:rsidRPr="004519EC">
              <w:rPr>
                <w:sz w:val="22"/>
                <w:szCs w:val="22"/>
              </w:rPr>
              <w:t xml:space="preserve">work on other SXL projects </w:t>
            </w:r>
          </w:p>
          <w:p w14:paraId="4C843B4E" w14:textId="77777777" w:rsidR="005034D4" w:rsidRDefault="005034D4" w:rsidP="00BE7A5D">
            <w:pPr>
              <w:cnfStyle w:val="000000000000" w:firstRow="0" w:lastRow="0" w:firstColumn="0" w:lastColumn="0" w:oddVBand="0" w:evenVBand="0" w:oddHBand="0" w:evenHBand="0" w:firstRowFirstColumn="0" w:firstRowLastColumn="0" w:lastRowFirstColumn="0" w:lastRowLastColumn="0"/>
              <w:rPr>
                <w:sz w:val="22"/>
                <w:szCs w:val="22"/>
              </w:rPr>
            </w:pPr>
          </w:p>
          <w:p w14:paraId="07E3F249" w14:textId="77777777" w:rsidR="005034D4" w:rsidRDefault="005034D4" w:rsidP="00BE7A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SXL had challenges in securing and sustaining suitably qualified and experienced resource at times. Lesson learned is that evidence of being able to access appropriate resource should have been sought.</w:t>
            </w:r>
          </w:p>
          <w:p w14:paraId="4ED290EB" w14:textId="77777777" w:rsidR="00AF72C0" w:rsidRDefault="00AF72C0" w:rsidP="00BE7A5D">
            <w:pPr>
              <w:cnfStyle w:val="000000000000" w:firstRow="0" w:lastRow="0" w:firstColumn="0" w:lastColumn="0" w:oddVBand="0" w:evenVBand="0" w:oddHBand="0" w:evenHBand="0" w:firstRowFirstColumn="0" w:firstRowLastColumn="0" w:lastRowFirstColumn="0" w:lastRowLastColumn="0"/>
              <w:rPr>
                <w:sz w:val="22"/>
                <w:szCs w:val="22"/>
              </w:rPr>
            </w:pPr>
          </w:p>
          <w:p w14:paraId="7F0E5C43" w14:textId="77777777" w:rsidR="00D756E8" w:rsidRDefault="00D756E8" w:rsidP="00BE7A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Financial support at the start of the programme was inconsistent</w:t>
            </w:r>
            <w:r w:rsidR="004519EC">
              <w:rPr>
                <w:sz w:val="22"/>
                <w:szCs w:val="22"/>
              </w:rPr>
              <w:t xml:space="preserve"> with multiple </w:t>
            </w:r>
            <w:r w:rsidR="004519EC">
              <w:rPr>
                <w:sz w:val="22"/>
                <w:szCs w:val="22"/>
              </w:rPr>
              <w:lastRenderedPageBreak/>
              <w:t>accountants allocated to support over the life of the programme.</w:t>
            </w:r>
          </w:p>
          <w:p w14:paraId="64F66ED3" w14:textId="77777777" w:rsidR="00AC45A8" w:rsidRDefault="00AC45A8" w:rsidP="00BE7A5D">
            <w:pPr>
              <w:cnfStyle w:val="000000000000" w:firstRow="0" w:lastRow="0" w:firstColumn="0" w:lastColumn="0" w:oddVBand="0" w:evenVBand="0" w:oddHBand="0" w:evenHBand="0" w:firstRowFirstColumn="0" w:firstRowLastColumn="0" w:lastRowFirstColumn="0" w:lastRowLastColumn="0"/>
              <w:rPr>
                <w:sz w:val="22"/>
                <w:szCs w:val="22"/>
              </w:rPr>
            </w:pPr>
          </w:p>
          <w:p w14:paraId="5D06717D" w14:textId="77777777" w:rsidR="00AC45A8" w:rsidRDefault="00AC45A8" w:rsidP="00BE7A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C2D and Programme communications </w:t>
            </w:r>
            <w:r w:rsidR="002D382E">
              <w:rPr>
                <w:sz w:val="22"/>
                <w:szCs w:val="22"/>
              </w:rPr>
              <w:t xml:space="preserve">would </w:t>
            </w:r>
            <w:r w:rsidR="00FC16FA">
              <w:rPr>
                <w:sz w:val="22"/>
                <w:szCs w:val="22"/>
              </w:rPr>
              <w:t>have</w:t>
            </w:r>
            <w:r w:rsidR="002D382E">
              <w:rPr>
                <w:sz w:val="22"/>
                <w:szCs w:val="22"/>
              </w:rPr>
              <w:t xml:space="preserve"> </w:t>
            </w:r>
            <w:r>
              <w:rPr>
                <w:sz w:val="22"/>
                <w:szCs w:val="22"/>
              </w:rPr>
              <w:t xml:space="preserve">benefited from </w:t>
            </w:r>
            <w:r w:rsidR="002D382E">
              <w:rPr>
                <w:sz w:val="22"/>
                <w:szCs w:val="22"/>
              </w:rPr>
              <w:t xml:space="preserve">consistent </w:t>
            </w:r>
            <w:r>
              <w:rPr>
                <w:sz w:val="22"/>
                <w:szCs w:val="22"/>
              </w:rPr>
              <w:t xml:space="preserve">specialist service support </w:t>
            </w:r>
            <w:r w:rsidR="002D382E">
              <w:rPr>
                <w:sz w:val="22"/>
                <w:szCs w:val="22"/>
              </w:rPr>
              <w:t>around communications</w:t>
            </w:r>
            <w:r>
              <w:rPr>
                <w:sz w:val="22"/>
                <w:szCs w:val="22"/>
              </w:rPr>
              <w:t>.</w:t>
            </w:r>
          </w:p>
          <w:p w14:paraId="5B3CA445" w14:textId="77777777" w:rsidR="00BE7A5D" w:rsidRDefault="00BE7A5D" w:rsidP="00BE7A5D">
            <w:pPr>
              <w:cnfStyle w:val="000000000000" w:firstRow="0" w:lastRow="0" w:firstColumn="0" w:lastColumn="0" w:oddVBand="0" w:evenVBand="0" w:oddHBand="0" w:evenHBand="0" w:firstRowFirstColumn="0" w:firstRowLastColumn="0" w:lastRowFirstColumn="0" w:lastRowLastColumn="0"/>
              <w:rPr>
                <w:sz w:val="22"/>
                <w:szCs w:val="22"/>
              </w:rPr>
            </w:pPr>
          </w:p>
          <w:p w14:paraId="4076DF6E" w14:textId="77777777" w:rsidR="00BE7A5D" w:rsidRDefault="00AC45A8" w:rsidP="00695B7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Anyone taking forward a change programme </w:t>
            </w:r>
            <w:r w:rsidR="002D382E">
              <w:rPr>
                <w:sz w:val="22"/>
                <w:szCs w:val="22"/>
              </w:rPr>
              <w:t xml:space="preserve">should </w:t>
            </w:r>
            <w:r w:rsidR="00695B77">
              <w:rPr>
                <w:sz w:val="22"/>
                <w:szCs w:val="22"/>
              </w:rPr>
              <w:t xml:space="preserve">have experience in delivering successful projects and </w:t>
            </w:r>
            <w:r w:rsidR="002D382E">
              <w:rPr>
                <w:sz w:val="22"/>
                <w:szCs w:val="22"/>
              </w:rPr>
              <w:t xml:space="preserve">undertake recognised Programme Management </w:t>
            </w:r>
            <w:r>
              <w:rPr>
                <w:sz w:val="22"/>
                <w:szCs w:val="22"/>
              </w:rPr>
              <w:t xml:space="preserve">training </w:t>
            </w:r>
          </w:p>
          <w:p w14:paraId="2B665C2C" w14:textId="77777777" w:rsidR="00695B77" w:rsidRPr="00BE7A5D" w:rsidRDefault="00695B77" w:rsidP="00695B77">
            <w:pPr>
              <w:cnfStyle w:val="000000000000" w:firstRow="0" w:lastRow="0" w:firstColumn="0" w:lastColumn="0" w:oddVBand="0" w:evenVBand="0" w:oddHBand="0" w:evenHBand="0" w:firstRowFirstColumn="0" w:firstRowLastColumn="0" w:lastRowFirstColumn="0" w:lastRowLastColumn="0"/>
              <w:rPr>
                <w:sz w:val="22"/>
                <w:szCs w:val="22"/>
              </w:rPr>
            </w:pPr>
          </w:p>
        </w:tc>
      </w:tr>
      <w:tr w:rsidR="00D46032" w:rsidRPr="00FE56F2" w14:paraId="56A27994" w14:textId="77777777" w:rsidTr="00F621E0">
        <w:tc>
          <w:tcPr>
            <w:cnfStyle w:val="001000000000" w:firstRow="0" w:lastRow="0" w:firstColumn="1" w:lastColumn="0" w:oddVBand="0" w:evenVBand="0" w:oddHBand="0" w:evenHBand="0" w:firstRowFirstColumn="0" w:firstRowLastColumn="0" w:lastRowFirstColumn="0" w:lastRowLastColumn="0"/>
            <w:tcW w:w="3283" w:type="dxa"/>
          </w:tcPr>
          <w:p w14:paraId="1D133BEA" w14:textId="77777777" w:rsidR="00D46032" w:rsidRPr="000D7550" w:rsidRDefault="00D46032" w:rsidP="00FA0585">
            <w:pPr>
              <w:rPr>
                <w:sz w:val="22"/>
                <w:szCs w:val="22"/>
              </w:rPr>
            </w:pPr>
            <w:r w:rsidRPr="000D7550">
              <w:rPr>
                <w:sz w:val="22"/>
                <w:szCs w:val="22"/>
              </w:rPr>
              <w:lastRenderedPageBreak/>
              <w:t>Programme risk and issue management</w:t>
            </w:r>
          </w:p>
        </w:tc>
        <w:tc>
          <w:tcPr>
            <w:tcW w:w="3305" w:type="dxa"/>
          </w:tcPr>
          <w:p w14:paraId="05EE38BB" w14:textId="77777777" w:rsidR="00D46032" w:rsidRPr="002D382E" w:rsidRDefault="002D382E" w:rsidP="002D382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Spending time identifying programme risks at the outset helped with the management and solutions around issues that arose</w:t>
            </w:r>
          </w:p>
        </w:tc>
        <w:tc>
          <w:tcPr>
            <w:tcW w:w="3309" w:type="dxa"/>
          </w:tcPr>
          <w:p w14:paraId="1F0324AB" w14:textId="77777777" w:rsidR="00D46032" w:rsidRPr="002D382E" w:rsidRDefault="004519EC" w:rsidP="002D382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Programme Managers should have formal authority </w:t>
            </w:r>
            <w:r w:rsidR="002D382E">
              <w:rPr>
                <w:sz w:val="22"/>
                <w:szCs w:val="22"/>
              </w:rPr>
              <w:t xml:space="preserve">for </w:t>
            </w:r>
            <w:r>
              <w:rPr>
                <w:sz w:val="22"/>
                <w:szCs w:val="22"/>
              </w:rPr>
              <w:t xml:space="preserve">their </w:t>
            </w:r>
            <w:r w:rsidR="002D382E">
              <w:rPr>
                <w:sz w:val="22"/>
                <w:szCs w:val="22"/>
              </w:rPr>
              <w:t xml:space="preserve">programme </w:t>
            </w:r>
            <w:r>
              <w:rPr>
                <w:sz w:val="22"/>
                <w:szCs w:val="22"/>
              </w:rPr>
              <w:t>as it can be difficult to determine,</w:t>
            </w:r>
            <w:r w:rsidR="002D382E">
              <w:rPr>
                <w:sz w:val="22"/>
                <w:szCs w:val="22"/>
              </w:rPr>
              <w:t xml:space="preserve"> and present risks and issues being raised </w:t>
            </w:r>
          </w:p>
        </w:tc>
      </w:tr>
      <w:tr w:rsidR="00D46032" w:rsidRPr="00FE56F2" w14:paraId="02F2918A" w14:textId="77777777" w:rsidTr="00F621E0">
        <w:tc>
          <w:tcPr>
            <w:cnfStyle w:val="001000000000" w:firstRow="0" w:lastRow="0" w:firstColumn="1" w:lastColumn="0" w:oddVBand="0" w:evenVBand="0" w:oddHBand="0" w:evenHBand="0" w:firstRowFirstColumn="0" w:firstRowLastColumn="0" w:lastRowFirstColumn="0" w:lastRowLastColumn="0"/>
            <w:tcW w:w="3283" w:type="dxa"/>
          </w:tcPr>
          <w:p w14:paraId="321F0B38" w14:textId="77777777" w:rsidR="00D46032" w:rsidRPr="000D7550" w:rsidRDefault="00D46032" w:rsidP="00D46032">
            <w:pPr>
              <w:rPr>
                <w:sz w:val="22"/>
                <w:szCs w:val="22"/>
              </w:rPr>
            </w:pPr>
            <w:r w:rsidRPr="000D7550">
              <w:rPr>
                <w:sz w:val="22"/>
                <w:szCs w:val="22"/>
              </w:rPr>
              <w:t xml:space="preserve">Programme planning, </w:t>
            </w:r>
            <w:proofErr w:type="gramStart"/>
            <w:r w:rsidRPr="000D7550">
              <w:rPr>
                <w:sz w:val="22"/>
                <w:szCs w:val="22"/>
              </w:rPr>
              <w:t>monitoring</w:t>
            </w:r>
            <w:proofErr w:type="gramEnd"/>
            <w:r w:rsidRPr="000D7550">
              <w:rPr>
                <w:sz w:val="22"/>
                <w:szCs w:val="22"/>
              </w:rPr>
              <w:t xml:space="preserve"> and control</w:t>
            </w:r>
          </w:p>
          <w:p w14:paraId="6BFE1EC2" w14:textId="77777777" w:rsidR="00D46032" w:rsidRPr="009E3AE9" w:rsidRDefault="00D46032" w:rsidP="00FA0585">
            <w:pPr>
              <w:rPr>
                <w:color w:val="FF0000"/>
                <w:sz w:val="22"/>
                <w:szCs w:val="22"/>
              </w:rPr>
            </w:pPr>
          </w:p>
        </w:tc>
        <w:tc>
          <w:tcPr>
            <w:tcW w:w="3305" w:type="dxa"/>
          </w:tcPr>
          <w:p w14:paraId="0EEEFA41" w14:textId="77777777" w:rsidR="00D46032" w:rsidRPr="00E20252" w:rsidRDefault="00695B77" w:rsidP="00E2025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Having clearly defined </w:t>
            </w:r>
            <w:r w:rsidR="00E20252">
              <w:rPr>
                <w:sz w:val="22"/>
                <w:szCs w:val="22"/>
              </w:rPr>
              <w:t>delivery plans</w:t>
            </w:r>
            <w:r>
              <w:rPr>
                <w:sz w:val="22"/>
                <w:szCs w:val="22"/>
              </w:rPr>
              <w:t xml:space="preserve"> and outputs (with timelines) including </w:t>
            </w:r>
            <w:r w:rsidR="0012394C">
              <w:rPr>
                <w:sz w:val="22"/>
                <w:szCs w:val="22"/>
              </w:rPr>
              <w:t>clearly defined</w:t>
            </w:r>
            <w:r>
              <w:rPr>
                <w:sz w:val="22"/>
                <w:szCs w:val="22"/>
              </w:rPr>
              <w:t xml:space="preserve"> </w:t>
            </w:r>
            <w:r w:rsidR="00E20252">
              <w:rPr>
                <w:sz w:val="22"/>
                <w:szCs w:val="22"/>
              </w:rPr>
              <w:t xml:space="preserve">processes for reporting and monitoring </w:t>
            </w:r>
            <w:r>
              <w:rPr>
                <w:sz w:val="22"/>
                <w:szCs w:val="22"/>
              </w:rPr>
              <w:t xml:space="preserve">helped with the successful delivery of this programme </w:t>
            </w:r>
          </w:p>
        </w:tc>
        <w:tc>
          <w:tcPr>
            <w:tcW w:w="3309" w:type="dxa"/>
          </w:tcPr>
          <w:p w14:paraId="01035A2C" w14:textId="77777777" w:rsidR="00F35985" w:rsidRDefault="00F35985" w:rsidP="00BE7A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Contract Mechanisms for managing external provider</w:t>
            </w:r>
            <w:r w:rsidR="00695B77">
              <w:rPr>
                <w:sz w:val="22"/>
                <w:szCs w:val="22"/>
              </w:rPr>
              <w:t xml:space="preserve">s should be more explicit within contract documentation </w:t>
            </w:r>
          </w:p>
          <w:p w14:paraId="78A6F331" w14:textId="77777777" w:rsidR="00695B77" w:rsidRDefault="00695B77" w:rsidP="00BE7A5D">
            <w:pPr>
              <w:cnfStyle w:val="000000000000" w:firstRow="0" w:lastRow="0" w:firstColumn="0" w:lastColumn="0" w:oddVBand="0" w:evenVBand="0" w:oddHBand="0" w:evenHBand="0" w:firstRowFirstColumn="0" w:firstRowLastColumn="0" w:lastRowFirstColumn="0" w:lastRowLastColumn="0"/>
              <w:rPr>
                <w:sz w:val="22"/>
                <w:szCs w:val="22"/>
              </w:rPr>
            </w:pPr>
          </w:p>
          <w:p w14:paraId="37CC9B42" w14:textId="77777777" w:rsidR="00D46032" w:rsidRDefault="00BE7A5D" w:rsidP="00BE7A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No visibility of days available to Council.  Prioritisation of Council work during critical time periods </w:t>
            </w:r>
            <w:r w:rsidR="00F35985">
              <w:rPr>
                <w:sz w:val="22"/>
                <w:szCs w:val="22"/>
              </w:rPr>
              <w:t xml:space="preserve">at times was lacking </w:t>
            </w:r>
            <w:proofErr w:type="gramStart"/>
            <w:r w:rsidR="00F35985">
              <w:rPr>
                <w:sz w:val="22"/>
                <w:szCs w:val="22"/>
              </w:rPr>
              <w:t>e.g.</w:t>
            </w:r>
            <w:proofErr w:type="gramEnd"/>
            <w:r w:rsidR="00F35985">
              <w:rPr>
                <w:sz w:val="22"/>
                <w:szCs w:val="22"/>
              </w:rPr>
              <w:t xml:space="preserve"> </w:t>
            </w:r>
            <w:r>
              <w:rPr>
                <w:sz w:val="22"/>
                <w:szCs w:val="22"/>
              </w:rPr>
              <w:t xml:space="preserve">Staff on holidays, training days etc </w:t>
            </w:r>
          </w:p>
          <w:p w14:paraId="3F6D0D1E" w14:textId="77777777" w:rsidR="00F35985" w:rsidRDefault="00F35985" w:rsidP="00BE7A5D">
            <w:pPr>
              <w:cnfStyle w:val="000000000000" w:firstRow="0" w:lastRow="0" w:firstColumn="0" w:lastColumn="0" w:oddVBand="0" w:evenVBand="0" w:oddHBand="0" w:evenHBand="0" w:firstRowFirstColumn="0" w:firstRowLastColumn="0" w:lastRowFirstColumn="0" w:lastRowLastColumn="0"/>
              <w:rPr>
                <w:sz w:val="22"/>
                <w:szCs w:val="22"/>
              </w:rPr>
            </w:pPr>
          </w:p>
          <w:p w14:paraId="559CFF14" w14:textId="77777777" w:rsidR="00F35985" w:rsidRPr="00BE7A5D" w:rsidRDefault="00F35985" w:rsidP="00BE7A5D">
            <w:pPr>
              <w:cnfStyle w:val="000000000000" w:firstRow="0" w:lastRow="0" w:firstColumn="0" w:lastColumn="0" w:oddVBand="0" w:evenVBand="0" w:oddHBand="0" w:evenHBand="0" w:firstRowFirstColumn="0" w:firstRowLastColumn="0" w:lastRowFirstColumn="0" w:lastRowLastColumn="0"/>
              <w:rPr>
                <w:sz w:val="22"/>
                <w:szCs w:val="22"/>
              </w:rPr>
            </w:pPr>
          </w:p>
        </w:tc>
      </w:tr>
      <w:tr w:rsidR="00D46032" w:rsidRPr="00FE56F2" w14:paraId="1E52771E" w14:textId="77777777" w:rsidTr="00F621E0">
        <w:tc>
          <w:tcPr>
            <w:cnfStyle w:val="001000000000" w:firstRow="0" w:lastRow="0" w:firstColumn="1" w:lastColumn="0" w:oddVBand="0" w:evenVBand="0" w:oddHBand="0" w:evenHBand="0" w:firstRowFirstColumn="0" w:firstRowLastColumn="0" w:lastRowFirstColumn="0" w:lastRowLastColumn="0"/>
            <w:tcW w:w="3283" w:type="dxa"/>
          </w:tcPr>
          <w:p w14:paraId="2EC6047F" w14:textId="77777777" w:rsidR="00D46032" w:rsidRPr="000D7550" w:rsidRDefault="00D46032" w:rsidP="00D46032">
            <w:pPr>
              <w:rPr>
                <w:sz w:val="22"/>
                <w:szCs w:val="22"/>
              </w:rPr>
            </w:pPr>
            <w:r w:rsidRPr="000D7550">
              <w:rPr>
                <w:sz w:val="22"/>
                <w:szCs w:val="22"/>
              </w:rPr>
              <w:t>Quality management</w:t>
            </w:r>
          </w:p>
        </w:tc>
        <w:tc>
          <w:tcPr>
            <w:tcW w:w="3305" w:type="dxa"/>
          </w:tcPr>
          <w:p w14:paraId="7DA739CD" w14:textId="77777777" w:rsidR="00D46032" w:rsidRPr="00FE56F2" w:rsidRDefault="00D46032" w:rsidP="00FE56F2">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3309" w:type="dxa"/>
          </w:tcPr>
          <w:p w14:paraId="13617120" w14:textId="77777777" w:rsidR="00D756E8" w:rsidRDefault="00695B77" w:rsidP="00BE7A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SXL </w:t>
            </w:r>
            <w:r w:rsidR="00BE7A5D">
              <w:rPr>
                <w:sz w:val="22"/>
                <w:szCs w:val="22"/>
              </w:rPr>
              <w:t xml:space="preserve">took time to understand </w:t>
            </w:r>
            <w:r>
              <w:rPr>
                <w:sz w:val="22"/>
                <w:szCs w:val="22"/>
              </w:rPr>
              <w:t>Fife C</w:t>
            </w:r>
            <w:r w:rsidR="00BE7A5D">
              <w:rPr>
                <w:sz w:val="22"/>
                <w:szCs w:val="22"/>
              </w:rPr>
              <w:t>ouncil</w:t>
            </w:r>
            <w:r>
              <w:rPr>
                <w:sz w:val="22"/>
                <w:szCs w:val="22"/>
              </w:rPr>
              <w:t xml:space="preserve">s </w:t>
            </w:r>
            <w:r w:rsidR="00BE7A5D">
              <w:rPr>
                <w:sz w:val="22"/>
                <w:szCs w:val="22"/>
              </w:rPr>
              <w:t xml:space="preserve">programme and project </w:t>
            </w:r>
            <w:r>
              <w:rPr>
                <w:sz w:val="22"/>
                <w:szCs w:val="22"/>
              </w:rPr>
              <w:t xml:space="preserve">management approach.   Prior to bringing external consultancies on-site, training should be given on how the Council operates </w:t>
            </w:r>
            <w:proofErr w:type="gramStart"/>
            <w:r>
              <w:rPr>
                <w:sz w:val="22"/>
                <w:szCs w:val="22"/>
              </w:rPr>
              <w:t>e.g.</w:t>
            </w:r>
            <w:proofErr w:type="gramEnd"/>
            <w:r>
              <w:rPr>
                <w:sz w:val="22"/>
                <w:szCs w:val="22"/>
              </w:rPr>
              <w:t xml:space="preserve"> </w:t>
            </w:r>
            <w:r w:rsidR="00BE7A5D">
              <w:rPr>
                <w:sz w:val="22"/>
                <w:szCs w:val="22"/>
              </w:rPr>
              <w:t>document</w:t>
            </w:r>
            <w:r>
              <w:rPr>
                <w:sz w:val="22"/>
                <w:szCs w:val="22"/>
              </w:rPr>
              <w:t xml:space="preserve"> preparation, content expectations etc </w:t>
            </w:r>
          </w:p>
          <w:p w14:paraId="1C3D91A6" w14:textId="77777777" w:rsidR="00695B77" w:rsidRDefault="00695B77" w:rsidP="00BE7A5D">
            <w:pPr>
              <w:cnfStyle w:val="000000000000" w:firstRow="0" w:lastRow="0" w:firstColumn="0" w:lastColumn="0" w:oddVBand="0" w:evenVBand="0" w:oddHBand="0" w:evenHBand="0" w:firstRowFirstColumn="0" w:firstRowLastColumn="0" w:lastRowFirstColumn="0" w:lastRowLastColumn="0"/>
              <w:rPr>
                <w:sz w:val="22"/>
                <w:szCs w:val="22"/>
              </w:rPr>
            </w:pPr>
          </w:p>
          <w:p w14:paraId="0109498D" w14:textId="77777777" w:rsidR="00D756E8" w:rsidRDefault="00D756E8" w:rsidP="00BE7A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SXL</w:t>
            </w:r>
            <w:r w:rsidR="00695B77">
              <w:rPr>
                <w:sz w:val="22"/>
                <w:szCs w:val="22"/>
              </w:rPr>
              <w:t xml:space="preserve"> at times were too passive in how they </w:t>
            </w:r>
            <w:r>
              <w:rPr>
                <w:sz w:val="22"/>
                <w:szCs w:val="22"/>
              </w:rPr>
              <w:t>approach</w:t>
            </w:r>
            <w:r w:rsidR="00695B77">
              <w:rPr>
                <w:sz w:val="22"/>
                <w:szCs w:val="22"/>
              </w:rPr>
              <w:t>ed work</w:t>
            </w:r>
            <w:r>
              <w:rPr>
                <w:sz w:val="22"/>
                <w:szCs w:val="22"/>
              </w:rPr>
              <w:t xml:space="preserve">.  Would not always follow up on email but wait for </w:t>
            </w:r>
            <w:r w:rsidR="0012394C">
              <w:rPr>
                <w:sz w:val="22"/>
                <w:szCs w:val="22"/>
              </w:rPr>
              <w:t>replies</w:t>
            </w:r>
            <w:r>
              <w:rPr>
                <w:sz w:val="22"/>
                <w:szCs w:val="22"/>
              </w:rPr>
              <w:t>.</w:t>
            </w:r>
            <w:r w:rsidR="00695B77">
              <w:rPr>
                <w:sz w:val="22"/>
                <w:szCs w:val="22"/>
              </w:rPr>
              <w:t xml:space="preserve">  Contract mechanisms may help promote more proactive approaches. </w:t>
            </w:r>
          </w:p>
          <w:p w14:paraId="5C575B32" w14:textId="77777777" w:rsidR="00AF72C0" w:rsidRPr="00BE7A5D" w:rsidRDefault="00AF72C0" w:rsidP="00BE7A5D">
            <w:pPr>
              <w:cnfStyle w:val="000000000000" w:firstRow="0" w:lastRow="0" w:firstColumn="0" w:lastColumn="0" w:oddVBand="0" w:evenVBand="0" w:oddHBand="0" w:evenHBand="0" w:firstRowFirstColumn="0" w:firstRowLastColumn="0" w:lastRowFirstColumn="0" w:lastRowLastColumn="0"/>
              <w:rPr>
                <w:sz w:val="22"/>
                <w:szCs w:val="22"/>
              </w:rPr>
            </w:pPr>
          </w:p>
        </w:tc>
      </w:tr>
      <w:tr w:rsidR="00D46032" w:rsidRPr="00FE56F2" w14:paraId="0B5C9CE0" w14:textId="77777777" w:rsidTr="00F621E0">
        <w:tc>
          <w:tcPr>
            <w:cnfStyle w:val="001000000000" w:firstRow="0" w:lastRow="0" w:firstColumn="1" w:lastColumn="0" w:oddVBand="0" w:evenVBand="0" w:oddHBand="0" w:evenHBand="0" w:firstRowFirstColumn="0" w:firstRowLastColumn="0" w:lastRowFirstColumn="0" w:lastRowLastColumn="0"/>
            <w:tcW w:w="3283" w:type="dxa"/>
          </w:tcPr>
          <w:p w14:paraId="5CB072B1" w14:textId="77777777" w:rsidR="00D46032" w:rsidRPr="000D7550" w:rsidRDefault="00D46032" w:rsidP="00D46032">
            <w:pPr>
              <w:rPr>
                <w:sz w:val="22"/>
                <w:szCs w:val="22"/>
              </w:rPr>
            </w:pPr>
            <w:r w:rsidRPr="000D7550">
              <w:rPr>
                <w:sz w:val="22"/>
                <w:szCs w:val="22"/>
              </w:rPr>
              <w:lastRenderedPageBreak/>
              <w:t>Change control</w:t>
            </w:r>
          </w:p>
        </w:tc>
        <w:tc>
          <w:tcPr>
            <w:tcW w:w="3305" w:type="dxa"/>
          </w:tcPr>
          <w:p w14:paraId="782CE45D" w14:textId="77777777" w:rsidR="00D46032" w:rsidRPr="00E20252" w:rsidRDefault="00E20252" w:rsidP="00E2025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Clear change control procedures in place and adhered to throughout delivery of project outputs. </w:t>
            </w:r>
          </w:p>
        </w:tc>
        <w:tc>
          <w:tcPr>
            <w:tcW w:w="3309" w:type="dxa"/>
          </w:tcPr>
          <w:p w14:paraId="6D41AB7C" w14:textId="77777777" w:rsidR="00D46032" w:rsidRPr="00FE56F2" w:rsidRDefault="00D46032" w:rsidP="00FE56F2">
            <w:pPr>
              <w:jc w:val="center"/>
              <w:cnfStyle w:val="000000000000" w:firstRow="0" w:lastRow="0" w:firstColumn="0" w:lastColumn="0" w:oddVBand="0" w:evenVBand="0" w:oddHBand="0" w:evenHBand="0" w:firstRowFirstColumn="0" w:firstRowLastColumn="0" w:lastRowFirstColumn="0" w:lastRowLastColumn="0"/>
              <w:rPr>
                <w:b/>
                <w:sz w:val="22"/>
                <w:szCs w:val="22"/>
              </w:rPr>
            </w:pPr>
          </w:p>
        </w:tc>
      </w:tr>
    </w:tbl>
    <w:p w14:paraId="7AFAF558" w14:textId="77777777" w:rsidR="00D46032" w:rsidRPr="00D46032" w:rsidRDefault="00D46032" w:rsidP="00FA0585">
      <w:pPr>
        <w:ind w:left="240"/>
        <w:rPr>
          <w:sz w:val="22"/>
          <w:szCs w:val="22"/>
        </w:rPr>
      </w:pPr>
    </w:p>
    <w:bookmarkEnd w:id="0"/>
    <w:p w14:paraId="08A3251C" w14:textId="77777777" w:rsidR="00194AC0" w:rsidRDefault="009121CE" w:rsidP="00F21375">
      <w:pPr>
        <w:rPr>
          <w:b/>
        </w:rPr>
      </w:pPr>
      <w:r>
        <w:rPr>
          <w:b/>
        </w:rPr>
        <w:t>8</w:t>
      </w:r>
      <w:r w:rsidR="007F1BDE">
        <w:rPr>
          <w:b/>
        </w:rPr>
        <w:t xml:space="preserve">. </w:t>
      </w:r>
      <w:r w:rsidR="003010D6">
        <w:rPr>
          <w:b/>
        </w:rPr>
        <w:t>Programme Closure</w:t>
      </w:r>
      <w:r w:rsidR="007F1BDE">
        <w:rPr>
          <w:b/>
        </w:rPr>
        <w:t xml:space="preserve"> s</w:t>
      </w:r>
      <w:r w:rsidR="00F21375" w:rsidRPr="005B1BF4">
        <w:rPr>
          <w:b/>
        </w:rPr>
        <w:t>ign-off</w:t>
      </w:r>
    </w:p>
    <w:p w14:paraId="75D36BA0" w14:textId="77777777" w:rsidR="003010D6" w:rsidRPr="00D46032" w:rsidRDefault="00D46032" w:rsidP="003010D6">
      <w:pPr>
        <w:ind w:left="270"/>
        <w:rPr>
          <w:i/>
          <w:sz w:val="22"/>
          <w:szCs w:val="22"/>
        </w:rPr>
      </w:pPr>
      <w:r w:rsidRPr="00D46032">
        <w:rPr>
          <w:b/>
          <w:i/>
          <w:sz w:val="22"/>
          <w:szCs w:val="22"/>
        </w:rPr>
        <w:t>Note</w:t>
      </w:r>
      <w:r>
        <w:rPr>
          <w:i/>
          <w:sz w:val="22"/>
          <w:szCs w:val="22"/>
        </w:rPr>
        <w:t xml:space="preserve">: </w:t>
      </w:r>
      <w:r w:rsidR="003010D6" w:rsidRPr="00D46032">
        <w:rPr>
          <w:i/>
          <w:sz w:val="22"/>
          <w:szCs w:val="22"/>
        </w:rPr>
        <w:t xml:space="preserve">This should be signed off by SRO who will report to the Sponsoring Group </w:t>
      </w:r>
      <w:proofErr w:type="gramStart"/>
      <w:r w:rsidR="003010D6" w:rsidRPr="00D46032">
        <w:rPr>
          <w:i/>
          <w:sz w:val="22"/>
          <w:szCs w:val="22"/>
        </w:rPr>
        <w:t>in order to</w:t>
      </w:r>
      <w:proofErr w:type="gramEnd"/>
      <w:r w:rsidR="003010D6" w:rsidRPr="00D46032">
        <w:rPr>
          <w:i/>
          <w:sz w:val="22"/>
          <w:szCs w:val="22"/>
        </w:rPr>
        <w:t xml:space="preserve"> gain approval to the formal closure of the programme.</w:t>
      </w:r>
      <w:r w:rsidR="003010D6" w:rsidRPr="00D46032">
        <w:rPr>
          <w:i/>
          <w:sz w:val="22"/>
          <w:szCs w:val="22"/>
        </w:rPr>
        <w:tab/>
      </w:r>
      <w:r w:rsidR="003010D6" w:rsidRPr="00D46032">
        <w:rPr>
          <w:i/>
          <w:sz w:val="22"/>
          <w:szCs w:val="22"/>
        </w:rPr>
        <w:tab/>
      </w:r>
    </w:p>
    <w:p w14:paraId="4AD4CBC4" w14:textId="77777777" w:rsidR="00F21375" w:rsidRDefault="00F21375" w:rsidP="00447ADA">
      <w:pPr>
        <w:spacing w:line="120" w:lineRule="auto"/>
        <w:rPr>
          <w:b/>
          <w:sz w:val="22"/>
          <w:szCs w:val="22"/>
        </w:rPr>
      </w:pPr>
    </w:p>
    <w:tbl>
      <w:tblPr>
        <w:tblW w:w="963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92"/>
        <w:gridCol w:w="2112"/>
      </w:tblGrid>
      <w:tr w:rsidR="00F21375" w:rsidRPr="00D33AF5" w14:paraId="66EAE2E4" w14:textId="77777777">
        <w:tc>
          <w:tcPr>
            <w:tcW w:w="5529" w:type="dxa"/>
            <w:shd w:val="clear" w:color="auto" w:fill="F3F3F3"/>
          </w:tcPr>
          <w:p w14:paraId="6099F4BE" w14:textId="77777777" w:rsidR="00F21375" w:rsidRPr="008A0809" w:rsidRDefault="00D46032" w:rsidP="00F21375">
            <w:pPr>
              <w:rPr>
                <w:b/>
                <w:sz w:val="22"/>
                <w:szCs w:val="22"/>
              </w:rPr>
            </w:pPr>
            <w:r>
              <w:rPr>
                <w:b/>
                <w:sz w:val="22"/>
                <w:szCs w:val="22"/>
              </w:rPr>
              <w:t>Approved by</w:t>
            </w:r>
          </w:p>
        </w:tc>
        <w:tc>
          <w:tcPr>
            <w:tcW w:w="1992" w:type="dxa"/>
            <w:shd w:val="clear" w:color="auto" w:fill="F3F3F3"/>
          </w:tcPr>
          <w:p w14:paraId="0D4F155D" w14:textId="77777777" w:rsidR="00F21375" w:rsidRPr="00D33AF5" w:rsidRDefault="00D46032" w:rsidP="00F21375">
            <w:pPr>
              <w:rPr>
                <w:b/>
                <w:sz w:val="22"/>
                <w:szCs w:val="22"/>
              </w:rPr>
            </w:pPr>
            <w:r>
              <w:rPr>
                <w:b/>
                <w:sz w:val="22"/>
                <w:szCs w:val="22"/>
              </w:rPr>
              <w:t>Role</w:t>
            </w:r>
          </w:p>
        </w:tc>
        <w:tc>
          <w:tcPr>
            <w:tcW w:w="2112" w:type="dxa"/>
            <w:shd w:val="clear" w:color="auto" w:fill="F3F3F3"/>
          </w:tcPr>
          <w:p w14:paraId="2DF33953" w14:textId="77777777" w:rsidR="00F21375" w:rsidRPr="008A0809" w:rsidRDefault="00D46032" w:rsidP="00F21375">
            <w:pPr>
              <w:rPr>
                <w:b/>
                <w:sz w:val="22"/>
                <w:szCs w:val="22"/>
              </w:rPr>
            </w:pPr>
            <w:r>
              <w:rPr>
                <w:b/>
                <w:sz w:val="22"/>
                <w:szCs w:val="22"/>
              </w:rPr>
              <w:t>Date approved</w:t>
            </w:r>
          </w:p>
        </w:tc>
      </w:tr>
    </w:tbl>
    <w:p w14:paraId="5C0F3871" w14:textId="77777777" w:rsidR="00AF3094" w:rsidRDefault="00AF3094" w:rsidP="00F21375">
      <w:pPr>
        <w:rPr>
          <w:sz w:val="22"/>
          <w:szCs w:val="22"/>
        </w:rPr>
        <w:sectPr w:rsidR="00AF3094" w:rsidSect="00217946">
          <w:type w:val="continuous"/>
          <w:pgSz w:w="11906" w:h="16838" w:code="9"/>
          <w:pgMar w:top="1418" w:right="851" w:bottom="851" w:left="1134" w:header="709" w:footer="709" w:gutter="0"/>
          <w:cols w:space="708"/>
          <w:docGrid w:linePitch="360"/>
        </w:sectPr>
      </w:pPr>
    </w:p>
    <w:tbl>
      <w:tblPr>
        <w:tblW w:w="963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92"/>
        <w:gridCol w:w="2112"/>
      </w:tblGrid>
      <w:tr w:rsidR="00F21375" w:rsidRPr="00D33AF5" w14:paraId="79048C3C" w14:textId="77777777">
        <w:tc>
          <w:tcPr>
            <w:tcW w:w="5529" w:type="dxa"/>
            <w:shd w:val="clear" w:color="auto" w:fill="auto"/>
          </w:tcPr>
          <w:p w14:paraId="4EF52B4E" w14:textId="77777777" w:rsidR="00F21375" w:rsidRPr="00190A6B" w:rsidRDefault="00190A6B" w:rsidP="00F21375">
            <w:pPr>
              <w:rPr>
                <w:sz w:val="22"/>
                <w:szCs w:val="22"/>
              </w:rPr>
            </w:pPr>
            <w:r w:rsidRPr="00190A6B">
              <w:rPr>
                <w:sz w:val="22"/>
                <w:szCs w:val="22"/>
              </w:rPr>
              <w:t>Stuart Fargie</w:t>
            </w:r>
          </w:p>
        </w:tc>
        <w:tc>
          <w:tcPr>
            <w:tcW w:w="1992" w:type="dxa"/>
            <w:shd w:val="clear" w:color="auto" w:fill="auto"/>
          </w:tcPr>
          <w:p w14:paraId="2E8B2A86" w14:textId="77777777" w:rsidR="00F21375" w:rsidRPr="00D33AF5" w:rsidRDefault="00D46032" w:rsidP="00F21375">
            <w:pPr>
              <w:rPr>
                <w:sz w:val="22"/>
                <w:szCs w:val="22"/>
              </w:rPr>
            </w:pPr>
            <w:r>
              <w:rPr>
                <w:sz w:val="22"/>
                <w:szCs w:val="22"/>
              </w:rPr>
              <w:t>Programme Manager</w:t>
            </w:r>
          </w:p>
        </w:tc>
        <w:tc>
          <w:tcPr>
            <w:tcW w:w="2112" w:type="dxa"/>
            <w:shd w:val="clear" w:color="auto" w:fill="auto"/>
          </w:tcPr>
          <w:p w14:paraId="2BEB32B1" w14:textId="77777777" w:rsidR="00F21375" w:rsidRPr="008A0809" w:rsidRDefault="00DA27F2" w:rsidP="00F21375">
            <w:pPr>
              <w:rPr>
                <w:sz w:val="22"/>
                <w:szCs w:val="22"/>
              </w:rPr>
            </w:pPr>
            <w:r>
              <w:rPr>
                <w:sz w:val="22"/>
                <w:szCs w:val="22"/>
              </w:rPr>
              <w:t>12.3.21</w:t>
            </w:r>
          </w:p>
        </w:tc>
      </w:tr>
      <w:tr w:rsidR="00DA27F2" w:rsidRPr="00D33AF5" w14:paraId="0D41F434" w14:textId="77777777">
        <w:tc>
          <w:tcPr>
            <w:tcW w:w="5529" w:type="dxa"/>
            <w:shd w:val="clear" w:color="auto" w:fill="auto"/>
          </w:tcPr>
          <w:p w14:paraId="3E84D521" w14:textId="77777777" w:rsidR="00DA27F2" w:rsidRPr="00D33AF5" w:rsidRDefault="00DA27F2" w:rsidP="00DA27F2">
            <w:pPr>
              <w:rPr>
                <w:sz w:val="22"/>
                <w:szCs w:val="22"/>
              </w:rPr>
            </w:pPr>
            <w:r>
              <w:rPr>
                <w:sz w:val="22"/>
                <w:szCs w:val="22"/>
              </w:rPr>
              <w:t>Eileen Rowand</w:t>
            </w:r>
          </w:p>
        </w:tc>
        <w:tc>
          <w:tcPr>
            <w:tcW w:w="1992" w:type="dxa"/>
            <w:shd w:val="clear" w:color="auto" w:fill="auto"/>
          </w:tcPr>
          <w:p w14:paraId="08F12C3B" w14:textId="77777777" w:rsidR="00DA27F2" w:rsidRDefault="00DA27F2" w:rsidP="00DA27F2">
            <w:pPr>
              <w:rPr>
                <w:sz w:val="22"/>
                <w:szCs w:val="22"/>
              </w:rPr>
            </w:pPr>
            <w:r>
              <w:rPr>
                <w:sz w:val="22"/>
                <w:szCs w:val="22"/>
              </w:rPr>
              <w:t>SRO</w:t>
            </w:r>
          </w:p>
        </w:tc>
        <w:tc>
          <w:tcPr>
            <w:tcW w:w="2112" w:type="dxa"/>
            <w:shd w:val="clear" w:color="auto" w:fill="auto"/>
          </w:tcPr>
          <w:p w14:paraId="273A93B9" w14:textId="77777777" w:rsidR="00DA27F2" w:rsidRPr="008A0809" w:rsidRDefault="00DA27F2" w:rsidP="00DA27F2">
            <w:pPr>
              <w:rPr>
                <w:sz w:val="22"/>
                <w:szCs w:val="22"/>
              </w:rPr>
            </w:pPr>
            <w:r>
              <w:rPr>
                <w:sz w:val="22"/>
                <w:szCs w:val="22"/>
              </w:rPr>
              <w:t>19.3.21</w:t>
            </w:r>
          </w:p>
        </w:tc>
      </w:tr>
    </w:tbl>
    <w:p w14:paraId="36423A1F" w14:textId="77777777" w:rsidR="00D137F1" w:rsidRPr="002332F1" w:rsidRDefault="00D137F1" w:rsidP="004528F1">
      <w:pPr>
        <w:tabs>
          <w:tab w:val="left" w:pos="425"/>
        </w:tabs>
        <w:rPr>
          <w:sz w:val="12"/>
          <w:szCs w:val="12"/>
        </w:rPr>
      </w:pPr>
    </w:p>
    <w:sectPr w:rsidR="00D137F1" w:rsidRPr="002332F1" w:rsidSect="00217946">
      <w:type w:val="continuous"/>
      <w:pgSz w:w="11906" w:h="16838" w:code="9"/>
      <w:pgMar w:top="1418" w:right="851" w:bottom="851"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7A760" w14:textId="77777777" w:rsidR="009F1360" w:rsidRDefault="009F1360">
      <w:r>
        <w:separator/>
      </w:r>
    </w:p>
  </w:endnote>
  <w:endnote w:type="continuationSeparator" w:id="0">
    <w:p w14:paraId="656121BD" w14:textId="77777777" w:rsidR="009F1360" w:rsidRDefault="009F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3Deffects3"/>
      <w:tblW w:w="9975" w:type="dxa"/>
      <w:tblLayout w:type="fixed"/>
      <w:tblLook w:val="01E0" w:firstRow="1" w:lastRow="1" w:firstColumn="1" w:lastColumn="1" w:noHBand="0" w:noVBand="0"/>
    </w:tblPr>
    <w:tblGrid>
      <w:gridCol w:w="3325"/>
      <w:gridCol w:w="3325"/>
      <w:gridCol w:w="3325"/>
    </w:tblGrid>
    <w:tr w:rsidR="00FA0585" w:rsidRPr="00D33AF5" w14:paraId="508A2A7E" w14:textId="77777777" w:rsidTr="00F6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B4F84AE" w14:textId="77777777" w:rsidR="00FA0585" w:rsidRPr="00D33AF5" w:rsidRDefault="00FA0585" w:rsidP="00D33AF5">
          <w:pPr>
            <w:pStyle w:val="Footer"/>
            <w:jc w:val="center"/>
            <w:rPr>
              <w:sz w:val="16"/>
              <w:szCs w:val="16"/>
            </w:rPr>
          </w:pPr>
          <w:r>
            <w:rPr>
              <w:sz w:val="16"/>
              <w:szCs w:val="16"/>
            </w:rPr>
            <w:t>Programme</w:t>
          </w:r>
          <w:r w:rsidRPr="00D33AF5">
            <w:rPr>
              <w:sz w:val="16"/>
              <w:szCs w:val="16"/>
            </w:rPr>
            <w:t xml:space="preserve"> Approach</w:t>
          </w:r>
        </w:p>
      </w:tc>
      <w:tc>
        <w:tcPr>
          <w:cnfStyle w:val="000010000000" w:firstRow="0" w:lastRow="0" w:firstColumn="0" w:lastColumn="0" w:oddVBand="1" w:evenVBand="0" w:oddHBand="0" w:evenHBand="0" w:firstRowFirstColumn="0" w:firstRowLastColumn="0" w:lastRowFirstColumn="0" w:lastRowLastColumn="0"/>
          <w:tcW w:w="3325" w:type="dxa"/>
        </w:tcPr>
        <w:p w14:paraId="74A1EDC9" w14:textId="77777777" w:rsidR="00FA0585" w:rsidRPr="00D33AF5" w:rsidRDefault="00FA0585" w:rsidP="00D33AF5">
          <w:pPr>
            <w:pStyle w:val="Footer"/>
            <w:jc w:val="center"/>
            <w:rPr>
              <w:sz w:val="16"/>
              <w:szCs w:val="16"/>
            </w:rPr>
          </w:pPr>
          <w:r w:rsidRPr="00D33AF5">
            <w:rPr>
              <w:sz w:val="16"/>
              <w:szCs w:val="16"/>
            </w:rPr>
            <w:t xml:space="preserve">Page </w:t>
          </w:r>
          <w:r w:rsidRPr="00D33AF5">
            <w:rPr>
              <w:sz w:val="16"/>
              <w:szCs w:val="16"/>
            </w:rPr>
            <w:fldChar w:fldCharType="begin"/>
          </w:r>
          <w:r w:rsidRPr="00D33AF5">
            <w:rPr>
              <w:sz w:val="16"/>
              <w:szCs w:val="16"/>
            </w:rPr>
            <w:instrText xml:space="preserve"> PAGE </w:instrText>
          </w:r>
          <w:r w:rsidRPr="00D33AF5">
            <w:rPr>
              <w:sz w:val="16"/>
              <w:szCs w:val="16"/>
            </w:rPr>
            <w:fldChar w:fldCharType="separate"/>
          </w:r>
          <w:r w:rsidR="00642574">
            <w:rPr>
              <w:noProof/>
              <w:sz w:val="16"/>
              <w:szCs w:val="16"/>
            </w:rPr>
            <w:t>1</w:t>
          </w:r>
          <w:r w:rsidRPr="00D33AF5">
            <w:rPr>
              <w:sz w:val="16"/>
              <w:szCs w:val="16"/>
            </w:rPr>
            <w:fldChar w:fldCharType="end"/>
          </w:r>
          <w:r w:rsidRPr="00D33AF5">
            <w:rPr>
              <w:sz w:val="16"/>
              <w:szCs w:val="16"/>
            </w:rPr>
            <w:t xml:space="preserve"> of </w:t>
          </w:r>
          <w:r w:rsidRPr="00D33AF5">
            <w:rPr>
              <w:sz w:val="16"/>
              <w:szCs w:val="16"/>
            </w:rPr>
            <w:fldChar w:fldCharType="begin"/>
          </w:r>
          <w:r w:rsidRPr="00D33AF5">
            <w:rPr>
              <w:sz w:val="16"/>
              <w:szCs w:val="16"/>
            </w:rPr>
            <w:instrText xml:space="preserve"> NUMPAGES </w:instrText>
          </w:r>
          <w:r w:rsidRPr="00D33AF5">
            <w:rPr>
              <w:sz w:val="16"/>
              <w:szCs w:val="16"/>
            </w:rPr>
            <w:fldChar w:fldCharType="separate"/>
          </w:r>
          <w:r w:rsidR="00642574">
            <w:rPr>
              <w:noProof/>
              <w:sz w:val="16"/>
              <w:szCs w:val="16"/>
            </w:rPr>
            <w:t>2</w:t>
          </w:r>
          <w:r w:rsidRPr="00D33AF5">
            <w:rPr>
              <w:sz w:val="16"/>
              <w:szCs w:val="16"/>
            </w:rPr>
            <w:fldChar w:fldCharType="end"/>
          </w:r>
        </w:p>
      </w:tc>
      <w:tc>
        <w:tcPr>
          <w:cnfStyle w:val="000100000000" w:firstRow="0" w:lastRow="0" w:firstColumn="0" w:lastColumn="1" w:oddVBand="0" w:evenVBand="0" w:oddHBand="0" w:evenHBand="0" w:firstRowFirstColumn="0" w:firstRowLastColumn="0" w:lastRowFirstColumn="0" w:lastRowLastColumn="0"/>
          <w:tcW w:w="3325" w:type="dxa"/>
        </w:tcPr>
        <w:p w14:paraId="032C2B6A" w14:textId="77777777" w:rsidR="00FA0585" w:rsidRPr="00D33AF5" w:rsidRDefault="00642574" w:rsidP="00D33AF5">
          <w:pPr>
            <w:pStyle w:val="Footer"/>
            <w:jc w:val="center"/>
            <w:rPr>
              <w:sz w:val="16"/>
              <w:szCs w:val="16"/>
            </w:rPr>
          </w:pPr>
          <w:r>
            <w:rPr>
              <w:sz w:val="16"/>
              <w:szCs w:val="16"/>
            </w:rPr>
            <w:t>PG06, V2.0</w:t>
          </w:r>
        </w:p>
      </w:tc>
    </w:tr>
  </w:tbl>
  <w:p w14:paraId="5F8D0B53" w14:textId="77777777" w:rsidR="00FA0585" w:rsidRPr="00A06371" w:rsidRDefault="00FA0585" w:rsidP="00A06371">
    <w:pPr>
      <w:pStyle w:val="Footer"/>
      <w:rPr>
        <w:sz w:val="2"/>
        <w:szCs w:val="2"/>
      </w:rPr>
    </w:pPr>
  </w:p>
  <w:p w14:paraId="40F8610B" w14:textId="77777777" w:rsidR="00FA0585" w:rsidRPr="00A06371" w:rsidRDefault="00FA0585" w:rsidP="00A06371">
    <w:pPr>
      <w:pStyle w:val="Footer"/>
      <w:rPr>
        <w:sz w:val="2"/>
        <w:szCs w:val="2"/>
      </w:rPr>
    </w:pPr>
  </w:p>
  <w:p w14:paraId="13AFC06F" w14:textId="77777777" w:rsidR="00FA0585" w:rsidRPr="00A06371" w:rsidRDefault="00FA0585" w:rsidP="0049572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C78D3" w14:textId="77777777" w:rsidR="009F1360" w:rsidRDefault="009F1360">
      <w:r>
        <w:separator/>
      </w:r>
    </w:p>
  </w:footnote>
  <w:footnote w:type="continuationSeparator" w:id="0">
    <w:p w14:paraId="614AA7B6" w14:textId="77777777" w:rsidR="009F1360" w:rsidRDefault="009F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assic1"/>
      <w:tblW w:w="9975" w:type="dxa"/>
      <w:tblLook w:val="01E0" w:firstRow="1" w:lastRow="1" w:firstColumn="1" w:lastColumn="1" w:noHBand="0" w:noVBand="0"/>
    </w:tblPr>
    <w:tblGrid>
      <w:gridCol w:w="3967"/>
      <w:gridCol w:w="3968"/>
      <w:gridCol w:w="2040"/>
    </w:tblGrid>
    <w:tr w:rsidR="00F621E0" w:rsidRPr="00495725" w14:paraId="61172F50" w14:textId="77777777" w:rsidTr="005B6A81">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967" w:type="dxa"/>
          <w:vMerge w:val="restart"/>
        </w:tcPr>
        <w:p w14:paraId="72CBAB25" w14:textId="77777777" w:rsidR="00F621E0" w:rsidRPr="00495725" w:rsidRDefault="00F621E0" w:rsidP="002B0CC5">
          <w:pPr>
            <w:pStyle w:val="Header"/>
          </w:pPr>
          <w:r w:rsidRPr="00495725">
            <w:rPr>
              <w:noProof/>
            </w:rPr>
            <w:drawing>
              <wp:inline distT="0" distB="0" distL="0" distR="0" wp14:anchorId="685B7AA1" wp14:editId="50B55D4A">
                <wp:extent cx="981075" cy="4476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tc>
      <w:tc>
        <w:tcPr>
          <w:tcW w:w="3968" w:type="dxa"/>
          <w:vMerge w:val="restart"/>
        </w:tcPr>
        <w:p w14:paraId="08C7D458" w14:textId="7C15FE5A" w:rsidR="00F621E0" w:rsidRPr="00D33AF5" w:rsidRDefault="00F621E0" w:rsidP="00D50702">
          <w:pPr>
            <w:pStyle w:val="Header"/>
            <w:jc w:val="center"/>
            <w:cnfStyle w:val="100000000000" w:firstRow="1" w:lastRow="0" w:firstColumn="0" w:lastColumn="0" w:oddVBand="0" w:evenVBand="0" w:oddHBand="0" w:evenHBand="0" w:firstRowFirstColumn="0" w:firstRowLastColumn="0" w:lastRowFirstColumn="0" w:lastRowLastColumn="0"/>
            <w:rPr>
              <w:b/>
              <w:sz w:val="36"/>
              <w:szCs w:val="36"/>
            </w:rPr>
          </w:pPr>
          <w:r>
            <w:rPr>
              <w:b/>
              <w:sz w:val="36"/>
              <w:szCs w:val="36"/>
            </w:rPr>
            <w:t>Programme Closure Report</w:t>
          </w:r>
        </w:p>
      </w:tc>
      <w:tc>
        <w:tcPr>
          <w:cnfStyle w:val="000000001000" w:firstRow="0" w:lastRow="0" w:firstColumn="0" w:lastColumn="0" w:oddVBand="0" w:evenVBand="0" w:oddHBand="0" w:evenHBand="0" w:firstRowFirstColumn="0" w:firstRowLastColumn="1" w:lastRowFirstColumn="0" w:lastRowLastColumn="0"/>
          <w:tcW w:w="2040" w:type="dxa"/>
        </w:tcPr>
        <w:p w14:paraId="7529D682" w14:textId="77777777" w:rsidR="00F621E0" w:rsidRPr="00D33AF5" w:rsidRDefault="00F621E0" w:rsidP="00D33AF5">
          <w:pPr>
            <w:pStyle w:val="Header"/>
            <w:jc w:val="center"/>
            <w:rPr>
              <w:sz w:val="20"/>
              <w:szCs w:val="20"/>
            </w:rPr>
          </w:pPr>
          <w:r w:rsidRPr="00D33AF5">
            <w:rPr>
              <w:sz w:val="20"/>
              <w:szCs w:val="20"/>
            </w:rPr>
            <w:t>Document ref</w:t>
          </w:r>
        </w:p>
      </w:tc>
    </w:tr>
    <w:tr w:rsidR="00F621E0" w:rsidRPr="00495725" w14:paraId="7253E0AF" w14:textId="77777777" w:rsidTr="005B6A81">
      <w:trPr>
        <w:cnfStyle w:val="010000000000" w:firstRow="0" w:lastRow="1" w:firstColumn="0" w:lastColumn="0" w:oddVBand="0" w:evenVBand="0" w:oddHBand="0" w:evenHBand="0" w:firstRowFirstColumn="0" w:firstRowLastColumn="0" w:lastRowFirstColumn="0" w:lastRowLastColumn="0"/>
        <w:trHeight w:val="368"/>
      </w:trPr>
      <w:tc>
        <w:tcPr>
          <w:cnfStyle w:val="001000000001" w:firstRow="0" w:lastRow="0" w:firstColumn="1" w:lastColumn="0" w:oddVBand="0" w:evenVBand="0" w:oddHBand="0" w:evenHBand="0" w:firstRowFirstColumn="0" w:firstRowLastColumn="0" w:lastRowFirstColumn="1" w:lastRowLastColumn="0"/>
          <w:tcW w:w="3967" w:type="dxa"/>
          <w:vMerge/>
        </w:tcPr>
        <w:p w14:paraId="14362429" w14:textId="77777777" w:rsidR="00F621E0" w:rsidRPr="00D33AF5" w:rsidRDefault="00F621E0" w:rsidP="00D33AF5">
          <w:pPr>
            <w:pStyle w:val="Header"/>
            <w:jc w:val="center"/>
            <w:rPr>
              <w:bCs w:val="0"/>
              <w:sz w:val="36"/>
              <w:szCs w:val="36"/>
            </w:rPr>
          </w:pPr>
        </w:p>
      </w:tc>
      <w:tc>
        <w:tcPr>
          <w:tcW w:w="3968" w:type="dxa"/>
          <w:vMerge/>
        </w:tcPr>
        <w:p w14:paraId="0E670301" w14:textId="1E0A8251" w:rsidR="00F621E0" w:rsidRPr="00D33AF5" w:rsidRDefault="00F621E0" w:rsidP="00D33AF5">
          <w:pPr>
            <w:pStyle w:val="Header"/>
            <w:jc w:val="center"/>
            <w:cnfStyle w:val="010000000000" w:firstRow="0" w:lastRow="1" w:firstColumn="0" w:lastColumn="0" w:oddVBand="0" w:evenVBand="0" w:oddHBand="0" w:evenHBand="0" w:firstRowFirstColumn="0" w:firstRowLastColumn="0" w:lastRowFirstColumn="0" w:lastRowLastColumn="0"/>
            <w:rPr>
              <w:b/>
              <w:sz w:val="36"/>
              <w:szCs w:val="36"/>
            </w:rPr>
          </w:pPr>
        </w:p>
      </w:tc>
      <w:tc>
        <w:tcPr>
          <w:tcW w:w="2040" w:type="dxa"/>
        </w:tcPr>
        <w:p w14:paraId="20EAFF61" w14:textId="77777777" w:rsidR="00F621E0" w:rsidRPr="00D33AF5" w:rsidRDefault="00F621E0" w:rsidP="00D33AF5">
          <w:pPr>
            <w:pStyle w:val="Header"/>
            <w:jc w:val="center"/>
            <w:cnfStyle w:val="010000000000" w:firstRow="0" w:lastRow="1" w:firstColumn="0" w:lastColumn="0" w:oddVBand="0" w:evenVBand="0" w:oddHBand="0" w:evenHBand="0" w:firstRowFirstColumn="0" w:firstRowLastColumn="0" w:lastRowFirstColumn="0" w:lastRowLastColumn="0"/>
            <w:rPr>
              <w:b/>
              <w:sz w:val="20"/>
              <w:szCs w:val="20"/>
            </w:rPr>
          </w:pPr>
          <w:r>
            <w:rPr>
              <w:b/>
              <w:sz w:val="20"/>
              <w:szCs w:val="20"/>
            </w:rPr>
            <w:t>PG06</w:t>
          </w:r>
        </w:p>
      </w:tc>
    </w:tr>
  </w:tbl>
  <w:p w14:paraId="16DF9F79" w14:textId="77777777" w:rsidR="00FA0585" w:rsidRPr="00495725" w:rsidRDefault="00FA0585" w:rsidP="0049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C21"/>
    <w:multiLevelType w:val="hybridMultilevel"/>
    <w:tmpl w:val="1D0CD696"/>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24365E80"/>
    <w:multiLevelType w:val="hybridMultilevel"/>
    <w:tmpl w:val="BCC6A06C"/>
    <w:lvl w:ilvl="0" w:tplc="6F5CAD8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D446A8"/>
    <w:multiLevelType w:val="hybridMultilevel"/>
    <w:tmpl w:val="AC2A426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2CA564BE"/>
    <w:multiLevelType w:val="hybridMultilevel"/>
    <w:tmpl w:val="E4341E06"/>
    <w:lvl w:ilvl="0" w:tplc="CBC27318">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15:restartNumberingAfterBreak="0">
    <w:nsid w:val="32F3410B"/>
    <w:multiLevelType w:val="hybridMultilevel"/>
    <w:tmpl w:val="FB4C5C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1401DFE"/>
    <w:multiLevelType w:val="hybridMultilevel"/>
    <w:tmpl w:val="AB3E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C4A53"/>
    <w:multiLevelType w:val="hybridMultilevel"/>
    <w:tmpl w:val="50506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CA4650E"/>
    <w:multiLevelType w:val="multilevel"/>
    <w:tmpl w:val="668458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5"/>
        </w:tabs>
        <w:ind w:left="815" w:hanging="39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565"/>
        </w:tabs>
        <w:ind w:left="3565" w:hanging="144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775"/>
        </w:tabs>
        <w:ind w:left="4775" w:hanging="1800"/>
      </w:pPr>
      <w:rPr>
        <w:rFonts w:hint="default"/>
      </w:rPr>
    </w:lvl>
    <w:lvl w:ilvl="8">
      <w:start w:val="1"/>
      <w:numFmt w:val="decimal"/>
      <w:isLgl/>
      <w:lvlText w:val="%1.%2.%3.%4.%5.%6.%7.%8.%9"/>
      <w:lvlJc w:val="left"/>
      <w:pPr>
        <w:tabs>
          <w:tab w:val="num" w:pos="5200"/>
        </w:tabs>
        <w:ind w:left="5200" w:hanging="1800"/>
      </w:pPr>
      <w:rPr>
        <w:rFonts w:hint="default"/>
      </w:rPr>
    </w:lvl>
  </w:abstractNum>
  <w:num w:numId="1">
    <w:abstractNumId w:val="4"/>
  </w:num>
  <w:num w:numId="2">
    <w:abstractNumId w:val="1"/>
  </w:num>
  <w:num w:numId="3">
    <w:abstractNumId w:val="7"/>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56"/>
    <w:rsid w:val="0000421A"/>
    <w:rsid w:val="00014CA1"/>
    <w:rsid w:val="000258D9"/>
    <w:rsid w:val="00027E96"/>
    <w:rsid w:val="00031BC7"/>
    <w:rsid w:val="000401D6"/>
    <w:rsid w:val="00067DD0"/>
    <w:rsid w:val="000943D6"/>
    <w:rsid w:val="00097DF6"/>
    <w:rsid w:val="000D46F5"/>
    <w:rsid w:val="000D7550"/>
    <w:rsid w:val="000E3D9C"/>
    <w:rsid w:val="00106D46"/>
    <w:rsid w:val="0010752F"/>
    <w:rsid w:val="0012394C"/>
    <w:rsid w:val="00144051"/>
    <w:rsid w:val="00150BD6"/>
    <w:rsid w:val="00164208"/>
    <w:rsid w:val="001771FE"/>
    <w:rsid w:val="00190A6B"/>
    <w:rsid w:val="00194AC0"/>
    <w:rsid w:val="001A3563"/>
    <w:rsid w:val="001F4BFA"/>
    <w:rsid w:val="002111B7"/>
    <w:rsid w:val="002145A7"/>
    <w:rsid w:val="00217946"/>
    <w:rsid w:val="002332F1"/>
    <w:rsid w:val="002443E7"/>
    <w:rsid w:val="00251099"/>
    <w:rsid w:val="002972B8"/>
    <w:rsid w:val="002B0CC5"/>
    <w:rsid w:val="002D382E"/>
    <w:rsid w:val="003010D6"/>
    <w:rsid w:val="00303740"/>
    <w:rsid w:val="003068B6"/>
    <w:rsid w:val="00316DAD"/>
    <w:rsid w:val="00332A76"/>
    <w:rsid w:val="0033628F"/>
    <w:rsid w:val="00340F4C"/>
    <w:rsid w:val="00384306"/>
    <w:rsid w:val="00385C37"/>
    <w:rsid w:val="00391822"/>
    <w:rsid w:val="00393362"/>
    <w:rsid w:val="003977B3"/>
    <w:rsid w:val="003A36F8"/>
    <w:rsid w:val="003A59AC"/>
    <w:rsid w:val="003B3B43"/>
    <w:rsid w:val="003E20A7"/>
    <w:rsid w:val="003E5965"/>
    <w:rsid w:val="003F1E6F"/>
    <w:rsid w:val="00422C81"/>
    <w:rsid w:val="00430A89"/>
    <w:rsid w:val="004408B2"/>
    <w:rsid w:val="004476DB"/>
    <w:rsid w:val="00447ADA"/>
    <w:rsid w:val="00447B3B"/>
    <w:rsid w:val="004519EC"/>
    <w:rsid w:val="004528F1"/>
    <w:rsid w:val="004609B0"/>
    <w:rsid w:val="00486569"/>
    <w:rsid w:val="004866D9"/>
    <w:rsid w:val="00495725"/>
    <w:rsid w:val="004B18B6"/>
    <w:rsid w:val="004C19B9"/>
    <w:rsid w:val="004C24D8"/>
    <w:rsid w:val="004D03FE"/>
    <w:rsid w:val="004F024A"/>
    <w:rsid w:val="004F1DBE"/>
    <w:rsid w:val="005034D4"/>
    <w:rsid w:val="00510262"/>
    <w:rsid w:val="00525474"/>
    <w:rsid w:val="00527DB8"/>
    <w:rsid w:val="00536A8E"/>
    <w:rsid w:val="0054585A"/>
    <w:rsid w:val="00565EEE"/>
    <w:rsid w:val="005708AB"/>
    <w:rsid w:val="005762D5"/>
    <w:rsid w:val="00590324"/>
    <w:rsid w:val="00593342"/>
    <w:rsid w:val="00594122"/>
    <w:rsid w:val="005978D9"/>
    <w:rsid w:val="005A4E9A"/>
    <w:rsid w:val="005B1BF4"/>
    <w:rsid w:val="005E2912"/>
    <w:rsid w:val="005F0DF1"/>
    <w:rsid w:val="00606267"/>
    <w:rsid w:val="00610E84"/>
    <w:rsid w:val="00642574"/>
    <w:rsid w:val="00695B77"/>
    <w:rsid w:val="0069676D"/>
    <w:rsid w:val="006A1D49"/>
    <w:rsid w:val="006B10EB"/>
    <w:rsid w:val="006B4B0B"/>
    <w:rsid w:val="006C4550"/>
    <w:rsid w:val="006C4FE3"/>
    <w:rsid w:val="006C508A"/>
    <w:rsid w:val="006C57FC"/>
    <w:rsid w:val="006D4AF8"/>
    <w:rsid w:val="006F1B68"/>
    <w:rsid w:val="007053F6"/>
    <w:rsid w:val="007142ED"/>
    <w:rsid w:val="00716463"/>
    <w:rsid w:val="00726849"/>
    <w:rsid w:val="00726F11"/>
    <w:rsid w:val="00731261"/>
    <w:rsid w:val="00756CE4"/>
    <w:rsid w:val="0076088A"/>
    <w:rsid w:val="0077295A"/>
    <w:rsid w:val="00777506"/>
    <w:rsid w:val="007A331B"/>
    <w:rsid w:val="007B577C"/>
    <w:rsid w:val="007B6156"/>
    <w:rsid w:val="007B7064"/>
    <w:rsid w:val="007C3347"/>
    <w:rsid w:val="007D5210"/>
    <w:rsid w:val="007E1671"/>
    <w:rsid w:val="007E3870"/>
    <w:rsid w:val="007E4580"/>
    <w:rsid w:val="007E5B5F"/>
    <w:rsid w:val="007F1BDE"/>
    <w:rsid w:val="007F5C9D"/>
    <w:rsid w:val="008051EA"/>
    <w:rsid w:val="00806F97"/>
    <w:rsid w:val="008134A9"/>
    <w:rsid w:val="00823E83"/>
    <w:rsid w:val="008343AC"/>
    <w:rsid w:val="00850505"/>
    <w:rsid w:val="00866EC3"/>
    <w:rsid w:val="00873E17"/>
    <w:rsid w:val="008974C1"/>
    <w:rsid w:val="008A0809"/>
    <w:rsid w:val="008A2B91"/>
    <w:rsid w:val="008A2FA3"/>
    <w:rsid w:val="008A6D8E"/>
    <w:rsid w:val="008B7A54"/>
    <w:rsid w:val="009061BF"/>
    <w:rsid w:val="009121CE"/>
    <w:rsid w:val="00916ABF"/>
    <w:rsid w:val="009224C4"/>
    <w:rsid w:val="00922F85"/>
    <w:rsid w:val="00930155"/>
    <w:rsid w:val="00931A9F"/>
    <w:rsid w:val="00947B61"/>
    <w:rsid w:val="00956BD6"/>
    <w:rsid w:val="00965FB0"/>
    <w:rsid w:val="009C4CAD"/>
    <w:rsid w:val="009D09C7"/>
    <w:rsid w:val="009D231F"/>
    <w:rsid w:val="009D75AE"/>
    <w:rsid w:val="009E1E0F"/>
    <w:rsid w:val="009E3AE9"/>
    <w:rsid w:val="009F1360"/>
    <w:rsid w:val="00A01257"/>
    <w:rsid w:val="00A0392F"/>
    <w:rsid w:val="00A06371"/>
    <w:rsid w:val="00A216B6"/>
    <w:rsid w:val="00A30E94"/>
    <w:rsid w:val="00A34275"/>
    <w:rsid w:val="00A342BD"/>
    <w:rsid w:val="00A427BB"/>
    <w:rsid w:val="00A57C97"/>
    <w:rsid w:val="00A76595"/>
    <w:rsid w:val="00AA7AEF"/>
    <w:rsid w:val="00AB4563"/>
    <w:rsid w:val="00AB6256"/>
    <w:rsid w:val="00AC45A8"/>
    <w:rsid w:val="00AD5754"/>
    <w:rsid w:val="00AE6F9C"/>
    <w:rsid w:val="00AE7584"/>
    <w:rsid w:val="00AF3094"/>
    <w:rsid w:val="00AF501D"/>
    <w:rsid w:val="00AF72C0"/>
    <w:rsid w:val="00B35329"/>
    <w:rsid w:val="00B36D93"/>
    <w:rsid w:val="00B42914"/>
    <w:rsid w:val="00B467E3"/>
    <w:rsid w:val="00B70DEF"/>
    <w:rsid w:val="00B95110"/>
    <w:rsid w:val="00BA6E91"/>
    <w:rsid w:val="00BB0BC2"/>
    <w:rsid w:val="00BB0C2F"/>
    <w:rsid w:val="00BD60A3"/>
    <w:rsid w:val="00BE7A5D"/>
    <w:rsid w:val="00C0199A"/>
    <w:rsid w:val="00C13D7B"/>
    <w:rsid w:val="00C24ABD"/>
    <w:rsid w:val="00C41503"/>
    <w:rsid w:val="00C5688C"/>
    <w:rsid w:val="00C73908"/>
    <w:rsid w:val="00C74D7A"/>
    <w:rsid w:val="00C75665"/>
    <w:rsid w:val="00CB248C"/>
    <w:rsid w:val="00CD2AB3"/>
    <w:rsid w:val="00CF00BA"/>
    <w:rsid w:val="00CF740C"/>
    <w:rsid w:val="00D03DCF"/>
    <w:rsid w:val="00D10D5F"/>
    <w:rsid w:val="00D137F1"/>
    <w:rsid w:val="00D229A5"/>
    <w:rsid w:val="00D237BB"/>
    <w:rsid w:val="00D33AF5"/>
    <w:rsid w:val="00D437BB"/>
    <w:rsid w:val="00D46032"/>
    <w:rsid w:val="00D50702"/>
    <w:rsid w:val="00D5458A"/>
    <w:rsid w:val="00D668BD"/>
    <w:rsid w:val="00D71B67"/>
    <w:rsid w:val="00D756E8"/>
    <w:rsid w:val="00DA0B92"/>
    <w:rsid w:val="00DA27F2"/>
    <w:rsid w:val="00DA36BC"/>
    <w:rsid w:val="00DA4A45"/>
    <w:rsid w:val="00DC47BB"/>
    <w:rsid w:val="00DD69D2"/>
    <w:rsid w:val="00DE125D"/>
    <w:rsid w:val="00DE2AF8"/>
    <w:rsid w:val="00DE3E7A"/>
    <w:rsid w:val="00DE5483"/>
    <w:rsid w:val="00DE5EA2"/>
    <w:rsid w:val="00DF4011"/>
    <w:rsid w:val="00E059AA"/>
    <w:rsid w:val="00E067B7"/>
    <w:rsid w:val="00E20252"/>
    <w:rsid w:val="00E30D18"/>
    <w:rsid w:val="00E44B52"/>
    <w:rsid w:val="00E553E8"/>
    <w:rsid w:val="00E72820"/>
    <w:rsid w:val="00E86270"/>
    <w:rsid w:val="00E87F98"/>
    <w:rsid w:val="00E97529"/>
    <w:rsid w:val="00EA38BF"/>
    <w:rsid w:val="00EA6E2B"/>
    <w:rsid w:val="00EE4E0D"/>
    <w:rsid w:val="00EF16D2"/>
    <w:rsid w:val="00F009E9"/>
    <w:rsid w:val="00F02A43"/>
    <w:rsid w:val="00F118CE"/>
    <w:rsid w:val="00F1396A"/>
    <w:rsid w:val="00F20D9C"/>
    <w:rsid w:val="00F21375"/>
    <w:rsid w:val="00F24C36"/>
    <w:rsid w:val="00F341AF"/>
    <w:rsid w:val="00F35985"/>
    <w:rsid w:val="00F4117E"/>
    <w:rsid w:val="00F4221F"/>
    <w:rsid w:val="00F441AD"/>
    <w:rsid w:val="00F57259"/>
    <w:rsid w:val="00F573C6"/>
    <w:rsid w:val="00F621E0"/>
    <w:rsid w:val="00F630A6"/>
    <w:rsid w:val="00F65B27"/>
    <w:rsid w:val="00F67E72"/>
    <w:rsid w:val="00F81B46"/>
    <w:rsid w:val="00F871D1"/>
    <w:rsid w:val="00FA0585"/>
    <w:rsid w:val="00FB3366"/>
    <w:rsid w:val="00FB3A41"/>
    <w:rsid w:val="00FC16FA"/>
    <w:rsid w:val="00FC661B"/>
    <w:rsid w:val="00FD0B18"/>
    <w:rsid w:val="00FE1B3E"/>
    <w:rsid w:val="00FE56F2"/>
    <w:rsid w:val="00FF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AFF51F"/>
  <w15:chartTrackingRefBased/>
  <w15:docId w15:val="{48960ED3-636E-4B96-B6D3-62CD825B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584"/>
    <w:rPr>
      <w:rFonts w:ascii="Arial" w:hAnsi="Arial" w:cs="Arial"/>
      <w:sz w:val="24"/>
      <w:szCs w:val="24"/>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B6156"/>
    <w:pPr>
      <w:tabs>
        <w:tab w:val="center" w:pos="4153"/>
        <w:tab w:val="right" w:pos="8306"/>
      </w:tabs>
    </w:pPr>
  </w:style>
  <w:style w:type="paragraph" w:styleId="Footer">
    <w:name w:val="footer"/>
    <w:basedOn w:val="Normal"/>
    <w:rsid w:val="007B6156"/>
    <w:pPr>
      <w:tabs>
        <w:tab w:val="center" w:pos="4153"/>
        <w:tab w:val="right" w:pos="8306"/>
      </w:tabs>
    </w:pPr>
  </w:style>
  <w:style w:type="table" w:styleId="TableGrid">
    <w:name w:val="Table Grid"/>
    <w:basedOn w:val="TableNormal"/>
    <w:rsid w:val="007B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link w:val="DefaultParagraphFont"/>
    <w:rsid w:val="00495725"/>
    <w:pPr>
      <w:spacing w:after="160" w:line="240" w:lineRule="exact"/>
    </w:pPr>
    <w:rPr>
      <w:rFonts w:ascii="Tahoma" w:hAnsi="Tahoma"/>
      <w:sz w:val="20"/>
      <w:szCs w:val="20"/>
      <w:lang w:val="en-US" w:eastAsia="en-US"/>
    </w:rPr>
  </w:style>
  <w:style w:type="character" w:styleId="CommentReference">
    <w:name w:val="annotation reference"/>
    <w:rsid w:val="002972B8"/>
    <w:rPr>
      <w:sz w:val="16"/>
      <w:szCs w:val="16"/>
    </w:rPr>
  </w:style>
  <w:style w:type="paragraph" w:styleId="CommentText">
    <w:name w:val="annotation text"/>
    <w:basedOn w:val="Normal"/>
    <w:link w:val="CommentTextChar"/>
    <w:rsid w:val="002972B8"/>
    <w:rPr>
      <w:sz w:val="20"/>
      <w:szCs w:val="20"/>
    </w:rPr>
  </w:style>
  <w:style w:type="character" w:customStyle="1" w:styleId="CommentTextChar">
    <w:name w:val="Comment Text Char"/>
    <w:link w:val="CommentText"/>
    <w:rsid w:val="002972B8"/>
    <w:rPr>
      <w:rFonts w:ascii="Arial" w:hAnsi="Arial" w:cs="Arial"/>
    </w:rPr>
  </w:style>
  <w:style w:type="paragraph" w:styleId="CommentSubject">
    <w:name w:val="annotation subject"/>
    <w:basedOn w:val="CommentText"/>
    <w:next w:val="CommentText"/>
    <w:link w:val="CommentSubjectChar"/>
    <w:rsid w:val="002972B8"/>
    <w:rPr>
      <w:b/>
      <w:bCs/>
    </w:rPr>
  </w:style>
  <w:style w:type="character" w:customStyle="1" w:styleId="CommentSubjectChar">
    <w:name w:val="Comment Subject Char"/>
    <w:link w:val="CommentSubject"/>
    <w:rsid w:val="002972B8"/>
    <w:rPr>
      <w:rFonts w:ascii="Arial" w:hAnsi="Arial" w:cs="Arial"/>
      <w:b/>
      <w:bCs/>
    </w:rPr>
  </w:style>
  <w:style w:type="paragraph" w:styleId="BalloonText">
    <w:name w:val="Balloon Text"/>
    <w:basedOn w:val="Normal"/>
    <w:link w:val="BalloonTextChar"/>
    <w:rsid w:val="002972B8"/>
    <w:rPr>
      <w:rFonts w:ascii="Segoe UI" w:hAnsi="Segoe UI" w:cs="Segoe UI"/>
      <w:sz w:val="18"/>
      <w:szCs w:val="18"/>
    </w:rPr>
  </w:style>
  <w:style w:type="character" w:customStyle="1" w:styleId="BalloonTextChar">
    <w:name w:val="Balloon Text Char"/>
    <w:link w:val="BalloonText"/>
    <w:rsid w:val="002972B8"/>
    <w:rPr>
      <w:rFonts w:ascii="Segoe UI" w:hAnsi="Segoe UI" w:cs="Segoe UI"/>
      <w:sz w:val="18"/>
      <w:szCs w:val="18"/>
    </w:rPr>
  </w:style>
  <w:style w:type="table" w:styleId="Table3Deffects3">
    <w:name w:val="Table 3D effects 3"/>
    <w:basedOn w:val="TableNormal"/>
    <w:rsid w:val="00F62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2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DF22BA4A3588418C4BF651AE0BEF51" ma:contentTypeVersion="12" ma:contentTypeDescription="Create a new document." ma:contentTypeScope="" ma:versionID="ca78f1850bf137405414170bbcb273e7">
  <xsd:schema xmlns:xsd="http://www.w3.org/2001/XMLSchema" xmlns:xs="http://www.w3.org/2001/XMLSchema" xmlns:p="http://schemas.microsoft.com/office/2006/metadata/properties" xmlns:ns3="c0b6d33d-5b60-4a2d-9fe8-50fa91eb3988" xmlns:ns4="7510c34c-a82a-4e04-ba35-8faee7867a9e" targetNamespace="http://schemas.microsoft.com/office/2006/metadata/properties" ma:root="true" ma:fieldsID="96f46a2af98f28088e667532feadd2f8" ns3:_="" ns4:_="">
    <xsd:import namespace="c0b6d33d-5b60-4a2d-9fe8-50fa91eb3988"/>
    <xsd:import namespace="7510c34c-a82a-4e04-ba35-8faee7867a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d33d-5b60-4a2d-9fe8-50fa91eb3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0c34c-a82a-4e04-ba35-8faee7867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8F972-72D1-41DE-AC6B-45AB04DF7AF7}">
  <ds:schemaRefs>
    <ds:schemaRef ds:uri="http://schemas.microsoft.com/sharepoint/v3/contenttype/forms"/>
  </ds:schemaRefs>
</ds:datastoreItem>
</file>

<file path=customXml/itemProps2.xml><?xml version="1.0" encoding="utf-8"?>
<ds:datastoreItem xmlns:ds="http://schemas.openxmlformats.org/officeDocument/2006/customXml" ds:itemID="{478257AB-C81F-4796-B179-B250331B528F}">
  <ds:schemaRefs>
    <ds:schemaRef ds:uri="http://schemas.microsoft.com/office/2006/metadata/longProperties"/>
  </ds:schemaRefs>
</ds:datastoreItem>
</file>

<file path=customXml/itemProps3.xml><?xml version="1.0" encoding="utf-8"?>
<ds:datastoreItem xmlns:ds="http://schemas.openxmlformats.org/officeDocument/2006/customXml" ds:itemID="{72A5A6CF-CA3B-460B-A873-278732532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d33d-5b60-4a2d-9fe8-50fa91eb3988"/>
    <ds:schemaRef ds:uri="7510c34c-a82a-4e04-ba35-8faee7867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839C2-7C22-4A70-BBAE-EE289696FE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PG06 Programme Closure Report</vt:lpstr>
    </vt:vector>
  </TitlesOfParts>
  <Company>Fife Council</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PG06 Programme Closure Report</dc:title>
  <dc:subject/>
  <dc:creator>User</dc:creator>
  <cp:keywords/>
  <cp:lastModifiedBy>Jill Guild</cp:lastModifiedBy>
  <cp:revision>2</cp:revision>
  <cp:lastPrinted>2013-11-14T10:08:00Z</cp:lastPrinted>
  <dcterms:created xsi:type="dcterms:W3CDTF">2021-10-27T15:19:00Z</dcterms:created>
  <dcterms:modified xsi:type="dcterms:W3CDTF">2021-10-27T15:19:00Z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oReq">
    <vt:lpwstr>V2.0</vt:lpwstr>
  </property>
  <property fmtid="{D5CDD505-2E9C-101B-9397-08002B2CF9AE}" pid="3" name="Item3PReq">
    <vt:lpwstr>Template</vt:lpwstr>
  </property>
  <property fmtid="{D5CDD505-2E9C-101B-9397-08002B2CF9AE}" pid="4" name="Level3PReq">
    <vt:lpwstr>Programme - Closure</vt:lpwstr>
  </property>
  <property fmtid="{D5CDD505-2E9C-101B-9397-08002B2CF9AE}" pid="5" name="_dlc_ExpireDate">
    <vt:lpwstr>2021-12-04T08:53:16Z</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_dlc_policyId">
    <vt:lpwstr>/sites/ppp/3PTemplates</vt:lpwstr>
  </property>
  <property fmtid="{D5CDD505-2E9C-101B-9397-08002B2CF9AE}" pid="8" name="Protective Marking">
    <vt:lpwstr>OFFICIAL</vt:lpwstr>
  </property>
  <property fmtid="{D5CDD505-2E9C-101B-9397-08002B2CF9AE}" pid="9" name="ContentTypeId">
    <vt:lpwstr>0x010100B4DF22BA4A3588418C4BF651AE0BEF51</vt:lpwstr>
  </property>
</Properties>
</file>