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4508"/>
        <w:gridCol w:w="4508"/>
      </w:tblGrid>
      <w:tr w:rsidR="002F43D6" w:rsidRPr="009414C1" w14:paraId="2FB62C1A" w14:textId="77777777" w:rsidTr="009414C1">
        <w:tc>
          <w:tcPr>
            <w:tcW w:w="4508" w:type="dxa"/>
            <w:tcBorders>
              <w:top w:val="nil"/>
              <w:left w:val="nil"/>
              <w:bottom w:val="nil"/>
              <w:right w:val="nil"/>
            </w:tcBorders>
          </w:tcPr>
          <w:p w14:paraId="11994D43" w14:textId="77777777" w:rsidR="002F43D6" w:rsidRDefault="009414C1">
            <w:r w:rsidRPr="004A307B">
              <w:rPr>
                <w:rFonts w:ascii="Arial" w:hAnsi="Arial" w:cs="Arial"/>
                <w:noProof/>
                <w:sz w:val="24"/>
                <w:szCs w:val="24"/>
                <w:lang w:eastAsia="en-GB"/>
              </w:rPr>
              <w:drawing>
                <wp:inline distT="0" distB="0" distL="0" distR="0" wp14:anchorId="4FF70251" wp14:editId="5220B82A">
                  <wp:extent cx="1381125" cy="690563"/>
                  <wp:effectExtent l="0" t="0" r="0" b="0"/>
                  <wp:docPr id="2" name="Picture 2" descr="http://ts1.mm.bing.net/th?&amp;id=JN.TYIljS43Wnn5NIpXZN6PcQ&amp;w=300&amp;h=300&amp;c=0&amp;pid=1.9&amp;rs=0&amp;p=0&amp;url=http%3A%2F%2Fwww.getitdonecleaning.co.uk%2F6-things-i-learned-from-the-fife-council-website%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s1.mm.bing.net/th?&amp;id=JN.TYIljS43Wnn5NIpXZN6PcQ&amp;w=300&amp;h=300&amp;c=0&amp;pid=1.9&amp;rs=0&amp;p=0&amp;url=http%3A%2F%2Fwww.getitdonecleaning.co.uk%2F6-things-i-learned-from-the-fife-council-website%2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690563"/>
                          </a:xfrm>
                          <a:prstGeom prst="rect">
                            <a:avLst/>
                          </a:prstGeom>
                          <a:noFill/>
                          <a:ln>
                            <a:noFill/>
                          </a:ln>
                        </pic:spPr>
                      </pic:pic>
                    </a:graphicData>
                  </a:graphic>
                </wp:inline>
              </w:drawing>
            </w:r>
          </w:p>
        </w:tc>
        <w:tc>
          <w:tcPr>
            <w:tcW w:w="4508" w:type="dxa"/>
            <w:tcBorders>
              <w:top w:val="nil"/>
              <w:left w:val="nil"/>
              <w:bottom w:val="nil"/>
              <w:right w:val="nil"/>
            </w:tcBorders>
          </w:tcPr>
          <w:p w14:paraId="4135BC36" w14:textId="77777777" w:rsidR="009414C1" w:rsidRDefault="00D053B4" w:rsidP="009414C1">
            <w:pPr>
              <w:jc w:val="center"/>
              <w:rPr>
                <w:rFonts w:ascii="Segoe Script" w:hAnsi="Segoe Script" w:cs="MV Boli"/>
                <w:sz w:val="32"/>
                <w:szCs w:val="32"/>
              </w:rPr>
            </w:pPr>
            <w:r w:rsidRPr="00FC6B25">
              <w:rPr>
                <w:rFonts w:ascii="Segoe Script" w:hAnsi="Segoe Script" w:cs="MV Boli"/>
                <w:sz w:val="32"/>
                <w:szCs w:val="32"/>
              </w:rPr>
              <w:t>Houses</w:t>
            </w:r>
            <w:r w:rsidR="009414C1" w:rsidRPr="00FC6B25">
              <w:rPr>
                <w:rFonts w:ascii="Segoe Script" w:hAnsi="Segoe Script" w:cs="MV Boli"/>
                <w:sz w:val="32"/>
                <w:szCs w:val="32"/>
              </w:rPr>
              <w:t xml:space="preserve"> </w:t>
            </w:r>
            <w:r w:rsidR="009414C1" w:rsidRPr="009414C1">
              <w:rPr>
                <w:rFonts w:ascii="Segoe Script" w:hAnsi="Segoe Script" w:cs="MV Boli"/>
                <w:sz w:val="32"/>
                <w:szCs w:val="32"/>
              </w:rPr>
              <w:t>in Multiple Occupation (HMO)</w:t>
            </w:r>
          </w:p>
          <w:p w14:paraId="45823849" w14:textId="77777777" w:rsidR="002F43D6" w:rsidRPr="009414C1" w:rsidRDefault="009414C1" w:rsidP="009414C1">
            <w:pPr>
              <w:jc w:val="center"/>
              <w:rPr>
                <w:rFonts w:ascii="Segoe Script" w:hAnsi="Segoe Script" w:cs="MV Boli"/>
                <w:sz w:val="32"/>
                <w:szCs w:val="32"/>
              </w:rPr>
            </w:pPr>
            <w:r w:rsidRPr="009414C1">
              <w:rPr>
                <w:rFonts w:ascii="Segoe Script" w:hAnsi="Segoe Script" w:cs="MV Boli"/>
                <w:sz w:val="32"/>
                <w:szCs w:val="32"/>
              </w:rPr>
              <w:t>Overprovision</w:t>
            </w:r>
          </w:p>
        </w:tc>
      </w:tr>
      <w:tr w:rsidR="009414C1" w:rsidRPr="009414C1" w14:paraId="5E2881D4" w14:textId="77777777" w:rsidTr="009414C1">
        <w:tc>
          <w:tcPr>
            <w:tcW w:w="4508" w:type="dxa"/>
            <w:tcBorders>
              <w:top w:val="nil"/>
              <w:left w:val="nil"/>
              <w:bottom w:val="nil"/>
              <w:right w:val="nil"/>
            </w:tcBorders>
          </w:tcPr>
          <w:p w14:paraId="7AC6A447" w14:textId="77777777" w:rsidR="009414C1" w:rsidRPr="004A307B" w:rsidRDefault="009414C1">
            <w:pPr>
              <w:rPr>
                <w:rFonts w:ascii="Arial" w:hAnsi="Arial" w:cs="Arial"/>
                <w:noProof/>
                <w:sz w:val="24"/>
                <w:szCs w:val="24"/>
                <w:lang w:eastAsia="en-GB"/>
              </w:rPr>
            </w:pPr>
          </w:p>
        </w:tc>
        <w:tc>
          <w:tcPr>
            <w:tcW w:w="4508" w:type="dxa"/>
            <w:tcBorders>
              <w:top w:val="nil"/>
              <w:left w:val="nil"/>
              <w:bottom w:val="nil"/>
              <w:right w:val="nil"/>
            </w:tcBorders>
            <w:shd w:val="clear" w:color="auto" w:fill="FF0000"/>
          </w:tcPr>
          <w:p w14:paraId="319938E5" w14:textId="77777777" w:rsidR="009414C1" w:rsidRPr="009414C1" w:rsidRDefault="009414C1" w:rsidP="009414C1">
            <w:pPr>
              <w:jc w:val="center"/>
              <w:rPr>
                <w:rFonts w:ascii="Segoe Script" w:hAnsi="Segoe Script" w:cs="MV Boli"/>
                <w:sz w:val="32"/>
                <w:szCs w:val="32"/>
              </w:rPr>
            </w:pPr>
            <w:r w:rsidRPr="009414C1">
              <w:rPr>
                <w:rFonts w:cstheme="minorHAnsi"/>
                <w:color w:val="FFFFFF" w:themeColor="background1"/>
                <w:sz w:val="40"/>
                <w:szCs w:val="32"/>
              </w:rPr>
              <w:t>Policy</w:t>
            </w:r>
            <w:r w:rsidR="001D4357">
              <w:rPr>
                <w:rFonts w:cstheme="minorHAnsi"/>
                <w:color w:val="FFFFFF" w:themeColor="background1"/>
                <w:sz w:val="40"/>
                <w:szCs w:val="32"/>
              </w:rPr>
              <w:t xml:space="preserve"> Statement</w:t>
            </w:r>
          </w:p>
        </w:tc>
      </w:tr>
    </w:tbl>
    <w:p w14:paraId="53099DA5" w14:textId="77777777" w:rsidR="00B47164" w:rsidRDefault="00B47164" w:rsidP="00E8494E">
      <w:pPr>
        <w:spacing w:after="120"/>
        <w:rPr>
          <w:rFonts w:ascii="Arial" w:hAnsi="Arial" w:cs="Arial"/>
          <w:color w:val="FF0000"/>
          <w:sz w:val="24"/>
          <w:szCs w:val="24"/>
        </w:rPr>
      </w:pPr>
    </w:p>
    <w:p w14:paraId="32F1B7E8" w14:textId="77777777" w:rsidR="002F43D6" w:rsidRPr="002F125D" w:rsidRDefault="004927F3" w:rsidP="00E8494E">
      <w:pPr>
        <w:spacing w:after="120"/>
        <w:rPr>
          <w:rFonts w:ascii="Arial" w:hAnsi="Arial" w:cs="Arial"/>
          <w:color w:val="FF0000"/>
          <w:sz w:val="24"/>
          <w:szCs w:val="24"/>
        </w:rPr>
      </w:pPr>
      <w:r w:rsidRPr="002F125D">
        <w:rPr>
          <w:rFonts w:ascii="Arial" w:hAnsi="Arial" w:cs="Arial"/>
          <w:color w:val="FF0000"/>
          <w:sz w:val="24"/>
          <w:szCs w:val="24"/>
        </w:rPr>
        <w:t>Statement</w:t>
      </w:r>
      <w:r w:rsidR="006316FA" w:rsidRPr="002F125D">
        <w:rPr>
          <w:rFonts w:ascii="Arial" w:hAnsi="Arial" w:cs="Arial"/>
          <w:color w:val="FF0000"/>
          <w:sz w:val="24"/>
          <w:szCs w:val="24"/>
        </w:rPr>
        <w:t xml:space="preserve"> of Policy</w:t>
      </w:r>
    </w:p>
    <w:p w14:paraId="7E290782" w14:textId="77777777" w:rsidR="00EB4B3E" w:rsidRPr="002F125D" w:rsidRDefault="00EB4B3E" w:rsidP="00E8494E">
      <w:pPr>
        <w:pStyle w:val="summarydetails"/>
        <w:spacing w:before="0" w:after="120"/>
        <w:ind w:left="0"/>
        <w:jc w:val="both"/>
        <w:rPr>
          <w:rFonts w:cs="Arial"/>
          <w:szCs w:val="24"/>
        </w:rPr>
      </w:pPr>
      <w:r w:rsidRPr="002F125D">
        <w:rPr>
          <w:rFonts w:cs="Arial"/>
          <w:szCs w:val="24"/>
        </w:rPr>
        <w:t>This document provides a statement of policy agreed by the Community and Housing Services Committee</w:t>
      </w:r>
      <w:r w:rsidR="00306051" w:rsidRPr="002F125D">
        <w:rPr>
          <w:rFonts w:cs="Arial"/>
          <w:szCs w:val="24"/>
        </w:rPr>
        <w:t>s</w:t>
      </w:r>
      <w:r w:rsidRPr="002F125D">
        <w:rPr>
          <w:rFonts w:cs="Arial"/>
          <w:szCs w:val="24"/>
        </w:rPr>
        <w:t xml:space="preserve"> </w:t>
      </w:r>
      <w:r w:rsidR="004927F3" w:rsidRPr="002F125D">
        <w:rPr>
          <w:rFonts w:cs="Arial"/>
          <w:szCs w:val="24"/>
        </w:rPr>
        <w:t xml:space="preserve">at the meetings on </w:t>
      </w:r>
      <w:r w:rsidRPr="002F125D">
        <w:rPr>
          <w:rFonts w:cs="Arial"/>
          <w:szCs w:val="24"/>
        </w:rPr>
        <w:t>30</w:t>
      </w:r>
      <w:r w:rsidRPr="002F125D">
        <w:rPr>
          <w:rFonts w:cs="Arial"/>
          <w:szCs w:val="24"/>
          <w:vertAlign w:val="superscript"/>
        </w:rPr>
        <w:t>th</w:t>
      </w:r>
      <w:r w:rsidRPr="002F125D">
        <w:rPr>
          <w:rFonts w:cs="Arial"/>
          <w:szCs w:val="24"/>
        </w:rPr>
        <w:t xml:space="preserve"> August 201</w:t>
      </w:r>
      <w:r w:rsidR="00306051" w:rsidRPr="002F125D">
        <w:rPr>
          <w:rFonts w:cs="Arial"/>
          <w:szCs w:val="24"/>
        </w:rPr>
        <w:t>8</w:t>
      </w:r>
      <w:r w:rsidRPr="002F125D">
        <w:rPr>
          <w:rFonts w:cs="Arial"/>
          <w:szCs w:val="24"/>
        </w:rPr>
        <w:t xml:space="preserve"> </w:t>
      </w:r>
      <w:r w:rsidR="00306051" w:rsidRPr="002F125D">
        <w:rPr>
          <w:rFonts w:cs="Arial"/>
          <w:szCs w:val="24"/>
        </w:rPr>
        <w:t xml:space="preserve">and </w:t>
      </w:r>
      <w:r w:rsidR="004927F3" w:rsidRPr="002F125D">
        <w:rPr>
          <w:rFonts w:cs="Arial"/>
          <w:szCs w:val="24"/>
        </w:rPr>
        <w:t>1</w:t>
      </w:r>
      <w:r w:rsidR="00306051" w:rsidRPr="002F125D">
        <w:rPr>
          <w:rFonts w:cs="Arial"/>
          <w:szCs w:val="24"/>
        </w:rPr>
        <w:t>1</w:t>
      </w:r>
      <w:r w:rsidR="00306051" w:rsidRPr="002F125D">
        <w:rPr>
          <w:rFonts w:cs="Arial"/>
          <w:szCs w:val="24"/>
          <w:vertAlign w:val="superscript"/>
        </w:rPr>
        <w:t>th</w:t>
      </w:r>
      <w:r w:rsidR="00306051" w:rsidRPr="002F125D">
        <w:rPr>
          <w:rFonts w:cs="Arial"/>
          <w:szCs w:val="24"/>
        </w:rPr>
        <w:t xml:space="preserve"> April 2019 </w:t>
      </w:r>
      <w:r w:rsidRPr="002F125D">
        <w:rPr>
          <w:rFonts w:cs="Arial"/>
          <w:szCs w:val="24"/>
        </w:rPr>
        <w:t>for controlling HMO licence</w:t>
      </w:r>
      <w:r w:rsidR="00BF440F" w:rsidRPr="002F125D">
        <w:rPr>
          <w:rFonts w:cs="Arial"/>
          <w:szCs w:val="24"/>
        </w:rPr>
        <w:t>s</w:t>
      </w:r>
      <w:r w:rsidRPr="002F125D">
        <w:rPr>
          <w:rFonts w:cs="Arial"/>
          <w:szCs w:val="24"/>
        </w:rPr>
        <w:t xml:space="preserve"> </w:t>
      </w:r>
      <w:r w:rsidR="001837A1" w:rsidRPr="002F125D">
        <w:rPr>
          <w:rFonts w:cs="Arial"/>
          <w:szCs w:val="24"/>
        </w:rPr>
        <w:t xml:space="preserve">in Fife </w:t>
      </w:r>
      <w:r w:rsidRPr="002F125D">
        <w:rPr>
          <w:rFonts w:cs="Arial"/>
          <w:szCs w:val="24"/>
        </w:rPr>
        <w:t>on the grounds of overprovision under Section 131A of the Housing (Scotland) Act 2006</w:t>
      </w:r>
      <w:r w:rsidR="00306051" w:rsidRPr="002F125D">
        <w:rPr>
          <w:rFonts w:cs="Arial"/>
          <w:szCs w:val="24"/>
        </w:rPr>
        <w:t xml:space="preserve"> as </w:t>
      </w:r>
      <w:r w:rsidRPr="002F125D">
        <w:rPr>
          <w:rFonts w:cs="Arial"/>
          <w:szCs w:val="24"/>
        </w:rPr>
        <w:t xml:space="preserve">introduced by the Private Rented Housing (Scotland) Act 2011.  </w:t>
      </w:r>
      <w:r w:rsidR="00424C51" w:rsidRPr="002F125D">
        <w:rPr>
          <w:rFonts w:cs="Arial"/>
          <w:szCs w:val="24"/>
        </w:rPr>
        <w:t xml:space="preserve">The policy statement summarises </w:t>
      </w:r>
      <w:r w:rsidR="00805843" w:rsidRPr="002F125D">
        <w:rPr>
          <w:rFonts w:cs="Arial"/>
          <w:szCs w:val="24"/>
        </w:rPr>
        <w:t xml:space="preserve">only </w:t>
      </w:r>
      <w:r w:rsidR="00424C51" w:rsidRPr="002F125D">
        <w:rPr>
          <w:rFonts w:cs="Arial"/>
          <w:szCs w:val="24"/>
        </w:rPr>
        <w:t xml:space="preserve">parts of this </w:t>
      </w:r>
      <w:r w:rsidR="00306051" w:rsidRPr="002F125D">
        <w:rPr>
          <w:rFonts w:cs="Arial"/>
          <w:szCs w:val="24"/>
        </w:rPr>
        <w:t>legislation</w:t>
      </w:r>
      <w:r w:rsidR="00687437" w:rsidRPr="002F125D">
        <w:rPr>
          <w:rFonts w:cs="Arial"/>
          <w:szCs w:val="24"/>
        </w:rPr>
        <w:t>.</w:t>
      </w:r>
      <w:r w:rsidR="00306051" w:rsidRPr="002F125D">
        <w:rPr>
          <w:rFonts w:cs="Arial"/>
          <w:szCs w:val="24"/>
        </w:rPr>
        <w:t xml:space="preserve"> </w:t>
      </w:r>
      <w:r w:rsidR="00687437" w:rsidRPr="002F125D">
        <w:rPr>
          <w:rFonts w:cs="Arial"/>
          <w:szCs w:val="24"/>
        </w:rPr>
        <w:t>F</w:t>
      </w:r>
      <w:r w:rsidR="00424C51" w:rsidRPr="002F125D">
        <w:rPr>
          <w:rFonts w:cs="Arial"/>
          <w:szCs w:val="24"/>
        </w:rPr>
        <w:t>ull detail can be found at</w:t>
      </w:r>
      <w:r w:rsidRPr="002F125D">
        <w:rPr>
          <w:rFonts w:cs="Arial"/>
          <w:szCs w:val="24"/>
        </w:rPr>
        <w:t>:</w:t>
      </w:r>
    </w:p>
    <w:p w14:paraId="07120A54" w14:textId="77777777" w:rsidR="00EB4B3E" w:rsidRPr="002F125D" w:rsidRDefault="00EB4B3E" w:rsidP="00E8494E">
      <w:pPr>
        <w:pStyle w:val="summarydetails"/>
        <w:spacing w:before="0" w:after="120"/>
        <w:ind w:left="0"/>
        <w:jc w:val="both"/>
        <w:rPr>
          <w:rFonts w:cs="Arial"/>
          <w:szCs w:val="24"/>
        </w:rPr>
      </w:pPr>
      <w:r w:rsidRPr="002F125D">
        <w:rPr>
          <w:rFonts w:cs="Arial"/>
          <w:szCs w:val="24"/>
        </w:rPr>
        <w:t xml:space="preserve">Housing (Scotland) Act 2006 </w:t>
      </w:r>
      <w:hyperlink r:id="rId8" w:history="1">
        <w:r w:rsidR="00306051" w:rsidRPr="002F125D">
          <w:rPr>
            <w:rStyle w:val="Hyperlink"/>
            <w:rFonts w:cs="Arial"/>
            <w:color w:val="auto"/>
            <w:szCs w:val="24"/>
          </w:rPr>
          <w:t>http://www.legislation.gov.uk/asp/2006/1/contents</w:t>
        </w:r>
      </w:hyperlink>
    </w:p>
    <w:p w14:paraId="5A22F4FB" w14:textId="77777777" w:rsidR="00306051" w:rsidRPr="002F125D" w:rsidRDefault="00306051" w:rsidP="00E8494E">
      <w:pPr>
        <w:pStyle w:val="summarydetails"/>
        <w:spacing w:before="0" w:after="120"/>
        <w:ind w:left="0"/>
        <w:rPr>
          <w:rFonts w:cs="Arial"/>
          <w:szCs w:val="24"/>
        </w:rPr>
      </w:pPr>
      <w:r w:rsidRPr="002F125D">
        <w:rPr>
          <w:rFonts w:cs="Arial"/>
          <w:szCs w:val="24"/>
        </w:rPr>
        <w:t xml:space="preserve">Private Rented Housing (Scotland) Act 2011 </w:t>
      </w:r>
      <w:hyperlink r:id="rId9" w:history="1">
        <w:r w:rsidRPr="002F125D">
          <w:rPr>
            <w:rStyle w:val="Hyperlink"/>
            <w:rFonts w:cs="Arial"/>
            <w:color w:val="auto"/>
            <w:szCs w:val="24"/>
          </w:rPr>
          <w:t>http://www.legislation.gov.uk/asp/2011/14/contents</w:t>
        </w:r>
      </w:hyperlink>
    </w:p>
    <w:p w14:paraId="0A1D316E" w14:textId="77777777" w:rsidR="007D4714" w:rsidRPr="002F125D" w:rsidRDefault="007D4714" w:rsidP="00E8494E">
      <w:pPr>
        <w:pStyle w:val="summarydetails"/>
        <w:spacing w:before="240" w:after="120"/>
        <w:ind w:left="0"/>
        <w:jc w:val="both"/>
        <w:rPr>
          <w:rFonts w:cs="Arial"/>
          <w:color w:val="FF0000"/>
          <w:szCs w:val="24"/>
        </w:rPr>
      </w:pPr>
      <w:r w:rsidRPr="002F125D">
        <w:rPr>
          <w:rFonts w:cs="Arial"/>
          <w:color w:val="FF0000"/>
          <w:szCs w:val="24"/>
        </w:rPr>
        <w:t>Purpose</w:t>
      </w:r>
    </w:p>
    <w:p w14:paraId="1CFE0030" w14:textId="77777777" w:rsidR="007D4714" w:rsidRPr="002F125D" w:rsidRDefault="007D4714" w:rsidP="00E8494E">
      <w:pPr>
        <w:pStyle w:val="summarydetails"/>
        <w:spacing w:before="240" w:after="120"/>
        <w:ind w:left="0"/>
        <w:jc w:val="both"/>
        <w:rPr>
          <w:rFonts w:cs="Arial"/>
          <w:szCs w:val="24"/>
        </w:rPr>
      </w:pPr>
      <w:r w:rsidRPr="002F125D">
        <w:rPr>
          <w:rFonts w:cs="Arial"/>
          <w:szCs w:val="24"/>
        </w:rPr>
        <w:t xml:space="preserve">The purpose of the HMO overprovision policy is to limit the number of new HMOs being created in parts of Fife.  Whilst recognising that HMOs play an important role in housing people who want to live and work in Fife, an over-supply can have a detrimental effect </w:t>
      </w:r>
      <w:r w:rsidR="001561DF" w:rsidRPr="002F125D">
        <w:rPr>
          <w:rFonts w:cs="Arial"/>
          <w:szCs w:val="24"/>
        </w:rPr>
        <w:t>and create imbalance in certain housing markets.</w:t>
      </w:r>
      <w:r w:rsidRPr="002F125D">
        <w:rPr>
          <w:rFonts w:cs="Arial"/>
          <w:szCs w:val="24"/>
        </w:rPr>
        <w:t xml:space="preserve"> </w:t>
      </w:r>
    </w:p>
    <w:p w14:paraId="5759DFE4" w14:textId="77777777" w:rsidR="00FD5516" w:rsidRPr="002F125D" w:rsidRDefault="00FD5516" w:rsidP="00E8494E">
      <w:pPr>
        <w:pStyle w:val="summarydetails"/>
        <w:spacing w:before="240" w:after="120"/>
        <w:ind w:left="0"/>
        <w:jc w:val="both"/>
        <w:rPr>
          <w:rFonts w:cs="Arial"/>
          <w:color w:val="FF0000"/>
          <w:szCs w:val="24"/>
        </w:rPr>
      </w:pPr>
      <w:r w:rsidRPr="002F125D">
        <w:rPr>
          <w:rFonts w:cs="Arial"/>
          <w:color w:val="FF0000"/>
          <w:szCs w:val="24"/>
        </w:rPr>
        <w:t>Background</w:t>
      </w:r>
    </w:p>
    <w:p w14:paraId="2DEF1F59" w14:textId="77777777" w:rsidR="005E4C93" w:rsidRPr="002F125D" w:rsidRDefault="005E4C93" w:rsidP="005E4C93">
      <w:pPr>
        <w:shd w:val="clear" w:color="auto" w:fill="FFFFFF"/>
        <w:spacing w:after="0" w:line="240" w:lineRule="auto"/>
        <w:jc w:val="both"/>
        <w:rPr>
          <w:rFonts w:ascii="Arial" w:hAnsi="Arial" w:cs="Arial"/>
          <w:sz w:val="24"/>
          <w:szCs w:val="24"/>
        </w:rPr>
      </w:pPr>
      <w:r w:rsidRPr="002F125D">
        <w:rPr>
          <w:rFonts w:ascii="Arial" w:hAnsi="Arial" w:cs="Arial"/>
          <w:color w:val="000000"/>
          <w:sz w:val="24"/>
          <w:szCs w:val="24"/>
        </w:rPr>
        <w:t>In June 2000 a mandatory licensing scheme for Houses in Multiple Occupation (HMOs) was introduced under the Civic Government (Scotland) Act 1982. The licensing scheme sets safety standards for certain types of rented accommodation and ens</w:t>
      </w:r>
      <w:r w:rsidRPr="002F125D">
        <w:rPr>
          <w:rFonts w:ascii="Arial" w:hAnsi="Arial" w:cs="Arial"/>
          <w:sz w:val="24"/>
          <w:szCs w:val="24"/>
        </w:rPr>
        <w:t xml:space="preserve">ures that landlords and their agents are ‘fit and proper’ persons to hold a licence.  HMOs are now licensed under Part </w:t>
      </w:r>
      <w:r w:rsidR="005C2E57" w:rsidRPr="002F125D">
        <w:rPr>
          <w:rFonts w:ascii="Arial" w:hAnsi="Arial" w:cs="Arial"/>
          <w:sz w:val="24"/>
          <w:szCs w:val="24"/>
        </w:rPr>
        <w:t>5</w:t>
      </w:r>
      <w:r w:rsidRPr="002F125D">
        <w:rPr>
          <w:rFonts w:ascii="Arial" w:hAnsi="Arial" w:cs="Arial"/>
          <w:sz w:val="24"/>
          <w:szCs w:val="24"/>
        </w:rPr>
        <w:t xml:space="preserve"> of the Housing (Scotland) Act 2006, a</w:t>
      </w:r>
      <w:r w:rsidR="002F125D">
        <w:rPr>
          <w:rFonts w:ascii="Arial" w:hAnsi="Arial" w:cs="Arial"/>
          <w:sz w:val="24"/>
          <w:szCs w:val="24"/>
        </w:rPr>
        <w:t>n</w:t>
      </w:r>
      <w:r w:rsidRPr="002F125D">
        <w:rPr>
          <w:rFonts w:ascii="Arial" w:hAnsi="Arial" w:cs="Arial"/>
          <w:sz w:val="24"/>
          <w:szCs w:val="24"/>
        </w:rPr>
        <w:t xml:space="preserve"> HMO licence being required for accommodation that is:</w:t>
      </w:r>
    </w:p>
    <w:p w14:paraId="499253ED" w14:textId="77777777" w:rsidR="005E4C93" w:rsidRPr="002F125D" w:rsidRDefault="005E4C93" w:rsidP="005E4C93">
      <w:pPr>
        <w:shd w:val="clear" w:color="auto" w:fill="FFFFFF"/>
        <w:spacing w:after="0"/>
        <w:ind w:left="709"/>
        <w:jc w:val="both"/>
        <w:rPr>
          <w:rFonts w:ascii="Arial" w:hAnsi="Arial" w:cs="Arial"/>
          <w:sz w:val="24"/>
          <w:szCs w:val="24"/>
        </w:rPr>
      </w:pPr>
    </w:p>
    <w:p w14:paraId="0DAA8697" w14:textId="77777777" w:rsidR="005E4C93" w:rsidRPr="002F125D" w:rsidRDefault="005E4C93" w:rsidP="005E4C93">
      <w:pPr>
        <w:numPr>
          <w:ilvl w:val="0"/>
          <w:numId w:val="11"/>
        </w:numPr>
        <w:shd w:val="clear" w:color="auto" w:fill="FFFFFF"/>
        <w:tabs>
          <w:tab w:val="left" w:pos="567"/>
        </w:tabs>
        <w:spacing w:after="0" w:line="240" w:lineRule="auto"/>
        <w:ind w:left="567" w:hanging="567"/>
        <w:jc w:val="both"/>
        <w:rPr>
          <w:rFonts w:ascii="Arial" w:hAnsi="Arial" w:cs="Arial"/>
          <w:sz w:val="24"/>
          <w:szCs w:val="24"/>
        </w:rPr>
      </w:pPr>
      <w:r w:rsidRPr="002F125D">
        <w:rPr>
          <w:rFonts w:ascii="Arial" w:hAnsi="Arial" w:cs="Arial"/>
          <w:sz w:val="24"/>
          <w:szCs w:val="24"/>
        </w:rPr>
        <w:t xml:space="preserve">Occupied by three or more persons from three or more families; </w:t>
      </w:r>
    </w:p>
    <w:p w14:paraId="61F9FA03" w14:textId="77777777" w:rsidR="005E4C93" w:rsidRPr="002F125D" w:rsidRDefault="005E4C93" w:rsidP="005E4C93">
      <w:pPr>
        <w:numPr>
          <w:ilvl w:val="0"/>
          <w:numId w:val="11"/>
        </w:numPr>
        <w:shd w:val="clear" w:color="auto" w:fill="FFFFFF"/>
        <w:tabs>
          <w:tab w:val="left" w:pos="567"/>
        </w:tabs>
        <w:spacing w:after="0" w:line="240" w:lineRule="auto"/>
        <w:ind w:left="567" w:hanging="567"/>
        <w:jc w:val="both"/>
        <w:rPr>
          <w:rFonts w:ascii="Arial" w:hAnsi="Arial" w:cs="Arial"/>
          <w:sz w:val="24"/>
          <w:szCs w:val="24"/>
        </w:rPr>
      </w:pPr>
      <w:r w:rsidRPr="002F125D">
        <w:rPr>
          <w:rFonts w:ascii="Arial" w:hAnsi="Arial" w:cs="Arial"/>
          <w:sz w:val="24"/>
          <w:szCs w:val="24"/>
        </w:rPr>
        <w:t>Occupied as a sole or main residence; and,</w:t>
      </w:r>
    </w:p>
    <w:p w14:paraId="4DF936E8" w14:textId="77777777" w:rsidR="005E4C93" w:rsidRPr="002F125D" w:rsidRDefault="005E4C93" w:rsidP="005E4C93">
      <w:pPr>
        <w:numPr>
          <w:ilvl w:val="0"/>
          <w:numId w:val="11"/>
        </w:numPr>
        <w:shd w:val="clear" w:color="auto" w:fill="FFFFFF"/>
        <w:tabs>
          <w:tab w:val="left" w:pos="567"/>
        </w:tabs>
        <w:spacing w:after="0" w:line="240" w:lineRule="auto"/>
        <w:ind w:left="567" w:hanging="567"/>
        <w:jc w:val="both"/>
        <w:rPr>
          <w:rFonts w:ascii="Arial" w:hAnsi="Arial" w:cs="Arial"/>
          <w:sz w:val="24"/>
          <w:szCs w:val="24"/>
        </w:rPr>
      </w:pPr>
      <w:r w:rsidRPr="002F125D">
        <w:rPr>
          <w:rFonts w:ascii="Arial" w:hAnsi="Arial" w:cs="Arial"/>
          <w:sz w:val="24"/>
          <w:szCs w:val="24"/>
        </w:rPr>
        <w:t xml:space="preserve">Providing shared basic amenities. </w:t>
      </w:r>
    </w:p>
    <w:p w14:paraId="6CBC38BF" w14:textId="77777777" w:rsidR="005E4C93" w:rsidRPr="002F125D" w:rsidRDefault="005E4C93" w:rsidP="005E4C93">
      <w:pPr>
        <w:shd w:val="clear" w:color="auto" w:fill="FFFFFF"/>
        <w:spacing w:after="0"/>
        <w:ind w:left="709" w:hanging="709"/>
        <w:jc w:val="both"/>
        <w:rPr>
          <w:rFonts w:ascii="Arial" w:hAnsi="Arial" w:cs="Arial"/>
          <w:sz w:val="24"/>
          <w:szCs w:val="24"/>
        </w:rPr>
      </w:pPr>
    </w:p>
    <w:p w14:paraId="0BD9E8C2" w14:textId="77777777" w:rsidR="005C2E57" w:rsidRPr="002F125D" w:rsidRDefault="005E4C93" w:rsidP="005E4C93">
      <w:pPr>
        <w:shd w:val="clear" w:color="auto" w:fill="FFFFFF"/>
        <w:spacing w:after="0"/>
        <w:jc w:val="both"/>
        <w:rPr>
          <w:rFonts w:ascii="Arial" w:hAnsi="Arial" w:cs="Arial"/>
          <w:sz w:val="24"/>
          <w:szCs w:val="24"/>
        </w:rPr>
      </w:pPr>
      <w:r w:rsidRPr="002F125D">
        <w:rPr>
          <w:rFonts w:ascii="Arial" w:hAnsi="Arial" w:cs="Arial"/>
          <w:sz w:val="24"/>
          <w:szCs w:val="24"/>
        </w:rPr>
        <w:t xml:space="preserve">Section 131A of the Housing (Scotland) Act 2006 (introduced by the Private Rented Housing </w:t>
      </w:r>
      <w:r w:rsidR="005C2E57" w:rsidRPr="002F125D">
        <w:rPr>
          <w:rFonts w:ascii="Arial" w:hAnsi="Arial" w:cs="Arial"/>
          <w:sz w:val="24"/>
          <w:szCs w:val="24"/>
        </w:rPr>
        <w:t>(</w:t>
      </w:r>
      <w:r w:rsidRPr="002F125D">
        <w:rPr>
          <w:rFonts w:ascii="Arial" w:hAnsi="Arial" w:cs="Arial"/>
          <w:sz w:val="24"/>
          <w:szCs w:val="24"/>
        </w:rPr>
        <w:t>Scotland</w:t>
      </w:r>
      <w:r w:rsidR="005C2E57" w:rsidRPr="002F125D">
        <w:rPr>
          <w:rFonts w:ascii="Arial" w:hAnsi="Arial" w:cs="Arial"/>
          <w:sz w:val="24"/>
          <w:szCs w:val="24"/>
        </w:rPr>
        <w:t>)</w:t>
      </w:r>
      <w:r w:rsidRPr="002F125D">
        <w:rPr>
          <w:rFonts w:ascii="Arial" w:hAnsi="Arial" w:cs="Arial"/>
          <w:sz w:val="24"/>
          <w:szCs w:val="24"/>
        </w:rPr>
        <w:t xml:space="preserve"> Act 2011) provides that the Council may refuse to grant a</w:t>
      </w:r>
      <w:r w:rsidR="005C2E57" w:rsidRPr="002F125D">
        <w:rPr>
          <w:rFonts w:ascii="Arial" w:hAnsi="Arial" w:cs="Arial"/>
          <w:sz w:val="24"/>
          <w:szCs w:val="24"/>
        </w:rPr>
        <w:t>n</w:t>
      </w:r>
      <w:r w:rsidRPr="002F125D">
        <w:rPr>
          <w:rFonts w:ascii="Arial" w:hAnsi="Arial" w:cs="Arial"/>
          <w:sz w:val="24"/>
          <w:szCs w:val="24"/>
        </w:rPr>
        <w:t xml:space="preserve"> HMO licence where it considers that there is </w:t>
      </w:r>
      <w:r w:rsidR="005C2E57" w:rsidRPr="002F125D">
        <w:rPr>
          <w:rFonts w:ascii="Arial" w:hAnsi="Arial" w:cs="Arial"/>
          <w:sz w:val="24"/>
          <w:szCs w:val="24"/>
        </w:rPr>
        <w:t xml:space="preserve">(or, as a result of granting the licence, would be) </w:t>
      </w:r>
      <w:r w:rsidRPr="002F125D">
        <w:rPr>
          <w:rFonts w:ascii="Arial" w:hAnsi="Arial" w:cs="Arial"/>
          <w:sz w:val="24"/>
          <w:szCs w:val="24"/>
        </w:rPr>
        <w:t xml:space="preserve">HMO overprovision in the locality in which the living accommodation </w:t>
      </w:r>
      <w:r w:rsidR="005C2E57" w:rsidRPr="002F125D">
        <w:rPr>
          <w:rFonts w:ascii="Arial" w:hAnsi="Arial" w:cs="Arial"/>
          <w:sz w:val="24"/>
          <w:szCs w:val="24"/>
        </w:rPr>
        <w:t xml:space="preserve">concerned </w:t>
      </w:r>
      <w:r w:rsidRPr="002F125D">
        <w:rPr>
          <w:rFonts w:ascii="Arial" w:hAnsi="Arial" w:cs="Arial"/>
          <w:sz w:val="24"/>
          <w:szCs w:val="24"/>
        </w:rPr>
        <w:t xml:space="preserve">is situated. </w:t>
      </w:r>
    </w:p>
    <w:p w14:paraId="41C30735" w14:textId="77777777" w:rsidR="005C2E57" w:rsidRPr="002F125D" w:rsidRDefault="005C2E57" w:rsidP="005E4C93">
      <w:pPr>
        <w:shd w:val="clear" w:color="auto" w:fill="FFFFFF"/>
        <w:spacing w:after="0"/>
        <w:jc w:val="both"/>
        <w:rPr>
          <w:rFonts w:ascii="Arial" w:hAnsi="Arial" w:cs="Arial"/>
          <w:color w:val="000000"/>
          <w:sz w:val="24"/>
          <w:szCs w:val="24"/>
        </w:rPr>
      </w:pPr>
    </w:p>
    <w:p w14:paraId="71F866F3" w14:textId="77777777" w:rsidR="005E4C93" w:rsidRPr="002F125D" w:rsidRDefault="005E4C93" w:rsidP="005E4C93">
      <w:pPr>
        <w:shd w:val="clear" w:color="auto" w:fill="FFFFFF"/>
        <w:spacing w:after="0"/>
        <w:jc w:val="both"/>
        <w:rPr>
          <w:rFonts w:ascii="Arial" w:hAnsi="Arial" w:cs="Arial"/>
          <w:sz w:val="24"/>
          <w:szCs w:val="24"/>
          <w:lang w:val="en"/>
        </w:rPr>
      </w:pPr>
      <w:r w:rsidRPr="002F125D">
        <w:rPr>
          <w:rFonts w:ascii="Arial" w:hAnsi="Arial" w:cs="Arial"/>
          <w:color w:val="000000"/>
          <w:sz w:val="24"/>
          <w:szCs w:val="24"/>
          <w:lang w:val="en"/>
        </w:rPr>
        <w:t xml:space="preserve">In </w:t>
      </w:r>
      <w:r w:rsidRPr="002F125D">
        <w:rPr>
          <w:rFonts w:ascii="Arial" w:hAnsi="Arial" w:cs="Arial"/>
          <w:sz w:val="24"/>
          <w:szCs w:val="24"/>
          <w:lang w:val="en"/>
        </w:rPr>
        <w:t>considering whether to refuse to grant a</w:t>
      </w:r>
      <w:r w:rsidR="005C2E57" w:rsidRPr="002F125D">
        <w:rPr>
          <w:rFonts w:ascii="Arial" w:hAnsi="Arial" w:cs="Arial"/>
          <w:sz w:val="24"/>
          <w:szCs w:val="24"/>
          <w:lang w:val="en"/>
        </w:rPr>
        <w:t>n</w:t>
      </w:r>
      <w:r w:rsidRPr="002F125D">
        <w:rPr>
          <w:rFonts w:ascii="Arial" w:hAnsi="Arial" w:cs="Arial"/>
          <w:sz w:val="24"/>
          <w:szCs w:val="24"/>
          <w:lang w:val="en"/>
        </w:rPr>
        <w:t xml:space="preserve"> HMO licence</w:t>
      </w:r>
      <w:r w:rsidR="005C2E57" w:rsidRPr="002F125D">
        <w:rPr>
          <w:rFonts w:ascii="Arial" w:hAnsi="Arial" w:cs="Arial"/>
          <w:sz w:val="24"/>
          <w:szCs w:val="24"/>
          <w:lang w:val="en"/>
        </w:rPr>
        <w:t>,</w:t>
      </w:r>
      <w:r w:rsidRPr="002F125D">
        <w:rPr>
          <w:rFonts w:ascii="Arial" w:hAnsi="Arial" w:cs="Arial"/>
          <w:sz w:val="24"/>
          <w:szCs w:val="24"/>
          <w:lang w:val="en"/>
        </w:rPr>
        <w:t xml:space="preserve"> the Council must have regard to:</w:t>
      </w:r>
    </w:p>
    <w:p w14:paraId="61926B4A" w14:textId="77777777" w:rsidR="002F125D" w:rsidRPr="002F125D" w:rsidRDefault="002F125D" w:rsidP="002F125D">
      <w:pPr>
        <w:shd w:val="clear" w:color="auto" w:fill="FFFFFF"/>
        <w:spacing w:after="0" w:line="240" w:lineRule="auto"/>
        <w:ind w:left="567"/>
        <w:jc w:val="both"/>
        <w:rPr>
          <w:rFonts w:ascii="Arial" w:hAnsi="Arial" w:cs="Arial"/>
          <w:sz w:val="24"/>
          <w:szCs w:val="24"/>
          <w:lang w:val="en"/>
        </w:rPr>
      </w:pPr>
    </w:p>
    <w:p w14:paraId="492AEF31" w14:textId="77777777" w:rsidR="005E4C93" w:rsidRPr="002F125D" w:rsidRDefault="005E4C93" w:rsidP="005E4C93">
      <w:pPr>
        <w:numPr>
          <w:ilvl w:val="0"/>
          <w:numId w:val="4"/>
        </w:numPr>
        <w:shd w:val="clear" w:color="auto" w:fill="FFFFFF"/>
        <w:spacing w:after="0" w:line="240" w:lineRule="auto"/>
        <w:ind w:left="567" w:hanging="567"/>
        <w:jc w:val="both"/>
        <w:rPr>
          <w:rFonts w:ascii="Arial" w:hAnsi="Arial" w:cs="Arial"/>
          <w:sz w:val="24"/>
          <w:szCs w:val="24"/>
          <w:lang w:val="en"/>
        </w:rPr>
      </w:pPr>
      <w:r w:rsidRPr="002F125D">
        <w:rPr>
          <w:rFonts w:ascii="Arial" w:hAnsi="Arial" w:cs="Arial"/>
          <w:sz w:val="24"/>
          <w:szCs w:val="24"/>
          <w:lang w:val="en"/>
        </w:rPr>
        <w:lastRenderedPageBreak/>
        <w:t>Whether there is an existing HMO licence in respect of the living accommodation;</w:t>
      </w:r>
    </w:p>
    <w:p w14:paraId="0F270791" w14:textId="77777777" w:rsidR="005E4C93" w:rsidRPr="002F125D" w:rsidRDefault="005E4C93" w:rsidP="005E4C93">
      <w:pPr>
        <w:numPr>
          <w:ilvl w:val="0"/>
          <w:numId w:val="4"/>
        </w:numPr>
        <w:shd w:val="clear" w:color="auto" w:fill="FFFFFF"/>
        <w:spacing w:after="0" w:line="240" w:lineRule="auto"/>
        <w:ind w:left="567" w:hanging="567"/>
        <w:jc w:val="both"/>
        <w:rPr>
          <w:rFonts w:ascii="Arial" w:hAnsi="Arial" w:cs="Arial"/>
          <w:sz w:val="24"/>
          <w:szCs w:val="24"/>
          <w:lang w:val="en"/>
        </w:rPr>
      </w:pPr>
      <w:r w:rsidRPr="002F125D">
        <w:rPr>
          <w:rFonts w:ascii="Arial" w:hAnsi="Arial" w:cs="Arial"/>
          <w:sz w:val="24"/>
          <w:szCs w:val="24"/>
          <w:lang w:val="en"/>
        </w:rPr>
        <w:t xml:space="preserve">The views </w:t>
      </w:r>
      <w:r w:rsidR="005C2E57" w:rsidRPr="002F125D">
        <w:rPr>
          <w:rFonts w:ascii="Arial" w:hAnsi="Arial" w:cs="Arial"/>
          <w:sz w:val="24"/>
          <w:szCs w:val="24"/>
          <w:lang w:val="en"/>
        </w:rPr>
        <w:t xml:space="preserve">(if known) </w:t>
      </w:r>
      <w:r w:rsidRPr="002F125D">
        <w:rPr>
          <w:rFonts w:ascii="Arial" w:hAnsi="Arial" w:cs="Arial"/>
          <w:sz w:val="24"/>
          <w:szCs w:val="24"/>
          <w:lang w:val="en"/>
        </w:rPr>
        <w:t>of the applicant</w:t>
      </w:r>
      <w:r w:rsidR="005C2E57" w:rsidRPr="002F125D">
        <w:rPr>
          <w:rFonts w:ascii="Arial" w:hAnsi="Arial" w:cs="Arial"/>
          <w:sz w:val="24"/>
          <w:szCs w:val="24"/>
          <w:lang w:val="en"/>
        </w:rPr>
        <w:t>/s</w:t>
      </w:r>
      <w:r w:rsidRPr="002F125D">
        <w:rPr>
          <w:rFonts w:ascii="Arial" w:hAnsi="Arial" w:cs="Arial"/>
          <w:sz w:val="24"/>
          <w:szCs w:val="24"/>
          <w:lang w:val="en"/>
        </w:rPr>
        <w:t xml:space="preserve"> and, if applicable, any occupant of the living accommodation.</w:t>
      </w:r>
    </w:p>
    <w:p w14:paraId="6759F434" w14:textId="77777777" w:rsidR="005E4C93" w:rsidRPr="002F125D" w:rsidRDefault="005E4C93" w:rsidP="005E4C93">
      <w:pPr>
        <w:shd w:val="clear" w:color="auto" w:fill="FFFFFF"/>
        <w:spacing w:after="0"/>
        <w:ind w:left="709" w:hanging="709"/>
        <w:jc w:val="both"/>
        <w:rPr>
          <w:rFonts w:ascii="Arial" w:hAnsi="Arial" w:cs="Arial"/>
          <w:sz w:val="24"/>
          <w:szCs w:val="24"/>
        </w:rPr>
      </w:pPr>
    </w:p>
    <w:p w14:paraId="00FA6761" w14:textId="77777777" w:rsidR="005E4C93" w:rsidRPr="002F125D" w:rsidRDefault="005E4C93" w:rsidP="005E4C93">
      <w:pPr>
        <w:shd w:val="clear" w:color="auto" w:fill="FFFFFF"/>
        <w:spacing w:after="0"/>
        <w:jc w:val="both"/>
        <w:rPr>
          <w:rFonts w:ascii="Arial" w:hAnsi="Arial" w:cs="Arial"/>
          <w:sz w:val="24"/>
          <w:szCs w:val="24"/>
          <w:lang w:val="en"/>
        </w:rPr>
      </w:pPr>
      <w:r w:rsidRPr="002F125D">
        <w:rPr>
          <w:rFonts w:ascii="Arial" w:hAnsi="Arial" w:cs="Arial"/>
          <w:sz w:val="24"/>
          <w:szCs w:val="24"/>
        </w:rPr>
        <w:t xml:space="preserve">As the legislation does not provide a definition of ‘overprovision’ or ‘locality’, </w:t>
      </w:r>
      <w:r w:rsidR="00B371DD" w:rsidRPr="002F125D">
        <w:rPr>
          <w:rFonts w:ascii="Arial" w:hAnsi="Arial" w:cs="Arial"/>
          <w:sz w:val="24"/>
          <w:szCs w:val="24"/>
        </w:rPr>
        <w:t>the Council</w:t>
      </w:r>
      <w:r w:rsidRPr="002F125D">
        <w:rPr>
          <w:rFonts w:ascii="Arial" w:hAnsi="Arial" w:cs="Arial"/>
          <w:sz w:val="24"/>
          <w:szCs w:val="24"/>
        </w:rPr>
        <w:t xml:space="preserve"> must define their meaning.</w:t>
      </w:r>
      <w:r w:rsidR="00B371DD" w:rsidRPr="002F125D">
        <w:rPr>
          <w:rFonts w:ascii="Arial" w:hAnsi="Arial" w:cs="Arial"/>
          <w:sz w:val="24"/>
          <w:szCs w:val="24"/>
        </w:rPr>
        <w:t xml:space="preserve"> </w:t>
      </w:r>
      <w:r w:rsidRPr="002F125D">
        <w:rPr>
          <w:rFonts w:ascii="Arial" w:hAnsi="Arial" w:cs="Arial"/>
          <w:sz w:val="24"/>
          <w:szCs w:val="24"/>
          <w:lang w:val="en"/>
        </w:rPr>
        <w:t>In</w:t>
      </w:r>
      <w:r w:rsidR="00B371DD" w:rsidRPr="002F125D">
        <w:rPr>
          <w:rFonts w:ascii="Arial" w:hAnsi="Arial" w:cs="Arial"/>
          <w:sz w:val="24"/>
          <w:szCs w:val="24"/>
          <w:lang w:val="en"/>
        </w:rPr>
        <w:t xml:space="preserve"> </w:t>
      </w:r>
      <w:r w:rsidRPr="002F125D">
        <w:rPr>
          <w:rFonts w:ascii="Arial" w:hAnsi="Arial" w:cs="Arial"/>
          <w:sz w:val="24"/>
          <w:szCs w:val="24"/>
          <w:lang w:val="en"/>
        </w:rPr>
        <w:t xml:space="preserve">considering whether there would be overprovision the Council </w:t>
      </w:r>
      <w:r w:rsidRPr="002F125D">
        <w:rPr>
          <w:rFonts w:ascii="Arial" w:hAnsi="Arial" w:cs="Arial"/>
          <w:bCs/>
          <w:sz w:val="24"/>
          <w:szCs w:val="24"/>
          <w:lang w:val="en"/>
        </w:rPr>
        <w:t>must have regard to</w:t>
      </w:r>
      <w:r w:rsidRPr="002F125D">
        <w:rPr>
          <w:rFonts w:ascii="Arial" w:hAnsi="Arial" w:cs="Arial"/>
          <w:sz w:val="24"/>
          <w:szCs w:val="24"/>
          <w:lang w:val="en"/>
        </w:rPr>
        <w:t>:</w:t>
      </w:r>
    </w:p>
    <w:p w14:paraId="215CAAB7" w14:textId="77777777" w:rsidR="005E4C93" w:rsidRPr="002F125D" w:rsidRDefault="005E4C93" w:rsidP="005E4C93">
      <w:pPr>
        <w:shd w:val="clear" w:color="auto" w:fill="FFFFFF"/>
        <w:spacing w:after="0"/>
        <w:ind w:left="709" w:hanging="709"/>
        <w:jc w:val="both"/>
        <w:rPr>
          <w:rFonts w:ascii="Arial" w:hAnsi="Arial" w:cs="Arial"/>
          <w:sz w:val="24"/>
          <w:szCs w:val="24"/>
          <w:lang w:val="en"/>
        </w:rPr>
      </w:pPr>
    </w:p>
    <w:p w14:paraId="7B0DE3FA" w14:textId="77777777" w:rsidR="005E4C93" w:rsidRPr="002F125D" w:rsidRDefault="005E4C93" w:rsidP="005E4C93">
      <w:pPr>
        <w:numPr>
          <w:ilvl w:val="0"/>
          <w:numId w:val="10"/>
        </w:numPr>
        <w:shd w:val="clear" w:color="auto" w:fill="FFFFFF"/>
        <w:spacing w:after="0" w:line="240" w:lineRule="auto"/>
        <w:ind w:left="567" w:hanging="567"/>
        <w:rPr>
          <w:rFonts w:ascii="Arial" w:hAnsi="Arial" w:cs="Arial"/>
          <w:sz w:val="24"/>
          <w:szCs w:val="24"/>
          <w:lang w:val="en"/>
        </w:rPr>
      </w:pPr>
      <w:r w:rsidRPr="002F125D">
        <w:rPr>
          <w:rFonts w:ascii="Arial" w:hAnsi="Arial" w:cs="Arial"/>
          <w:sz w:val="24"/>
          <w:szCs w:val="24"/>
          <w:lang w:val="en"/>
        </w:rPr>
        <w:t>The number and capacity of licensed HMOs in the locality,</w:t>
      </w:r>
    </w:p>
    <w:p w14:paraId="5EEFEDAF" w14:textId="77777777" w:rsidR="005E4C93" w:rsidRPr="002F125D" w:rsidRDefault="005E4C93" w:rsidP="005E4C93">
      <w:pPr>
        <w:numPr>
          <w:ilvl w:val="0"/>
          <w:numId w:val="10"/>
        </w:numPr>
        <w:shd w:val="clear" w:color="auto" w:fill="FFFFFF"/>
        <w:spacing w:after="0" w:line="240" w:lineRule="auto"/>
        <w:ind w:left="567" w:hanging="567"/>
        <w:rPr>
          <w:rFonts w:ascii="Arial" w:hAnsi="Arial" w:cs="Arial"/>
          <w:sz w:val="24"/>
          <w:szCs w:val="24"/>
          <w:lang w:val="en"/>
        </w:rPr>
      </w:pPr>
      <w:r w:rsidRPr="002F125D">
        <w:rPr>
          <w:rFonts w:ascii="Arial" w:hAnsi="Arial" w:cs="Arial"/>
          <w:sz w:val="24"/>
          <w:szCs w:val="24"/>
          <w:lang w:val="en"/>
        </w:rPr>
        <w:t>The need for housing accommodation in the locality and the extent to which HMO accommodation is required to meet that need.</w:t>
      </w:r>
    </w:p>
    <w:p w14:paraId="357E3E8C" w14:textId="77777777" w:rsidR="002F125D" w:rsidRPr="002F125D" w:rsidRDefault="002F125D" w:rsidP="002F125D">
      <w:pPr>
        <w:shd w:val="clear" w:color="auto" w:fill="FFFFFF"/>
        <w:spacing w:after="0" w:line="240" w:lineRule="auto"/>
        <w:rPr>
          <w:rFonts w:ascii="Arial" w:hAnsi="Arial" w:cs="Arial"/>
          <w:sz w:val="24"/>
          <w:szCs w:val="24"/>
          <w:lang w:val="en"/>
        </w:rPr>
      </w:pPr>
    </w:p>
    <w:p w14:paraId="473250E2" w14:textId="77777777" w:rsidR="002F125D" w:rsidRPr="00F05FD8" w:rsidRDefault="002F125D" w:rsidP="002F125D">
      <w:pPr>
        <w:shd w:val="clear" w:color="auto" w:fill="FFFFFF"/>
        <w:spacing w:after="0" w:line="240" w:lineRule="auto"/>
        <w:rPr>
          <w:rFonts w:ascii="Arial" w:hAnsi="Arial" w:cs="Arial"/>
          <w:color w:val="FF0000"/>
          <w:sz w:val="24"/>
          <w:szCs w:val="24"/>
          <w:lang w:val="en"/>
        </w:rPr>
      </w:pPr>
      <w:r w:rsidRPr="00F05FD8">
        <w:rPr>
          <w:rFonts w:ascii="Arial" w:hAnsi="Arial" w:cs="Arial"/>
          <w:color w:val="FF0000"/>
          <w:sz w:val="24"/>
          <w:szCs w:val="24"/>
          <w:lang w:val="en"/>
        </w:rPr>
        <w:t xml:space="preserve">Number and Capacity of HMOs </w:t>
      </w:r>
    </w:p>
    <w:p w14:paraId="7055C7A3" w14:textId="77777777" w:rsidR="002F125D" w:rsidRPr="00F05FD8" w:rsidRDefault="002F125D" w:rsidP="002F125D">
      <w:pPr>
        <w:shd w:val="clear" w:color="auto" w:fill="FFFFFF"/>
        <w:spacing w:after="0" w:line="240" w:lineRule="auto"/>
        <w:rPr>
          <w:rFonts w:ascii="Arial" w:hAnsi="Arial" w:cs="Arial"/>
          <w:sz w:val="24"/>
          <w:szCs w:val="24"/>
          <w:lang w:val="en"/>
        </w:rPr>
      </w:pPr>
    </w:p>
    <w:p w14:paraId="25D8BABE" w14:textId="77777777" w:rsidR="002F125D" w:rsidRDefault="002F125D" w:rsidP="002F125D">
      <w:pPr>
        <w:autoSpaceDE w:val="0"/>
        <w:autoSpaceDN w:val="0"/>
        <w:adjustRightInd w:val="0"/>
        <w:spacing w:after="0" w:line="240" w:lineRule="auto"/>
        <w:jc w:val="both"/>
        <w:rPr>
          <w:rFonts w:ascii="Arial" w:hAnsi="Arial" w:cs="Arial"/>
          <w:sz w:val="24"/>
          <w:szCs w:val="24"/>
        </w:rPr>
      </w:pPr>
      <w:r w:rsidRPr="00F05FD8">
        <w:rPr>
          <w:rFonts w:ascii="Arial" w:hAnsi="Arial" w:cs="Arial"/>
          <w:sz w:val="24"/>
          <w:szCs w:val="24"/>
        </w:rPr>
        <w:t xml:space="preserve">The number of HMOs varies throughout the year as applications are submitted through a three-yearly cycle. </w:t>
      </w:r>
      <w:r w:rsidR="00F05FD8" w:rsidRPr="00F05FD8">
        <w:rPr>
          <w:rFonts w:ascii="Arial" w:hAnsi="Arial" w:cs="Arial"/>
          <w:sz w:val="24"/>
          <w:szCs w:val="24"/>
        </w:rPr>
        <w:t xml:space="preserve">Committee was informed by the position in </w:t>
      </w:r>
      <w:r w:rsidRPr="00F05FD8">
        <w:rPr>
          <w:rFonts w:ascii="Arial" w:hAnsi="Arial" w:cs="Arial"/>
          <w:sz w:val="24"/>
          <w:szCs w:val="24"/>
        </w:rPr>
        <w:t xml:space="preserve">March 2019 </w:t>
      </w:r>
      <w:r w:rsidR="00F05FD8" w:rsidRPr="00F05FD8">
        <w:rPr>
          <w:rFonts w:ascii="Arial" w:hAnsi="Arial" w:cs="Arial"/>
          <w:sz w:val="24"/>
          <w:szCs w:val="24"/>
        </w:rPr>
        <w:t>when there were</w:t>
      </w:r>
      <w:r w:rsidRPr="00F05FD8">
        <w:rPr>
          <w:rFonts w:ascii="Arial" w:hAnsi="Arial" w:cs="Arial"/>
          <w:sz w:val="24"/>
          <w:szCs w:val="24"/>
        </w:rPr>
        <w:t xml:space="preserve"> 1,219 HMOs in Fife and 1,046 (86%) of these </w:t>
      </w:r>
      <w:r w:rsidR="004A5710">
        <w:rPr>
          <w:rFonts w:ascii="Arial" w:hAnsi="Arial" w:cs="Arial"/>
          <w:sz w:val="24"/>
          <w:szCs w:val="24"/>
        </w:rPr>
        <w:t>were</w:t>
      </w:r>
      <w:r w:rsidR="004A5710" w:rsidRPr="00F05FD8">
        <w:rPr>
          <w:rFonts w:ascii="Arial" w:hAnsi="Arial" w:cs="Arial"/>
          <w:sz w:val="24"/>
          <w:szCs w:val="24"/>
        </w:rPr>
        <w:t xml:space="preserve"> in</w:t>
      </w:r>
      <w:r w:rsidRPr="00F05FD8">
        <w:rPr>
          <w:rFonts w:ascii="Arial" w:hAnsi="Arial" w:cs="Arial"/>
          <w:sz w:val="24"/>
          <w:szCs w:val="24"/>
        </w:rPr>
        <w:t xml:space="preserve"> St Andrews. Data from the Assessor Service indicate</w:t>
      </w:r>
      <w:r w:rsidR="00F05FD8" w:rsidRPr="00F05FD8">
        <w:rPr>
          <w:rFonts w:ascii="Arial" w:hAnsi="Arial" w:cs="Arial"/>
          <w:sz w:val="24"/>
          <w:szCs w:val="24"/>
        </w:rPr>
        <w:t>d</w:t>
      </w:r>
      <w:r w:rsidRPr="00F05FD8">
        <w:rPr>
          <w:rFonts w:ascii="Arial" w:hAnsi="Arial" w:cs="Arial"/>
          <w:sz w:val="24"/>
          <w:szCs w:val="24"/>
        </w:rPr>
        <w:t xml:space="preserve"> there </w:t>
      </w:r>
      <w:r w:rsidR="00F05FD8" w:rsidRPr="00F05FD8">
        <w:rPr>
          <w:rFonts w:ascii="Arial" w:hAnsi="Arial" w:cs="Arial"/>
          <w:sz w:val="24"/>
          <w:szCs w:val="24"/>
        </w:rPr>
        <w:t>were</w:t>
      </w:r>
      <w:r w:rsidRPr="00F05FD8">
        <w:rPr>
          <w:rFonts w:ascii="Arial" w:hAnsi="Arial" w:cs="Arial"/>
          <w:sz w:val="24"/>
          <w:szCs w:val="24"/>
        </w:rPr>
        <w:t xml:space="preserve"> 6,861 dwellings in St Andrews and HMOs represent</w:t>
      </w:r>
      <w:r w:rsidR="00F05FD8" w:rsidRPr="00F05FD8">
        <w:rPr>
          <w:rFonts w:ascii="Arial" w:hAnsi="Arial" w:cs="Arial"/>
          <w:sz w:val="24"/>
          <w:szCs w:val="24"/>
        </w:rPr>
        <w:t xml:space="preserve">ed </w:t>
      </w:r>
      <w:r w:rsidRPr="00F05FD8">
        <w:rPr>
          <w:rFonts w:ascii="Arial" w:hAnsi="Arial" w:cs="Arial"/>
          <w:sz w:val="24"/>
          <w:szCs w:val="24"/>
        </w:rPr>
        <w:t>around 15% of housing stock in the area. The 1,046 licensed HMOs ha</w:t>
      </w:r>
      <w:r w:rsidR="00F05FD8" w:rsidRPr="00F05FD8">
        <w:rPr>
          <w:rFonts w:ascii="Arial" w:hAnsi="Arial" w:cs="Arial"/>
          <w:sz w:val="24"/>
          <w:szCs w:val="24"/>
        </w:rPr>
        <w:t>d</w:t>
      </w:r>
      <w:r w:rsidRPr="00F05FD8">
        <w:rPr>
          <w:rFonts w:ascii="Arial" w:hAnsi="Arial" w:cs="Arial"/>
          <w:sz w:val="24"/>
          <w:szCs w:val="24"/>
        </w:rPr>
        <w:t xml:space="preserve"> capacity for 6,994 occupants and contain</w:t>
      </w:r>
      <w:r w:rsidR="00F05FD8" w:rsidRPr="00F05FD8">
        <w:rPr>
          <w:rFonts w:ascii="Arial" w:hAnsi="Arial" w:cs="Arial"/>
          <w:sz w:val="24"/>
          <w:szCs w:val="24"/>
        </w:rPr>
        <w:t>ed</w:t>
      </w:r>
      <w:r w:rsidRPr="00F05FD8">
        <w:rPr>
          <w:rFonts w:ascii="Arial" w:hAnsi="Arial" w:cs="Arial"/>
          <w:sz w:val="24"/>
          <w:szCs w:val="24"/>
        </w:rPr>
        <w:t xml:space="preserve"> an average of 6.7 persons.</w:t>
      </w:r>
    </w:p>
    <w:p w14:paraId="0680CEB0" w14:textId="77777777" w:rsidR="004A5710" w:rsidRPr="00F05FD8" w:rsidRDefault="004A5710" w:rsidP="002F125D">
      <w:pPr>
        <w:autoSpaceDE w:val="0"/>
        <w:autoSpaceDN w:val="0"/>
        <w:adjustRightInd w:val="0"/>
        <w:spacing w:after="0" w:line="240" w:lineRule="auto"/>
        <w:jc w:val="both"/>
        <w:rPr>
          <w:rFonts w:ascii="Arial" w:hAnsi="Arial" w:cs="Arial"/>
          <w:sz w:val="24"/>
          <w:szCs w:val="24"/>
        </w:rPr>
      </w:pPr>
    </w:p>
    <w:p w14:paraId="1685EA3E" w14:textId="77777777" w:rsidR="002F125D" w:rsidRPr="004A5710" w:rsidRDefault="004A5710" w:rsidP="004A5710">
      <w:pPr>
        <w:shd w:val="clear" w:color="auto" w:fill="FFFFFF"/>
        <w:spacing w:after="0" w:line="240" w:lineRule="auto"/>
        <w:jc w:val="center"/>
        <w:rPr>
          <w:rFonts w:ascii="Arial" w:hAnsi="Arial" w:cs="Arial"/>
          <w:b/>
          <w:sz w:val="20"/>
          <w:szCs w:val="20"/>
        </w:rPr>
      </w:pPr>
      <w:r w:rsidRPr="004A5710">
        <w:rPr>
          <w:rFonts w:ascii="Arial" w:hAnsi="Arial" w:cs="Arial"/>
          <w:b/>
          <w:sz w:val="20"/>
          <w:szCs w:val="20"/>
        </w:rPr>
        <w:t xml:space="preserve">Number of HMOs by Number of Occupants </w:t>
      </w:r>
    </w:p>
    <w:tbl>
      <w:tblPr>
        <w:tblW w:w="7187" w:type="dxa"/>
        <w:tblInd w:w="988" w:type="dxa"/>
        <w:tblLayout w:type="fixed"/>
        <w:tblLook w:val="04A0" w:firstRow="1" w:lastRow="0" w:firstColumn="1" w:lastColumn="0" w:noHBand="0" w:noVBand="1"/>
      </w:tblPr>
      <w:tblGrid>
        <w:gridCol w:w="2395"/>
        <w:gridCol w:w="2396"/>
        <w:gridCol w:w="2396"/>
      </w:tblGrid>
      <w:tr w:rsidR="00D77A24" w:rsidRPr="005B74FC" w14:paraId="6E27DCFC" w14:textId="77777777" w:rsidTr="00D77A24">
        <w:trPr>
          <w:trHeight w:val="247"/>
        </w:trPr>
        <w:tc>
          <w:tcPr>
            <w:tcW w:w="7187" w:type="dxa"/>
            <w:gridSpan w:val="3"/>
            <w:tcBorders>
              <w:top w:val="single" w:sz="4" w:space="0" w:color="auto"/>
              <w:left w:val="single" w:sz="4" w:space="0" w:color="auto"/>
              <w:bottom w:val="single" w:sz="4" w:space="0" w:color="auto"/>
              <w:right w:val="single" w:sz="4" w:space="0" w:color="auto"/>
            </w:tcBorders>
            <w:shd w:val="clear" w:color="000000" w:fill="C0C0C0"/>
            <w:noWrap/>
            <w:vAlign w:val="bottom"/>
          </w:tcPr>
          <w:p w14:paraId="5FF8FDA7" w14:textId="77777777" w:rsidR="00D77A24" w:rsidRPr="005B74FC" w:rsidRDefault="00D77A24" w:rsidP="00F61D36">
            <w:pPr>
              <w:spacing w:after="0" w:line="240" w:lineRule="auto"/>
              <w:jc w:val="center"/>
              <w:rPr>
                <w:rFonts w:eastAsia="Times New Roman" w:cstheme="minorHAnsi"/>
                <w:b/>
                <w:bCs/>
                <w:color w:val="000000"/>
                <w:sz w:val="18"/>
                <w:szCs w:val="18"/>
                <w:lang w:eastAsia="en-GB"/>
              </w:rPr>
            </w:pPr>
            <w:r w:rsidRPr="00367D3E">
              <w:rPr>
                <w:rFonts w:eastAsia="Times New Roman" w:cstheme="minorHAnsi"/>
                <w:b/>
                <w:bCs/>
                <w:color w:val="000000"/>
                <w:sz w:val="18"/>
                <w:szCs w:val="18"/>
                <w:lang w:eastAsia="en-GB"/>
              </w:rPr>
              <w:t>HMOs in St Andrews 07.03.21</w:t>
            </w:r>
          </w:p>
        </w:tc>
      </w:tr>
      <w:tr w:rsidR="00D77A24" w:rsidRPr="00367D3E" w14:paraId="4A0AAF8D" w14:textId="77777777" w:rsidTr="00D77A24">
        <w:trPr>
          <w:trHeight w:val="247"/>
        </w:trPr>
        <w:tc>
          <w:tcPr>
            <w:tcW w:w="2395" w:type="dxa"/>
            <w:tcBorders>
              <w:top w:val="single" w:sz="4" w:space="0" w:color="auto"/>
              <w:left w:val="single" w:sz="4" w:space="0" w:color="auto"/>
              <w:bottom w:val="single" w:sz="4" w:space="0" w:color="auto"/>
              <w:right w:val="single" w:sz="4" w:space="0" w:color="auto"/>
            </w:tcBorders>
            <w:shd w:val="clear" w:color="000000" w:fill="C0C0C0"/>
            <w:noWrap/>
            <w:vAlign w:val="center"/>
          </w:tcPr>
          <w:p w14:paraId="0A55B047" w14:textId="282E3DDF" w:rsidR="00D77A24" w:rsidRPr="00367D3E" w:rsidRDefault="00D77A24" w:rsidP="00F61D36">
            <w:pPr>
              <w:spacing w:after="0" w:line="240" w:lineRule="auto"/>
              <w:jc w:val="center"/>
              <w:rPr>
                <w:rFonts w:eastAsia="Times New Roman" w:cstheme="minorHAnsi"/>
                <w:color w:val="000000"/>
                <w:sz w:val="18"/>
                <w:szCs w:val="18"/>
                <w:lang w:eastAsia="en-GB"/>
              </w:rPr>
            </w:pPr>
            <w:r w:rsidRPr="00367D3E">
              <w:rPr>
                <w:rFonts w:cstheme="minorHAnsi"/>
                <w:b/>
                <w:bCs/>
                <w:sz w:val="18"/>
                <w:szCs w:val="18"/>
              </w:rPr>
              <w:t xml:space="preserve">Permitted </w:t>
            </w:r>
            <w:r>
              <w:rPr>
                <w:rFonts w:cstheme="minorHAnsi"/>
                <w:b/>
                <w:bCs/>
                <w:sz w:val="18"/>
                <w:szCs w:val="18"/>
              </w:rPr>
              <w:t>O</w:t>
            </w:r>
            <w:r w:rsidRPr="00367D3E">
              <w:rPr>
                <w:rFonts w:cstheme="minorHAnsi"/>
                <w:b/>
                <w:bCs/>
                <w:sz w:val="18"/>
                <w:szCs w:val="18"/>
              </w:rPr>
              <w:t>cc</w:t>
            </w:r>
            <w:r>
              <w:rPr>
                <w:rFonts w:cstheme="minorHAnsi"/>
                <w:b/>
                <w:bCs/>
                <w:sz w:val="18"/>
                <w:szCs w:val="18"/>
              </w:rPr>
              <w:t>upants</w:t>
            </w:r>
          </w:p>
        </w:tc>
        <w:tc>
          <w:tcPr>
            <w:tcW w:w="2396" w:type="dxa"/>
            <w:tcBorders>
              <w:top w:val="single" w:sz="4" w:space="0" w:color="auto"/>
              <w:left w:val="nil"/>
              <w:bottom w:val="single" w:sz="4" w:space="0" w:color="auto"/>
              <w:right w:val="single" w:sz="4" w:space="0" w:color="auto"/>
            </w:tcBorders>
            <w:shd w:val="clear" w:color="000000" w:fill="C0C0C0"/>
            <w:noWrap/>
            <w:vAlign w:val="center"/>
          </w:tcPr>
          <w:p w14:paraId="145849AB" w14:textId="77777777" w:rsidR="00D77A24" w:rsidRPr="00367D3E" w:rsidRDefault="00D77A24" w:rsidP="00F61D36">
            <w:pPr>
              <w:spacing w:after="0" w:line="240" w:lineRule="auto"/>
              <w:jc w:val="center"/>
              <w:rPr>
                <w:rFonts w:eastAsia="Times New Roman" w:cstheme="minorHAnsi"/>
                <w:color w:val="000000"/>
                <w:sz w:val="18"/>
                <w:szCs w:val="18"/>
                <w:lang w:eastAsia="en-GB"/>
              </w:rPr>
            </w:pPr>
            <w:r w:rsidRPr="00367D3E">
              <w:rPr>
                <w:rFonts w:cstheme="minorHAnsi"/>
                <w:b/>
                <w:bCs/>
                <w:sz w:val="18"/>
                <w:szCs w:val="18"/>
              </w:rPr>
              <w:t>Tot</w:t>
            </w:r>
            <w:r>
              <w:rPr>
                <w:rFonts w:cstheme="minorHAnsi"/>
                <w:b/>
                <w:bCs/>
                <w:sz w:val="18"/>
                <w:szCs w:val="18"/>
              </w:rPr>
              <w:t>al No. HMOs</w:t>
            </w:r>
          </w:p>
        </w:tc>
        <w:tc>
          <w:tcPr>
            <w:tcW w:w="2396" w:type="dxa"/>
            <w:tcBorders>
              <w:top w:val="single" w:sz="4" w:space="0" w:color="auto"/>
              <w:left w:val="nil"/>
              <w:bottom w:val="single" w:sz="4" w:space="0" w:color="auto"/>
              <w:right w:val="single" w:sz="4" w:space="0" w:color="auto"/>
            </w:tcBorders>
            <w:shd w:val="clear" w:color="000000" w:fill="C0C0C0"/>
            <w:noWrap/>
            <w:vAlign w:val="center"/>
          </w:tcPr>
          <w:p w14:paraId="1A0EEF9A" w14:textId="363CC9C4" w:rsidR="00D77A24" w:rsidRPr="00367D3E" w:rsidRDefault="00D77A24" w:rsidP="00F61D36">
            <w:pPr>
              <w:spacing w:after="0" w:line="240" w:lineRule="auto"/>
              <w:jc w:val="center"/>
              <w:rPr>
                <w:rFonts w:eastAsia="Times New Roman" w:cstheme="minorHAnsi"/>
                <w:color w:val="000000"/>
                <w:sz w:val="18"/>
                <w:szCs w:val="18"/>
                <w:lang w:eastAsia="en-GB"/>
              </w:rPr>
            </w:pPr>
            <w:r>
              <w:rPr>
                <w:rFonts w:cstheme="minorHAnsi"/>
                <w:b/>
                <w:bCs/>
                <w:sz w:val="18"/>
                <w:szCs w:val="18"/>
              </w:rPr>
              <w:t xml:space="preserve">Estimate of </w:t>
            </w:r>
            <w:r>
              <w:rPr>
                <w:rFonts w:cstheme="minorHAnsi"/>
                <w:b/>
                <w:bCs/>
                <w:sz w:val="18"/>
                <w:szCs w:val="18"/>
              </w:rPr>
              <w:t xml:space="preserve">Total </w:t>
            </w:r>
            <w:r>
              <w:rPr>
                <w:rFonts w:cstheme="minorHAnsi"/>
                <w:b/>
                <w:bCs/>
                <w:sz w:val="18"/>
                <w:szCs w:val="18"/>
              </w:rPr>
              <w:t>Occupants</w:t>
            </w:r>
          </w:p>
        </w:tc>
      </w:tr>
      <w:tr w:rsidR="00D77A24" w:rsidRPr="005B74FC" w14:paraId="47CB12ED" w14:textId="77777777" w:rsidTr="00D77A24">
        <w:trPr>
          <w:trHeight w:val="247"/>
        </w:trPr>
        <w:tc>
          <w:tcPr>
            <w:tcW w:w="2395" w:type="dxa"/>
            <w:tcBorders>
              <w:top w:val="nil"/>
              <w:left w:val="single" w:sz="4" w:space="0" w:color="auto"/>
              <w:bottom w:val="single" w:sz="4" w:space="0" w:color="auto"/>
              <w:right w:val="single" w:sz="4" w:space="0" w:color="auto"/>
            </w:tcBorders>
            <w:shd w:val="clear" w:color="auto" w:fill="auto"/>
            <w:vAlign w:val="bottom"/>
            <w:hideMark/>
          </w:tcPr>
          <w:p w14:paraId="16FD8E70"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3</w:t>
            </w:r>
          </w:p>
        </w:tc>
        <w:tc>
          <w:tcPr>
            <w:tcW w:w="2396" w:type="dxa"/>
            <w:tcBorders>
              <w:top w:val="nil"/>
              <w:left w:val="nil"/>
              <w:bottom w:val="single" w:sz="4" w:space="0" w:color="auto"/>
              <w:right w:val="single" w:sz="4" w:space="0" w:color="auto"/>
            </w:tcBorders>
            <w:shd w:val="clear" w:color="auto" w:fill="auto"/>
            <w:vAlign w:val="bottom"/>
            <w:hideMark/>
          </w:tcPr>
          <w:p w14:paraId="184E2CD7"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224</w:t>
            </w:r>
          </w:p>
        </w:tc>
        <w:tc>
          <w:tcPr>
            <w:tcW w:w="2396" w:type="dxa"/>
            <w:tcBorders>
              <w:top w:val="nil"/>
              <w:left w:val="nil"/>
              <w:bottom w:val="single" w:sz="4" w:space="0" w:color="auto"/>
              <w:right w:val="single" w:sz="4" w:space="0" w:color="auto"/>
            </w:tcBorders>
            <w:shd w:val="clear" w:color="auto" w:fill="auto"/>
            <w:noWrap/>
            <w:vAlign w:val="bottom"/>
            <w:hideMark/>
          </w:tcPr>
          <w:p w14:paraId="0A1AF8E5"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672</w:t>
            </w:r>
          </w:p>
        </w:tc>
      </w:tr>
      <w:tr w:rsidR="00D77A24" w:rsidRPr="005B74FC" w14:paraId="0AE22556" w14:textId="77777777" w:rsidTr="00D77A24">
        <w:trPr>
          <w:trHeight w:val="247"/>
        </w:trPr>
        <w:tc>
          <w:tcPr>
            <w:tcW w:w="2395" w:type="dxa"/>
            <w:tcBorders>
              <w:top w:val="nil"/>
              <w:left w:val="single" w:sz="4" w:space="0" w:color="auto"/>
              <w:bottom w:val="single" w:sz="4" w:space="0" w:color="auto"/>
              <w:right w:val="single" w:sz="4" w:space="0" w:color="auto"/>
            </w:tcBorders>
            <w:shd w:val="clear" w:color="auto" w:fill="auto"/>
            <w:vAlign w:val="bottom"/>
            <w:hideMark/>
          </w:tcPr>
          <w:p w14:paraId="54A1EE9B"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4</w:t>
            </w:r>
          </w:p>
        </w:tc>
        <w:tc>
          <w:tcPr>
            <w:tcW w:w="2396" w:type="dxa"/>
            <w:tcBorders>
              <w:top w:val="nil"/>
              <w:left w:val="nil"/>
              <w:bottom w:val="single" w:sz="4" w:space="0" w:color="auto"/>
              <w:right w:val="single" w:sz="4" w:space="0" w:color="auto"/>
            </w:tcBorders>
            <w:shd w:val="clear" w:color="auto" w:fill="auto"/>
            <w:vAlign w:val="bottom"/>
            <w:hideMark/>
          </w:tcPr>
          <w:p w14:paraId="634B8859"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288</w:t>
            </w:r>
          </w:p>
        </w:tc>
        <w:tc>
          <w:tcPr>
            <w:tcW w:w="2396" w:type="dxa"/>
            <w:tcBorders>
              <w:top w:val="nil"/>
              <w:left w:val="nil"/>
              <w:bottom w:val="single" w:sz="4" w:space="0" w:color="auto"/>
              <w:right w:val="single" w:sz="4" w:space="0" w:color="auto"/>
            </w:tcBorders>
            <w:shd w:val="clear" w:color="auto" w:fill="auto"/>
            <w:noWrap/>
            <w:vAlign w:val="bottom"/>
            <w:hideMark/>
          </w:tcPr>
          <w:p w14:paraId="63BAA894"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1152</w:t>
            </w:r>
          </w:p>
        </w:tc>
      </w:tr>
      <w:tr w:rsidR="00D77A24" w:rsidRPr="005B74FC" w14:paraId="423E6240" w14:textId="77777777" w:rsidTr="00D77A24">
        <w:trPr>
          <w:trHeight w:val="247"/>
        </w:trPr>
        <w:tc>
          <w:tcPr>
            <w:tcW w:w="2395" w:type="dxa"/>
            <w:tcBorders>
              <w:top w:val="nil"/>
              <w:left w:val="single" w:sz="4" w:space="0" w:color="auto"/>
              <w:bottom w:val="single" w:sz="4" w:space="0" w:color="auto"/>
              <w:right w:val="single" w:sz="4" w:space="0" w:color="auto"/>
            </w:tcBorders>
            <w:shd w:val="clear" w:color="auto" w:fill="auto"/>
            <w:vAlign w:val="bottom"/>
            <w:hideMark/>
          </w:tcPr>
          <w:p w14:paraId="20BF197A"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5</w:t>
            </w:r>
          </w:p>
        </w:tc>
        <w:tc>
          <w:tcPr>
            <w:tcW w:w="2396" w:type="dxa"/>
            <w:tcBorders>
              <w:top w:val="nil"/>
              <w:left w:val="nil"/>
              <w:bottom w:val="single" w:sz="4" w:space="0" w:color="auto"/>
              <w:right w:val="single" w:sz="4" w:space="0" w:color="auto"/>
            </w:tcBorders>
            <w:shd w:val="clear" w:color="auto" w:fill="auto"/>
            <w:vAlign w:val="bottom"/>
            <w:hideMark/>
          </w:tcPr>
          <w:p w14:paraId="5E4130DD"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442</w:t>
            </w:r>
          </w:p>
        </w:tc>
        <w:tc>
          <w:tcPr>
            <w:tcW w:w="2396" w:type="dxa"/>
            <w:tcBorders>
              <w:top w:val="nil"/>
              <w:left w:val="nil"/>
              <w:bottom w:val="single" w:sz="4" w:space="0" w:color="auto"/>
              <w:right w:val="single" w:sz="4" w:space="0" w:color="auto"/>
            </w:tcBorders>
            <w:shd w:val="clear" w:color="auto" w:fill="auto"/>
            <w:noWrap/>
            <w:vAlign w:val="bottom"/>
            <w:hideMark/>
          </w:tcPr>
          <w:p w14:paraId="05FC7C6F"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2210</w:t>
            </w:r>
          </w:p>
        </w:tc>
      </w:tr>
      <w:tr w:rsidR="00D77A24" w:rsidRPr="005B74FC" w14:paraId="4E838E38" w14:textId="77777777" w:rsidTr="00D77A24">
        <w:trPr>
          <w:trHeight w:val="247"/>
        </w:trPr>
        <w:tc>
          <w:tcPr>
            <w:tcW w:w="2395" w:type="dxa"/>
            <w:tcBorders>
              <w:top w:val="nil"/>
              <w:left w:val="single" w:sz="4" w:space="0" w:color="auto"/>
              <w:bottom w:val="single" w:sz="4" w:space="0" w:color="auto"/>
              <w:right w:val="single" w:sz="4" w:space="0" w:color="auto"/>
            </w:tcBorders>
            <w:shd w:val="clear" w:color="auto" w:fill="auto"/>
            <w:vAlign w:val="bottom"/>
            <w:hideMark/>
          </w:tcPr>
          <w:p w14:paraId="6E4C065E"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6</w:t>
            </w:r>
          </w:p>
        </w:tc>
        <w:tc>
          <w:tcPr>
            <w:tcW w:w="2396" w:type="dxa"/>
            <w:tcBorders>
              <w:top w:val="nil"/>
              <w:left w:val="nil"/>
              <w:bottom w:val="single" w:sz="4" w:space="0" w:color="auto"/>
              <w:right w:val="single" w:sz="4" w:space="0" w:color="auto"/>
            </w:tcBorders>
            <w:shd w:val="clear" w:color="auto" w:fill="auto"/>
            <w:vAlign w:val="bottom"/>
            <w:hideMark/>
          </w:tcPr>
          <w:p w14:paraId="759D2B2C"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44</w:t>
            </w:r>
          </w:p>
        </w:tc>
        <w:tc>
          <w:tcPr>
            <w:tcW w:w="2396" w:type="dxa"/>
            <w:tcBorders>
              <w:top w:val="nil"/>
              <w:left w:val="nil"/>
              <w:bottom w:val="single" w:sz="4" w:space="0" w:color="auto"/>
              <w:right w:val="single" w:sz="4" w:space="0" w:color="auto"/>
            </w:tcBorders>
            <w:shd w:val="clear" w:color="auto" w:fill="auto"/>
            <w:noWrap/>
            <w:vAlign w:val="bottom"/>
            <w:hideMark/>
          </w:tcPr>
          <w:p w14:paraId="298E2DE6"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264</w:t>
            </w:r>
          </w:p>
        </w:tc>
      </w:tr>
      <w:tr w:rsidR="00D77A24" w:rsidRPr="005B74FC" w14:paraId="6E44BB69" w14:textId="77777777" w:rsidTr="00D77A24">
        <w:trPr>
          <w:trHeight w:val="247"/>
        </w:trPr>
        <w:tc>
          <w:tcPr>
            <w:tcW w:w="2395" w:type="dxa"/>
            <w:tcBorders>
              <w:top w:val="nil"/>
              <w:left w:val="single" w:sz="4" w:space="0" w:color="auto"/>
              <w:bottom w:val="single" w:sz="4" w:space="0" w:color="auto"/>
              <w:right w:val="single" w:sz="4" w:space="0" w:color="auto"/>
            </w:tcBorders>
            <w:shd w:val="clear" w:color="auto" w:fill="auto"/>
            <w:vAlign w:val="bottom"/>
            <w:hideMark/>
          </w:tcPr>
          <w:p w14:paraId="27F3E6FE"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7</w:t>
            </w:r>
          </w:p>
        </w:tc>
        <w:tc>
          <w:tcPr>
            <w:tcW w:w="2396" w:type="dxa"/>
            <w:tcBorders>
              <w:top w:val="nil"/>
              <w:left w:val="nil"/>
              <w:bottom w:val="single" w:sz="4" w:space="0" w:color="auto"/>
              <w:right w:val="single" w:sz="4" w:space="0" w:color="auto"/>
            </w:tcBorders>
            <w:shd w:val="clear" w:color="auto" w:fill="auto"/>
            <w:vAlign w:val="bottom"/>
            <w:hideMark/>
          </w:tcPr>
          <w:p w14:paraId="52F16049"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6</w:t>
            </w:r>
          </w:p>
        </w:tc>
        <w:tc>
          <w:tcPr>
            <w:tcW w:w="2396" w:type="dxa"/>
            <w:tcBorders>
              <w:top w:val="nil"/>
              <w:left w:val="nil"/>
              <w:bottom w:val="single" w:sz="4" w:space="0" w:color="auto"/>
              <w:right w:val="single" w:sz="4" w:space="0" w:color="auto"/>
            </w:tcBorders>
            <w:shd w:val="clear" w:color="auto" w:fill="auto"/>
            <w:noWrap/>
            <w:vAlign w:val="bottom"/>
            <w:hideMark/>
          </w:tcPr>
          <w:p w14:paraId="1107AB56"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42</w:t>
            </w:r>
          </w:p>
        </w:tc>
      </w:tr>
      <w:tr w:rsidR="00D77A24" w:rsidRPr="005B74FC" w14:paraId="72D675BD" w14:textId="77777777" w:rsidTr="00D77A24">
        <w:trPr>
          <w:trHeight w:val="247"/>
        </w:trPr>
        <w:tc>
          <w:tcPr>
            <w:tcW w:w="2395" w:type="dxa"/>
            <w:tcBorders>
              <w:top w:val="nil"/>
              <w:left w:val="single" w:sz="4" w:space="0" w:color="auto"/>
              <w:bottom w:val="single" w:sz="4" w:space="0" w:color="auto"/>
              <w:right w:val="single" w:sz="4" w:space="0" w:color="auto"/>
            </w:tcBorders>
            <w:shd w:val="clear" w:color="auto" w:fill="auto"/>
            <w:vAlign w:val="bottom"/>
            <w:hideMark/>
          </w:tcPr>
          <w:p w14:paraId="5DD69BAF"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8</w:t>
            </w:r>
          </w:p>
        </w:tc>
        <w:tc>
          <w:tcPr>
            <w:tcW w:w="2396" w:type="dxa"/>
            <w:tcBorders>
              <w:top w:val="nil"/>
              <w:left w:val="nil"/>
              <w:bottom w:val="single" w:sz="4" w:space="0" w:color="auto"/>
              <w:right w:val="single" w:sz="4" w:space="0" w:color="auto"/>
            </w:tcBorders>
            <w:shd w:val="clear" w:color="auto" w:fill="auto"/>
            <w:vAlign w:val="bottom"/>
            <w:hideMark/>
          </w:tcPr>
          <w:p w14:paraId="0D1F8230"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8</w:t>
            </w:r>
          </w:p>
        </w:tc>
        <w:tc>
          <w:tcPr>
            <w:tcW w:w="2396" w:type="dxa"/>
            <w:tcBorders>
              <w:top w:val="nil"/>
              <w:left w:val="nil"/>
              <w:bottom w:val="single" w:sz="4" w:space="0" w:color="auto"/>
              <w:right w:val="single" w:sz="4" w:space="0" w:color="auto"/>
            </w:tcBorders>
            <w:shd w:val="clear" w:color="auto" w:fill="auto"/>
            <w:noWrap/>
            <w:vAlign w:val="bottom"/>
            <w:hideMark/>
          </w:tcPr>
          <w:p w14:paraId="0CD21759"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64</w:t>
            </w:r>
          </w:p>
        </w:tc>
      </w:tr>
      <w:tr w:rsidR="00D77A24" w:rsidRPr="005B74FC" w14:paraId="674A0616" w14:textId="77777777" w:rsidTr="00D77A24">
        <w:trPr>
          <w:trHeight w:val="247"/>
        </w:trPr>
        <w:tc>
          <w:tcPr>
            <w:tcW w:w="2395" w:type="dxa"/>
            <w:tcBorders>
              <w:top w:val="nil"/>
              <w:left w:val="single" w:sz="4" w:space="0" w:color="auto"/>
              <w:bottom w:val="single" w:sz="4" w:space="0" w:color="auto"/>
              <w:right w:val="single" w:sz="4" w:space="0" w:color="auto"/>
            </w:tcBorders>
            <w:shd w:val="clear" w:color="auto" w:fill="auto"/>
            <w:vAlign w:val="bottom"/>
            <w:hideMark/>
          </w:tcPr>
          <w:p w14:paraId="286FCDA5"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9</w:t>
            </w:r>
          </w:p>
        </w:tc>
        <w:tc>
          <w:tcPr>
            <w:tcW w:w="2396" w:type="dxa"/>
            <w:tcBorders>
              <w:top w:val="nil"/>
              <w:left w:val="nil"/>
              <w:bottom w:val="single" w:sz="4" w:space="0" w:color="auto"/>
              <w:right w:val="single" w:sz="4" w:space="0" w:color="auto"/>
            </w:tcBorders>
            <w:shd w:val="clear" w:color="auto" w:fill="auto"/>
            <w:vAlign w:val="bottom"/>
            <w:hideMark/>
          </w:tcPr>
          <w:p w14:paraId="643101B0"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7</w:t>
            </w:r>
          </w:p>
        </w:tc>
        <w:tc>
          <w:tcPr>
            <w:tcW w:w="2396" w:type="dxa"/>
            <w:tcBorders>
              <w:top w:val="nil"/>
              <w:left w:val="nil"/>
              <w:bottom w:val="single" w:sz="4" w:space="0" w:color="auto"/>
              <w:right w:val="single" w:sz="4" w:space="0" w:color="auto"/>
            </w:tcBorders>
            <w:shd w:val="clear" w:color="auto" w:fill="auto"/>
            <w:noWrap/>
            <w:vAlign w:val="bottom"/>
            <w:hideMark/>
          </w:tcPr>
          <w:p w14:paraId="471AB978"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63</w:t>
            </w:r>
          </w:p>
        </w:tc>
      </w:tr>
      <w:tr w:rsidR="00D77A24" w:rsidRPr="005B74FC" w14:paraId="2AE8B0EB" w14:textId="77777777" w:rsidTr="00D77A24">
        <w:trPr>
          <w:trHeight w:val="247"/>
        </w:trPr>
        <w:tc>
          <w:tcPr>
            <w:tcW w:w="2395" w:type="dxa"/>
            <w:tcBorders>
              <w:top w:val="nil"/>
              <w:left w:val="single" w:sz="4" w:space="0" w:color="auto"/>
              <w:bottom w:val="single" w:sz="4" w:space="0" w:color="auto"/>
              <w:right w:val="single" w:sz="4" w:space="0" w:color="auto"/>
            </w:tcBorders>
            <w:shd w:val="clear" w:color="auto" w:fill="auto"/>
            <w:vAlign w:val="bottom"/>
            <w:hideMark/>
          </w:tcPr>
          <w:p w14:paraId="1DD85D80"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10</w:t>
            </w:r>
          </w:p>
        </w:tc>
        <w:tc>
          <w:tcPr>
            <w:tcW w:w="2396" w:type="dxa"/>
            <w:tcBorders>
              <w:top w:val="nil"/>
              <w:left w:val="nil"/>
              <w:bottom w:val="single" w:sz="4" w:space="0" w:color="auto"/>
              <w:right w:val="single" w:sz="4" w:space="0" w:color="auto"/>
            </w:tcBorders>
            <w:shd w:val="clear" w:color="auto" w:fill="auto"/>
            <w:vAlign w:val="bottom"/>
            <w:hideMark/>
          </w:tcPr>
          <w:p w14:paraId="1087B35F"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7</w:t>
            </w:r>
          </w:p>
        </w:tc>
        <w:tc>
          <w:tcPr>
            <w:tcW w:w="2396" w:type="dxa"/>
            <w:tcBorders>
              <w:top w:val="nil"/>
              <w:left w:val="nil"/>
              <w:bottom w:val="single" w:sz="4" w:space="0" w:color="auto"/>
              <w:right w:val="single" w:sz="4" w:space="0" w:color="auto"/>
            </w:tcBorders>
            <w:shd w:val="clear" w:color="auto" w:fill="auto"/>
            <w:noWrap/>
            <w:vAlign w:val="bottom"/>
            <w:hideMark/>
          </w:tcPr>
          <w:p w14:paraId="40F8FC02"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70</w:t>
            </w:r>
          </w:p>
        </w:tc>
      </w:tr>
      <w:tr w:rsidR="00D77A24" w:rsidRPr="005B74FC" w14:paraId="68F3EBF5" w14:textId="77777777" w:rsidTr="00D77A24">
        <w:trPr>
          <w:trHeight w:val="247"/>
        </w:trPr>
        <w:tc>
          <w:tcPr>
            <w:tcW w:w="2395" w:type="dxa"/>
            <w:tcBorders>
              <w:top w:val="nil"/>
              <w:left w:val="single" w:sz="4" w:space="0" w:color="auto"/>
              <w:bottom w:val="single" w:sz="4" w:space="0" w:color="auto"/>
              <w:right w:val="single" w:sz="4" w:space="0" w:color="auto"/>
            </w:tcBorders>
            <w:shd w:val="clear" w:color="auto" w:fill="auto"/>
            <w:vAlign w:val="bottom"/>
            <w:hideMark/>
          </w:tcPr>
          <w:p w14:paraId="3BD7F932"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14</w:t>
            </w:r>
          </w:p>
        </w:tc>
        <w:tc>
          <w:tcPr>
            <w:tcW w:w="2396" w:type="dxa"/>
            <w:tcBorders>
              <w:top w:val="nil"/>
              <w:left w:val="nil"/>
              <w:bottom w:val="single" w:sz="4" w:space="0" w:color="auto"/>
              <w:right w:val="single" w:sz="4" w:space="0" w:color="auto"/>
            </w:tcBorders>
            <w:shd w:val="clear" w:color="auto" w:fill="auto"/>
            <w:vAlign w:val="bottom"/>
            <w:hideMark/>
          </w:tcPr>
          <w:p w14:paraId="677FB420"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1</w:t>
            </w:r>
          </w:p>
        </w:tc>
        <w:tc>
          <w:tcPr>
            <w:tcW w:w="2396" w:type="dxa"/>
            <w:tcBorders>
              <w:top w:val="nil"/>
              <w:left w:val="nil"/>
              <w:bottom w:val="single" w:sz="4" w:space="0" w:color="auto"/>
              <w:right w:val="single" w:sz="4" w:space="0" w:color="auto"/>
            </w:tcBorders>
            <w:shd w:val="clear" w:color="auto" w:fill="auto"/>
            <w:noWrap/>
            <w:vAlign w:val="bottom"/>
            <w:hideMark/>
          </w:tcPr>
          <w:p w14:paraId="292E1BF9"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14</w:t>
            </w:r>
          </w:p>
        </w:tc>
      </w:tr>
      <w:tr w:rsidR="00D77A24" w:rsidRPr="005B74FC" w14:paraId="4C7D89EF" w14:textId="77777777" w:rsidTr="00D77A24">
        <w:trPr>
          <w:trHeight w:val="247"/>
        </w:trPr>
        <w:tc>
          <w:tcPr>
            <w:tcW w:w="2395" w:type="dxa"/>
            <w:tcBorders>
              <w:top w:val="nil"/>
              <w:left w:val="single" w:sz="4" w:space="0" w:color="auto"/>
              <w:bottom w:val="single" w:sz="4" w:space="0" w:color="auto"/>
              <w:right w:val="single" w:sz="4" w:space="0" w:color="auto"/>
            </w:tcBorders>
            <w:shd w:val="clear" w:color="auto" w:fill="auto"/>
            <w:vAlign w:val="bottom"/>
            <w:hideMark/>
          </w:tcPr>
          <w:p w14:paraId="70B0014C"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16</w:t>
            </w:r>
          </w:p>
        </w:tc>
        <w:tc>
          <w:tcPr>
            <w:tcW w:w="2396" w:type="dxa"/>
            <w:tcBorders>
              <w:top w:val="nil"/>
              <w:left w:val="nil"/>
              <w:bottom w:val="single" w:sz="4" w:space="0" w:color="auto"/>
              <w:right w:val="single" w:sz="4" w:space="0" w:color="auto"/>
            </w:tcBorders>
            <w:shd w:val="clear" w:color="auto" w:fill="auto"/>
            <w:vAlign w:val="bottom"/>
            <w:hideMark/>
          </w:tcPr>
          <w:p w14:paraId="2B2EC502"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1</w:t>
            </w:r>
          </w:p>
        </w:tc>
        <w:tc>
          <w:tcPr>
            <w:tcW w:w="2396" w:type="dxa"/>
            <w:tcBorders>
              <w:top w:val="nil"/>
              <w:left w:val="nil"/>
              <w:bottom w:val="single" w:sz="4" w:space="0" w:color="auto"/>
              <w:right w:val="single" w:sz="4" w:space="0" w:color="auto"/>
            </w:tcBorders>
            <w:shd w:val="clear" w:color="auto" w:fill="auto"/>
            <w:noWrap/>
            <w:vAlign w:val="bottom"/>
            <w:hideMark/>
          </w:tcPr>
          <w:p w14:paraId="3C48B611"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16</w:t>
            </w:r>
          </w:p>
        </w:tc>
      </w:tr>
      <w:tr w:rsidR="00D77A24" w:rsidRPr="005B74FC" w14:paraId="010D281E" w14:textId="77777777" w:rsidTr="00D77A24">
        <w:trPr>
          <w:trHeight w:val="247"/>
        </w:trPr>
        <w:tc>
          <w:tcPr>
            <w:tcW w:w="2395" w:type="dxa"/>
            <w:tcBorders>
              <w:top w:val="nil"/>
              <w:left w:val="single" w:sz="4" w:space="0" w:color="auto"/>
              <w:bottom w:val="single" w:sz="4" w:space="0" w:color="auto"/>
              <w:right w:val="single" w:sz="4" w:space="0" w:color="auto"/>
            </w:tcBorders>
            <w:shd w:val="clear" w:color="auto" w:fill="auto"/>
            <w:vAlign w:val="bottom"/>
            <w:hideMark/>
          </w:tcPr>
          <w:p w14:paraId="072174E9"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20</w:t>
            </w:r>
          </w:p>
        </w:tc>
        <w:tc>
          <w:tcPr>
            <w:tcW w:w="2396" w:type="dxa"/>
            <w:tcBorders>
              <w:top w:val="nil"/>
              <w:left w:val="nil"/>
              <w:bottom w:val="single" w:sz="4" w:space="0" w:color="auto"/>
              <w:right w:val="single" w:sz="4" w:space="0" w:color="auto"/>
            </w:tcBorders>
            <w:shd w:val="clear" w:color="auto" w:fill="auto"/>
            <w:vAlign w:val="bottom"/>
            <w:hideMark/>
          </w:tcPr>
          <w:p w14:paraId="298ED561"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2</w:t>
            </w:r>
          </w:p>
        </w:tc>
        <w:tc>
          <w:tcPr>
            <w:tcW w:w="2396" w:type="dxa"/>
            <w:tcBorders>
              <w:top w:val="nil"/>
              <w:left w:val="nil"/>
              <w:bottom w:val="single" w:sz="4" w:space="0" w:color="auto"/>
              <w:right w:val="single" w:sz="4" w:space="0" w:color="auto"/>
            </w:tcBorders>
            <w:shd w:val="clear" w:color="auto" w:fill="auto"/>
            <w:noWrap/>
            <w:vAlign w:val="bottom"/>
            <w:hideMark/>
          </w:tcPr>
          <w:p w14:paraId="679CAFB2"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40</w:t>
            </w:r>
          </w:p>
        </w:tc>
      </w:tr>
      <w:tr w:rsidR="00D77A24" w:rsidRPr="005B74FC" w14:paraId="5827C10D" w14:textId="77777777" w:rsidTr="00D77A24">
        <w:trPr>
          <w:trHeight w:val="247"/>
        </w:trPr>
        <w:tc>
          <w:tcPr>
            <w:tcW w:w="2395" w:type="dxa"/>
            <w:tcBorders>
              <w:top w:val="nil"/>
              <w:left w:val="single" w:sz="4" w:space="0" w:color="auto"/>
              <w:bottom w:val="single" w:sz="4" w:space="0" w:color="auto"/>
              <w:right w:val="single" w:sz="4" w:space="0" w:color="auto"/>
            </w:tcBorders>
            <w:shd w:val="clear" w:color="auto" w:fill="auto"/>
            <w:vAlign w:val="bottom"/>
            <w:hideMark/>
          </w:tcPr>
          <w:p w14:paraId="70C8C250"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21</w:t>
            </w:r>
          </w:p>
        </w:tc>
        <w:tc>
          <w:tcPr>
            <w:tcW w:w="2396" w:type="dxa"/>
            <w:tcBorders>
              <w:top w:val="nil"/>
              <w:left w:val="nil"/>
              <w:bottom w:val="single" w:sz="4" w:space="0" w:color="auto"/>
              <w:right w:val="single" w:sz="4" w:space="0" w:color="auto"/>
            </w:tcBorders>
            <w:shd w:val="clear" w:color="auto" w:fill="auto"/>
            <w:vAlign w:val="bottom"/>
            <w:hideMark/>
          </w:tcPr>
          <w:p w14:paraId="60D378D6"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2</w:t>
            </w:r>
          </w:p>
        </w:tc>
        <w:tc>
          <w:tcPr>
            <w:tcW w:w="2396" w:type="dxa"/>
            <w:tcBorders>
              <w:top w:val="nil"/>
              <w:left w:val="nil"/>
              <w:bottom w:val="single" w:sz="4" w:space="0" w:color="auto"/>
              <w:right w:val="single" w:sz="4" w:space="0" w:color="auto"/>
            </w:tcBorders>
            <w:shd w:val="clear" w:color="auto" w:fill="auto"/>
            <w:noWrap/>
            <w:vAlign w:val="bottom"/>
            <w:hideMark/>
          </w:tcPr>
          <w:p w14:paraId="2BCFA633"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42</w:t>
            </w:r>
          </w:p>
        </w:tc>
      </w:tr>
      <w:tr w:rsidR="00D77A24" w:rsidRPr="005B74FC" w14:paraId="3DECF0B9" w14:textId="77777777" w:rsidTr="00D77A24">
        <w:trPr>
          <w:trHeight w:val="259"/>
        </w:trPr>
        <w:tc>
          <w:tcPr>
            <w:tcW w:w="2395" w:type="dxa"/>
            <w:tcBorders>
              <w:top w:val="nil"/>
              <w:left w:val="single" w:sz="4" w:space="0" w:color="auto"/>
              <w:bottom w:val="single" w:sz="4" w:space="0" w:color="auto"/>
              <w:right w:val="single" w:sz="4" w:space="0" w:color="auto"/>
            </w:tcBorders>
            <w:shd w:val="clear" w:color="auto" w:fill="auto"/>
            <w:vAlign w:val="bottom"/>
            <w:hideMark/>
          </w:tcPr>
          <w:p w14:paraId="0825F75A"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22</w:t>
            </w:r>
          </w:p>
        </w:tc>
        <w:tc>
          <w:tcPr>
            <w:tcW w:w="2396" w:type="dxa"/>
            <w:tcBorders>
              <w:top w:val="nil"/>
              <w:left w:val="nil"/>
              <w:bottom w:val="single" w:sz="4" w:space="0" w:color="auto"/>
              <w:right w:val="single" w:sz="4" w:space="0" w:color="auto"/>
            </w:tcBorders>
            <w:shd w:val="clear" w:color="auto" w:fill="auto"/>
            <w:vAlign w:val="bottom"/>
            <w:hideMark/>
          </w:tcPr>
          <w:p w14:paraId="338EF331"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1</w:t>
            </w:r>
          </w:p>
        </w:tc>
        <w:tc>
          <w:tcPr>
            <w:tcW w:w="2396" w:type="dxa"/>
            <w:tcBorders>
              <w:top w:val="nil"/>
              <w:left w:val="nil"/>
              <w:bottom w:val="single" w:sz="4" w:space="0" w:color="auto"/>
              <w:right w:val="single" w:sz="4" w:space="0" w:color="auto"/>
            </w:tcBorders>
            <w:shd w:val="clear" w:color="auto" w:fill="auto"/>
            <w:noWrap/>
            <w:vAlign w:val="bottom"/>
            <w:hideMark/>
          </w:tcPr>
          <w:p w14:paraId="0E145AD2"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22</w:t>
            </w:r>
          </w:p>
        </w:tc>
      </w:tr>
      <w:tr w:rsidR="00D77A24" w:rsidRPr="005B74FC" w14:paraId="03641013" w14:textId="77777777" w:rsidTr="00D77A24">
        <w:trPr>
          <w:trHeight w:val="259"/>
        </w:trPr>
        <w:tc>
          <w:tcPr>
            <w:tcW w:w="2395" w:type="dxa"/>
            <w:tcBorders>
              <w:top w:val="nil"/>
              <w:left w:val="single" w:sz="4" w:space="0" w:color="auto"/>
              <w:bottom w:val="single" w:sz="4" w:space="0" w:color="auto"/>
              <w:right w:val="single" w:sz="4" w:space="0" w:color="auto"/>
            </w:tcBorders>
            <w:shd w:val="clear" w:color="auto" w:fill="auto"/>
            <w:vAlign w:val="bottom"/>
            <w:hideMark/>
          </w:tcPr>
          <w:p w14:paraId="45DBB928"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35</w:t>
            </w:r>
          </w:p>
        </w:tc>
        <w:tc>
          <w:tcPr>
            <w:tcW w:w="2396" w:type="dxa"/>
            <w:tcBorders>
              <w:top w:val="nil"/>
              <w:left w:val="nil"/>
              <w:bottom w:val="single" w:sz="4" w:space="0" w:color="auto"/>
              <w:right w:val="single" w:sz="4" w:space="0" w:color="auto"/>
            </w:tcBorders>
            <w:shd w:val="clear" w:color="auto" w:fill="auto"/>
            <w:vAlign w:val="bottom"/>
            <w:hideMark/>
          </w:tcPr>
          <w:p w14:paraId="195B061B"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1</w:t>
            </w:r>
          </w:p>
        </w:tc>
        <w:tc>
          <w:tcPr>
            <w:tcW w:w="2396" w:type="dxa"/>
            <w:tcBorders>
              <w:top w:val="nil"/>
              <w:left w:val="nil"/>
              <w:bottom w:val="single" w:sz="4" w:space="0" w:color="auto"/>
              <w:right w:val="single" w:sz="4" w:space="0" w:color="auto"/>
            </w:tcBorders>
            <w:shd w:val="clear" w:color="auto" w:fill="auto"/>
            <w:noWrap/>
            <w:vAlign w:val="bottom"/>
            <w:hideMark/>
          </w:tcPr>
          <w:p w14:paraId="5405F3BA"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35</w:t>
            </w:r>
          </w:p>
        </w:tc>
      </w:tr>
      <w:tr w:rsidR="00D77A24" w:rsidRPr="005B74FC" w14:paraId="2412B78B" w14:textId="77777777" w:rsidTr="00D77A24">
        <w:trPr>
          <w:trHeight w:val="259"/>
        </w:trPr>
        <w:tc>
          <w:tcPr>
            <w:tcW w:w="2395" w:type="dxa"/>
            <w:tcBorders>
              <w:top w:val="nil"/>
              <w:left w:val="single" w:sz="4" w:space="0" w:color="auto"/>
              <w:bottom w:val="single" w:sz="4" w:space="0" w:color="auto"/>
              <w:right w:val="single" w:sz="4" w:space="0" w:color="auto"/>
            </w:tcBorders>
            <w:shd w:val="clear" w:color="auto" w:fill="auto"/>
            <w:vAlign w:val="bottom"/>
            <w:hideMark/>
          </w:tcPr>
          <w:p w14:paraId="30C952CA"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52</w:t>
            </w:r>
          </w:p>
        </w:tc>
        <w:tc>
          <w:tcPr>
            <w:tcW w:w="2396" w:type="dxa"/>
            <w:tcBorders>
              <w:top w:val="nil"/>
              <w:left w:val="nil"/>
              <w:bottom w:val="single" w:sz="4" w:space="0" w:color="auto"/>
              <w:right w:val="single" w:sz="4" w:space="0" w:color="auto"/>
            </w:tcBorders>
            <w:shd w:val="clear" w:color="auto" w:fill="auto"/>
            <w:vAlign w:val="bottom"/>
            <w:hideMark/>
          </w:tcPr>
          <w:p w14:paraId="3679D777"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1</w:t>
            </w:r>
          </w:p>
        </w:tc>
        <w:tc>
          <w:tcPr>
            <w:tcW w:w="2396" w:type="dxa"/>
            <w:tcBorders>
              <w:top w:val="nil"/>
              <w:left w:val="nil"/>
              <w:bottom w:val="single" w:sz="4" w:space="0" w:color="auto"/>
              <w:right w:val="single" w:sz="4" w:space="0" w:color="auto"/>
            </w:tcBorders>
            <w:shd w:val="clear" w:color="auto" w:fill="auto"/>
            <w:noWrap/>
            <w:vAlign w:val="bottom"/>
            <w:hideMark/>
          </w:tcPr>
          <w:p w14:paraId="7B4BC007"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52</w:t>
            </w:r>
          </w:p>
        </w:tc>
      </w:tr>
      <w:tr w:rsidR="00D77A24" w:rsidRPr="005B74FC" w14:paraId="2FA5F9F3" w14:textId="77777777" w:rsidTr="00D77A24">
        <w:trPr>
          <w:trHeight w:val="259"/>
        </w:trPr>
        <w:tc>
          <w:tcPr>
            <w:tcW w:w="2395" w:type="dxa"/>
            <w:tcBorders>
              <w:top w:val="nil"/>
              <w:left w:val="single" w:sz="4" w:space="0" w:color="auto"/>
              <w:bottom w:val="single" w:sz="4" w:space="0" w:color="auto"/>
              <w:right w:val="single" w:sz="4" w:space="0" w:color="auto"/>
            </w:tcBorders>
            <w:shd w:val="clear" w:color="auto" w:fill="auto"/>
            <w:vAlign w:val="bottom"/>
            <w:hideMark/>
          </w:tcPr>
          <w:p w14:paraId="7D1811A8"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87</w:t>
            </w:r>
          </w:p>
        </w:tc>
        <w:tc>
          <w:tcPr>
            <w:tcW w:w="2396" w:type="dxa"/>
            <w:tcBorders>
              <w:top w:val="nil"/>
              <w:left w:val="nil"/>
              <w:bottom w:val="single" w:sz="4" w:space="0" w:color="auto"/>
              <w:right w:val="single" w:sz="4" w:space="0" w:color="auto"/>
            </w:tcBorders>
            <w:shd w:val="clear" w:color="auto" w:fill="auto"/>
            <w:vAlign w:val="bottom"/>
            <w:hideMark/>
          </w:tcPr>
          <w:p w14:paraId="1F6A42C9"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1</w:t>
            </w:r>
          </w:p>
        </w:tc>
        <w:tc>
          <w:tcPr>
            <w:tcW w:w="2396" w:type="dxa"/>
            <w:tcBorders>
              <w:top w:val="nil"/>
              <w:left w:val="nil"/>
              <w:bottom w:val="single" w:sz="4" w:space="0" w:color="auto"/>
              <w:right w:val="single" w:sz="4" w:space="0" w:color="auto"/>
            </w:tcBorders>
            <w:shd w:val="clear" w:color="auto" w:fill="auto"/>
            <w:noWrap/>
            <w:vAlign w:val="bottom"/>
            <w:hideMark/>
          </w:tcPr>
          <w:p w14:paraId="4A90CA19"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87</w:t>
            </w:r>
          </w:p>
        </w:tc>
      </w:tr>
      <w:tr w:rsidR="00D77A24" w:rsidRPr="005B74FC" w14:paraId="6C202D93" w14:textId="77777777" w:rsidTr="00D77A24">
        <w:trPr>
          <w:trHeight w:val="259"/>
        </w:trPr>
        <w:tc>
          <w:tcPr>
            <w:tcW w:w="2395" w:type="dxa"/>
            <w:tcBorders>
              <w:top w:val="nil"/>
              <w:left w:val="single" w:sz="4" w:space="0" w:color="auto"/>
              <w:bottom w:val="single" w:sz="4" w:space="0" w:color="auto"/>
              <w:right w:val="single" w:sz="4" w:space="0" w:color="auto"/>
            </w:tcBorders>
            <w:shd w:val="clear" w:color="auto" w:fill="auto"/>
            <w:vAlign w:val="bottom"/>
            <w:hideMark/>
          </w:tcPr>
          <w:p w14:paraId="0D72A317"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91</w:t>
            </w:r>
          </w:p>
        </w:tc>
        <w:tc>
          <w:tcPr>
            <w:tcW w:w="2396" w:type="dxa"/>
            <w:tcBorders>
              <w:top w:val="nil"/>
              <w:left w:val="nil"/>
              <w:bottom w:val="single" w:sz="4" w:space="0" w:color="auto"/>
              <w:right w:val="single" w:sz="4" w:space="0" w:color="auto"/>
            </w:tcBorders>
            <w:shd w:val="clear" w:color="auto" w:fill="auto"/>
            <w:vAlign w:val="bottom"/>
            <w:hideMark/>
          </w:tcPr>
          <w:p w14:paraId="01E76B99"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1</w:t>
            </w:r>
          </w:p>
        </w:tc>
        <w:tc>
          <w:tcPr>
            <w:tcW w:w="2396" w:type="dxa"/>
            <w:tcBorders>
              <w:top w:val="nil"/>
              <w:left w:val="nil"/>
              <w:bottom w:val="single" w:sz="4" w:space="0" w:color="auto"/>
              <w:right w:val="single" w:sz="4" w:space="0" w:color="auto"/>
            </w:tcBorders>
            <w:shd w:val="clear" w:color="auto" w:fill="auto"/>
            <w:noWrap/>
            <w:vAlign w:val="bottom"/>
            <w:hideMark/>
          </w:tcPr>
          <w:p w14:paraId="26176F93"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91</w:t>
            </w:r>
          </w:p>
        </w:tc>
      </w:tr>
      <w:tr w:rsidR="00D77A24" w:rsidRPr="005B74FC" w14:paraId="78FD35B8" w14:textId="77777777" w:rsidTr="00D77A24">
        <w:trPr>
          <w:trHeight w:val="259"/>
        </w:trPr>
        <w:tc>
          <w:tcPr>
            <w:tcW w:w="2395" w:type="dxa"/>
            <w:tcBorders>
              <w:top w:val="nil"/>
              <w:left w:val="single" w:sz="4" w:space="0" w:color="auto"/>
              <w:bottom w:val="single" w:sz="4" w:space="0" w:color="auto"/>
              <w:right w:val="single" w:sz="4" w:space="0" w:color="auto"/>
            </w:tcBorders>
            <w:shd w:val="clear" w:color="auto" w:fill="auto"/>
            <w:vAlign w:val="bottom"/>
            <w:hideMark/>
          </w:tcPr>
          <w:p w14:paraId="298142B6"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111</w:t>
            </w:r>
          </w:p>
        </w:tc>
        <w:tc>
          <w:tcPr>
            <w:tcW w:w="2396" w:type="dxa"/>
            <w:tcBorders>
              <w:top w:val="nil"/>
              <w:left w:val="nil"/>
              <w:bottom w:val="single" w:sz="4" w:space="0" w:color="auto"/>
              <w:right w:val="single" w:sz="4" w:space="0" w:color="auto"/>
            </w:tcBorders>
            <w:shd w:val="clear" w:color="auto" w:fill="auto"/>
            <w:vAlign w:val="bottom"/>
            <w:hideMark/>
          </w:tcPr>
          <w:p w14:paraId="5EE8FF94"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1</w:t>
            </w:r>
          </w:p>
        </w:tc>
        <w:tc>
          <w:tcPr>
            <w:tcW w:w="2396" w:type="dxa"/>
            <w:tcBorders>
              <w:top w:val="nil"/>
              <w:left w:val="nil"/>
              <w:bottom w:val="single" w:sz="4" w:space="0" w:color="auto"/>
              <w:right w:val="single" w:sz="4" w:space="0" w:color="auto"/>
            </w:tcBorders>
            <w:shd w:val="clear" w:color="auto" w:fill="auto"/>
            <w:noWrap/>
            <w:vAlign w:val="bottom"/>
            <w:hideMark/>
          </w:tcPr>
          <w:p w14:paraId="2BA1CB33"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111</w:t>
            </w:r>
          </w:p>
        </w:tc>
      </w:tr>
      <w:tr w:rsidR="00D77A24" w:rsidRPr="005B74FC" w14:paraId="516E6AF4" w14:textId="77777777" w:rsidTr="00D77A24">
        <w:trPr>
          <w:trHeight w:val="259"/>
        </w:trPr>
        <w:tc>
          <w:tcPr>
            <w:tcW w:w="2395" w:type="dxa"/>
            <w:tcBorders>
              <w:top w:val="nil"/>
              <w:left w:val="single" w:sz="4" w:space="0" w:color="auto"/>
              <w:bottom w:val="single" w:sz="4" w:space="0" w:color="auto"/>
              <w:right w:val="single" w:sz="4" w:space="0" w:color="auto"/>
            </w:tcBorders>
            <w:shd w:val="clear" w:color="auto" w:fill="auto"/>
            <w:vAlign w:val="bottom"/>
            <w:hideMark/>
          </w:tcPr>
          <w:p w14:paraId="2502DE03"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134</w:t>
            </w:r>
          </w:p>
        </w:tc>
        <w:tc>
          <w:tcPr>
            <w:tcW w:w="2396" w:type="dxa"/>
            <w:tcBorders>
              <w:top w:val="nil"/>
              <w:left w:val="nil"/>
              <w:bottom w:val="single" w:sz="4" w:space="0" w:color="auto"/>
              <w:right w:val="single" w:sz="4" w:space="0" w:color="auto"/>
            </w:tcBorders>
            <w:shd w:val="clear" w:color="auto" w:fill="auto"/>
            <w:vAlign w:val="bottom"/>
            <w:hideMark/>
          </w:tcPr>
          <w:p w14:paraId="7A0BF0D4"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1</w:t>
            </w:r>
          </w:p>
        </w:tc>
        <w:tc>
          <w:tcPr>
            <w:tcW w:w="2396" w:type="dxa"/>
            <w:tcBorders>
              <w:top w:val="nil"/>
              <w:left w:val="nil"/>
              <w:bottom w:val="single" w:sz="4" w:space="0" w:color="auto"/>
              <w:right w:val="single" w:sz="4" w:space="0" w:color="auto"/>
            </w:tcBorders>
            <w:shd w:val="clear" w:color="auto" w:fill="auto"/>
            <w:noWrap/>
            <w:vAlign w:val="bottom"/>
            <w:hideMark/>
          </w:tcPr>
          <w:p w14:paraId="3722E9C1"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134</w:t>
            </w:r>
          </w:p>
        </w:tc>
      </w:tr>
      <w:tr w:rsidR="00D77A24" w:rsidRPr="005B74FC" w14:paraId="4101CBE7" w14:textId="77777777" w:rsidTr="00D77A24">
        <w:trPr>
          <w:trHeight w:val="259"/>
        </w:trPr>
        <w:tc>
          <w:tcPr>
            <w:tcW w:w="2395" w:type="dxa"/>
            <w:tcBorders>
              <w:top w:val="nil"/>
              <w:left w:val="single" w:sz="4" w:space="0" w:color="auto"/>
              <w:bottom w:val="single" w:sz="4" w:space="0" w:color="auto"/>
              <w:right w:val="single" w:sz="4" w:space="0" w:color="auto"/>
            </w:tcBorders>
            <w:shd w:val="clear" w:color="auto" w:fill="auto"/>
            <w:vAlign w:val="bottom"/>
            <w:hideMark/>
          </w:tcPr>
          <w:p w14:paraId="1409E451"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175</w:t>
            </w:r>
          </w:p>
        </w:tc>
        <w:tc>
          <w:tcPr>
            <w:tcW w:w="2396" w:type="dxa"/>
            <w:tcBorders>
              <w:top w:val="nil"/>
              <w:left w:val="nil"/>
              <w:bottom w:val="single" w:sz="4" w:space="0" w:color="auto"/>
              <w:right w:val="single" w:sz="4" w:space="0" w:color="auto"/>
            </w:tcBorders>
            <w:shd w:val="clear" w:color="auto" w:fill="auto"/>
            <w:vAlign w:val="bottom"/>
            <w:hideMark/>
          </w:tcPr>
          <w:p w14:paraId="5A88AA73"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1</w:t>
            </w:r>
          </w:p>
        </w:tc>
        <w:tc>
          <w:tcPr>
            <w:tcW w:w="2396" w:type="dxa"/>
            <w:tcBorders>
              <w:top w:val="nil"/>
              <w:left w:val="nil"/>
              <w:bottom w:val="single" w:sz="4" w:space="0" w:color="auto"/>
              <w:right w:val="single" w:sz="4" w:space="0" w:color="auto"/>
            </w:tcBorders>
            <w:shd w:val="clear" w:color="auto" w:fill="auto"/>
            <w:noWrap/>
            <w:vAlign w:val="bottom"/>
            <w:hideMark/>
          </w:tcPr>
          <w:p w14:paraId="47FFF25E"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175</w:t>
            </w:r>
          </w:p>
        </w:tc>
      </w:tr>
      <w:tr w:rsidR="00D77A24" w:rsidRPr="005B74FC" w14:paraId="0990C7C0" w14:textId="77777777" w:rsidTr="00D77A24">
        <w:trPr>
          <w:trHeight w:val="247"/>
        </w:trPr>
        <w:tc>
          <w:tcPr>
            <w:tcW w:w="2395" w:type="dxa"/>
            <w:tcBorders>
              <w:top w:val="nil"/>
              <w:left w:val="single" w:sz="4" w:space="0" w:color="auto"/>
              <w:bottom w:val="single" w:sz="4" w:space="0" w:color="auto"/>
              <w:right w:val="single" w:sz="4" w:space="0" w:color="auto"/>
            </w:tcBorders>
            <w:shd w:val="clear" w:color="auto" w:fill="auto"/>
            <w:vAlign w:val="bottom"/>
            <w:hideMark/>
          </w:tcPr>
          <w:p w14:paraId="7CF828E4"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184</w:t>
            </w:r>
          </w:p>
        </w:tc>
        <w:tc>
          <w:tcPr>
            <w:tcW w:w="2396" w:type="dxa"/>
            <w:tcBorders>
              <w:top w:val="nil"/>
              <w:left w:val="nil"/>
              <w:bottom w:val="single" w:sz="4" w:space="0" w:color="auto"/>
              <w:right w:val="single" w:sz="4" w:space="0" w:color="auto"/>
            </w:tcBorders>
            <w:shd w:val="clear" w:color="auto" w:fill="auto"/>
            <w:vAlign w:val="bottom"/>
            <w:hideMark/>
          </w:tcPr>
          <w:p w14:paraId="5745BA13"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1</w:t>
            </w:r>
          </w:p>
        </w:tc>
        <w:tc>
          <w:tcPr>
            <w:tcW w:w="2396" w:type="dxa"/>
            <w:tcBorders>
              <w:top w:val="nil"/>
              <w:left w:val="nil"/>
              <w:bottom w:val="single" w:sz="4" w:space="0" w:color="auto"/>
              <w:right w:val="single" w:sz="4" w:space="0" w:color="auto"/>
            </w:tcBorders>
            <w:shd w:val="clear" w:color="auto" w:fill="auto"/>
            <w:noWrap/>
            <w:vAlign w:val="bottom"/>
            <w:hideMark/>
          </w:tcPr>
          <w:p w14:paraId="29003F80"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184</w:t>
            </w:r>
          </w:p>
        </w:tc>
      </w:tr>
      <w:tr w:rsidR="00D77A24" w:rsidRPr="005B74FC" w14:paraId="3044D575" w14:textId="77777777" w:rsidTr="00D77A24">
        <w:trPr>
          <w:trHeight w:val="247"/>
        </w:trPr>
        <w:tc>
          <w:tcPr>
            <w:tcW w:w="2395" w:type="dxa"/>
            <w:tcBorders>
              <w:top w:val="nil"/>
              <w:left w:val="single" w:sz="4" w:space="0" w:color="auto"/>
              <w:bottom w:val="single" w:sz="4" w:space="0" w:color="auto"/>
              <w:right w:val="single" w:sz="4" w:space="0" w:color="auto"/>
            </w:tcBorders>
            <w:shd w:val="clear" w:color="auto" w:fill="auto"/>
            <w:vAlign w:val="bottom"/>
            <w:hideMark/>
          </w:tcPr>
          <w:p w14:paraId="124BD7B6"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194</w:t>
            </w:r>
          </w:p>
        </w:tc>
        <w:tc>
          <w:tcPr>
            <w:tcW w:w="2396" w:type="dxa"/>
            <w:tcBorders>
              <w:top w:val="nil"/>
              <w:left w:val="nil"/>
              <w:bottom w:val="single" w:sz="4" w:space="0" w:color="auto"/>
              <w:right w:val="single" w:sz="4" w:space="0" w:color="auto"/>
            </w:tcBorders>
            <w:shd w:val="clear" w:color="auto" w:fill="auto"/>
            <w:vAlign w:val="bottom"/>
            <w:hideMark/>
          </w:tcPr>
          <w:p w14:paraId="029F151F"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1</w:t>
            </w:r>
          </w:p>
        </w:tc>
        <w:tc>
          <w:tcPr>
            <w:tcW w:w="2396" w:type="dxa"/>
            <w:tcBorders>
              <w:top w:val="nil"/>
              <w:left w:val="nil"/>
              <w:bottom w:val="single" w:sz="4" w:space="0" w:color="auto"/>
              <w:right w:val="single" w:sz="4" w:space="0" w:color="auto"/>
            </w:tcBorders>
            <w:shd w:val="clear" w:color="auto" w:fill="auto"/>
            <w:noWrap/>
            <w:vAlign w:val="bottom"/>
            <w:hideMark/>
          </w:tcPr>
          <w:p w14:paraId="2BF9FBFD"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194</w:t>
            </w:r>
          </w:p>
        </w:tc>
      </w:tr>
      <w:tr w:rsidR="00D77A24" w:rsidRPr="005B74FC" w14:paraId="5324FA6B" w14:textId="77777777" w:rsidTr="00D77A24">
        <w:trPr>
          <w:trHeight w:val="247"/>
        </w:trPr>
        <w:tc>
          <w:tcPr>
            <w:tcW w:w="2395" w:type="dxa"/>
            <w:tcBorders>
              <w:top w:val="nil"/>
              <w:left w:val="single" w:sz="4" w:space="0" w:color="auto"/>
              <w:bottom w:val="single" w:sz="4" w:space="0" w:color="auto"/>
              <w:right w:val="single" w:sz="4" w:space="0" w:color="auto"/>
            </w:tcBorders>
            <w:shd w:val="clear" w:color="auto" w:fill="auto"/>
            <w:vAlign w:val="bottom"/>
            <w:hideMark/>
          </w:tcPr>
          <w:p w14:paraId="5BBDAAFD"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205</w:t>
            </w:r>
          </w:p>
        </w:tc>
        <w:tc>
          <w:tcPr>
            <w:tcW w:w="2396" w:type="dxa"/>
            <w:tcBorders>
              <w:top w:val="nil"/>
              <w:left w:val="nil"/>
              <w:bottom w:val="single" w:sz="4" w:space="0" w:color="auto"/>
              <w:right w:val="single" w:sz="4" w:space="0" w:color="auto"/>
            </w:tcBorders>
            <w:shd w:val="clear" w:color="auto" w:fill="auto"/>
            <w:vAlign w:val="bottom"/>
            <w:hideMark/>
          </w:tcPr>
          <w:p w14:paraId="1655A2AD"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1</w:t>
            </w:r>
          </w:p>
        </w:tc>
        <w:tc>
          <w:tcPr>
            <w:tcW w:w="2396" w:type="dxa"/>
            <w:tcBorders>
              <w:top w:val="nil"/>
              <w:left w:val="nil"/>
              <w:bottom w:val="single" w:sz="4" w:space="0" w:color="auto"/>
              <w:right w:val="single" w:sz="4" w:space="0" w:color="auto"/>
            </w:tcBorders>
            <w:shd w:val="clear" w:color="auto" w:fill="auto"/>
            <w:noWrap/>
            <w:vAlign w:val="bottom"/>
            <w:hideMark/>
          </w:tcPr>
          <w:p w14:paraId="6E4E7680"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205</w:t>
            </w:r>
          </w:p>
        </w:tc>
      </w:tr>
      <w:tr w:rsidR="00D77A24" w:rsidRPr="005B74FC" w14:paraId="6C2F23D1" w14:textId="77777777" w:rsidTr="00D77A24">
        <w:trPr>
          <w:trHeight w:val="247"/>
        </w:trPr>
        <w:tc>
          <w:tcPr>
            <w:tcW w:w="2395" w:type="dxa"/>
            <w:tcBorders>
              <w:top w:val="nil"/>
              <w:left w:val="single" w:sz="4" w:space="0" w:color="auto"/>
              <w:bottom w:val="single" w:sz="4" w:space="0" w:color="auto"/>
              <w:right w:val="single" w:sz="4" w:space="0" w:color="auto"/>
            </w:tcBorders>
            <w:shd w:val="clear" w:color="auto" w:fill="auto"/>
            <w:vAlign w:val="bottom"/>
            <w:hideMark/>
          </w:tcPr>
          <w:p w14:paraId="4CA7C6B1"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242</w:t>
            </w:r>
          </w:p>
        </w:tc>
        <w:tc>
          <w:tcPr>
            <w:tcW w:w="2396" w:type="dxa"/>
            <w:tcBorders>
              <w:top w:val="nil"/>
              <w:left w:val="nil"/>
              <w:bottom w:val="single" w:sz="4" w:space="0" w:color="auto"/>
              <w:right w:val="single" w:sz="4" w:space="0" w:color="auto"/>
            </w:tcBorders>
            <w:shd w:val="clear" w:color="auto" w:fill="auto"/>
            <w:vAlign w:val="bottom"/>
            <w:hideMark/>
          </w:tcPr>
          <w:p w14:paraId="5B7E5CC0"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1</w:t>
            </w:r>
          </w:p>
        </w:tc>
        <w:tc>
          <w:tcPr>
            <w:tcW w:w="2396" w:type="dxa"/>
            <w:tcBorders>
              <w:top w:val="nil"/>
              <w:left w:val="nil"/>
              <w:bottom w:val="single" w:sz="4" w:space="0" w:color="auto"/>
              <w:right w:val="single" w:sz="4" w:space="0" w:color="auto"/>
            </w:tcBorders>
            <w:shd w:val="clear" w:color="auto" w:fill="auto"/>
            <w:noWrap/>
            <w:vAlign w:val="bottom"/>
            <w:hideMark/>
          </w:tcPr>
          <w:p w14:paraId="19B91389"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242</w:t>
            </w:r>
          </w:p>
        </w:tc>
      </w:tr>
      <w:tr w:rsidR="00D77A24" w:rsidRPr="005B74FC" w14:paraId="326EB1C6" w14:textId="77777777" w:rsidTr="00D77A24">
        <w:trPr>
          <w:trHeight w:val="247"/>
        </w:trPr>
        <w:tc>
          <w:tcPr>
            <w:tcW w:w="2395" w:type="dxa"/>
            <w:tcBorders>
              <w:top w:val="nil"/>
              <w:left w:val="single" w:sz="4" w:space="0" w:color="auto"/>
              <w:bottom w:val="single" w:sz="4" w:space="0" w:color="auto"/>
              <w:right w:val="single" w:sz="4" w:space="0" w:color="auto"/>
            </w:tcBorders>
            <w:shd w:val="clear" w:color="auto" w:fill="auto"/>
            <w:vAlign w:val="bottom"/>
            <w:hideMark/>
          </w:tcPr>
          <w:p w14:paraId="677DF9D7"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279</w:t>
            </w:r>
          </w:p>
        </w:tc>
        <w:tc>
          <w:tcPr>
            <w:tcW w:w="2396" w:type="dxa"/>
            <w:tcBorders>
              <w:top w:val="nil"/>
              <w:left w:val="nil"/>
              <w:bottom w:val="single" w:sz="4" w:space="0" w:color="auto"/>
              <w:right w:val="single" w:sz="4" w:space="0" w:color="auto"/>
            </w:tcBorders>
            <w:shd w:val="clear" w:color="auto" w:fill="auto"/>
            <w:vAlign w:val="bottom"/>
            <w:hideMark/>
          </w:tcPr>
          <w:p w14:paraId="66E6A31E"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1</w:t>
            </w:r>
          </w:p>
        </w:tc>
        <w:tc>
          <w:tcPr>
            <w:tcW w:w="2396" w:type="dxa"/>
            <w:tcBorders>
              <w:top w:val="nil"/>
              <w:left w:val="nil"/>
              <w:bottom w:val="single" w:sz="4" w:space="0" w:color="auto"/>
              <w:right w:val="single" w:sz="4" w:space="0" w:color="auto"/>
            </w:tcBorders>
            <w:shd w:val="clear" w:color="auto" w:fill="auto"/>
            <w:noWrap/>
            <w:vAlign w:val="bottom"/>
            <w:hideMark/>
          </w:tcPr>
          <w:p w14:paraId="390C92F6"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279</w:t>
            </w:r>
          </w:p>
        </w:tc>
      </w:tr>
      <w:tr w:rsidR="00D77A24" w:rsidRPr="005B74FC" w14:paraId="402F0FF4" w14:textId="77777777" w:rsidTr="00D77A24">
        <w:trPr>
          <w:trHeight w:val="247"/>
        </w:trPr>
        <w:tc>
          <w:tcPr>
            <w:tcW w:w="2395" w:type="dxa"/>
            <w:tcBorders>
              <w:top w:val="nil"/>
              <w:left w:val="single" w:sz="4" w:space="0" w:color="auto"/>
              <w:bottom w:val="single" w:sz="4" w:space="0" w:color="auto"/>
              <w:right w:val="single" w:sz="4" w:space="0" w:color="auto"/>
            </w:tcBorders>
            <w:shd w:val="clear" w:color="auto" w:fill="auto"/>
            <w:vAlign w:val="bottom"/>
            <w:hideMark/>
          </w:tcPr>
          <w:p w14:paraId="5BA6BA91"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534</w:t>
            </w:r>
          </w:p>
        </w:tc>
        <w:tc>
          <w:tcPr>
            <w:tcW w:w="2396" w:type="dxa"/>
            <w:tcBorders>
              <w:top w:val="nil"/>
              <w:left w:val="nil"/>
              <w:bottom w:val="single" w:sz="4" w:space="0" w:color="auto"/>
              <w:right w:val="single" w:sz="4" w:space="0" w:color="auto"/>
            </w:tcBorders>
            <w:shd w:val="clear" w:color="auto" w:fill="auto"/>
            <w:vAlign w:val="bottom"/>
            <w:hideMark/>
          </w:tcPr>
          <w:p w14:paraId="26502B03"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1</w:t>
            </w:r>
          </w:p>
        </w:tc>
        <w:tc>
          <w:tcPr>
            <w:tcW w:w="2396" w:type="dxa"/>
            <w:tcBorders>
              <w:top w:val="nil"/>
              <w:left w:val="nil"/>
              <w:bottom w:val="single" w:sz="4" w:space="0" w:color="auto"/>
              <w:right w:val="single" w:sz="4" w:space="0" w:color="auto"/>
            </w:tcBorders>
            <w:shd w:val="clear" w:color="auto" w:fill="auto"/>
            <w:noWrap/>
            <w:vAlign w:val="bottom"/>
            <w:hideMark/>
          </w:tcPr>
          <w:p w14:paraId="6C8EDFDD" w14:textId="77777777" w:rsidR="00D77A24" w:rsidRPr="005B74FC" w:rsidRDefault="00D77A24" w:rsidP="00F61D36">
            <w:pPr>
              <w:spacing w:after="0" w:line="240" w:lineRule="auto"/>
              <w:jc w:val="center"/>
              <w:rPr>
                <w:rFonts w:eastAsia="Times New Roman" w:cstheme="minorHAnsi"/>
                <w:color w:val="000000"/>
                <w:sz w:val="18"/>
                <w:szCs w:val="18"/>
                <w:lang w:eastAsia="en-GB"/>
              </w:rPr>
            </w:pPr>
            <w:r w:rsidRPr="005B74FC">
              <w:rPr>
                <w:rFonts w:eastAsia="Times New Roman" w:cstheme="minorHAnsi"/>
                <w:color w:val="000000"/>
                <w:sz w:val="18"/>
                <w:szCs w:val="18"/>
                <w:lang w:eastAsia="en-GB"/>
              </w:rPr>
              <w:t>534</w:t>
            </w:r>
          </w:p>
        </w:tc>
      </w:tr>
      <w:tr w:rsidR="00D77A24" w:rsidRPr="005B74FC" w14:paraId="17AF649C" w14:textId="77777777" w:rsidTr="00D77A24">
        <w:trPr>
          <w:trHeight w:val="247"/>
        </w:trPr>
        <w:tc>
          <w:tcPr>
            <w:tcW w:w="2395" w:type="dxa"/>
            <w:tcBorders>
              <w:top w:val="nil"/>
              <w:left w:val="single" w:sz="4" w:space="0" w:color="auto"/>
              <w:bottom w:val="single" w:sz="4" w:space="0" w:color="auto"/>
              <w:right w:val="single" w:sz="4" w:space="0" w:color="auto"/>
            </w:tcBorders>
            <w:shd w:val="clear" w:color="000000" w:fill="BFBFBF"/>
            <w:noWrap/>
            <w:vAlign w:val="bottom"/>
            <w:hideMark/>
          </w:tcPr>
          <w:p w14:paraId="6883E86B" w14:textId="77777777" w:rsidR="00D77A24" w:rsidRPr="005B74FC" w:rsidRDefault="00D77A24" w:rsidP="00F61D36">
            <w:pPr>
              <w:spacing w:after="0" w:line="240" w:lineRule="auto"/>
              <w:jc w:val="center"/>
              <w:rPr>
                <w:rFonts w:eastAsia="Times New Roman" w:cstheme="minorHAnsi"/>
                <w:b/>
                <w:bCs/>
                <w:color w:val="000000"/>
                <w:sz w:val="18"/>
                <w:szCs w:val="18"/>
                <w:lang w:eastAsia="en-GB"/>
              </w:rPr>
            </w:pPr>
            <w:r w:rsidRPr="005B74FC">
              <w:rPr>
                <w:rFonts w:eastAsia="Times New Roman" w:cstheme="minorHAnsi"/>
                <w:b/>
                <w:bCs/>
                <w:color w:val="000000"/>
                <w:sz w:val="18"/>
                <w:szCs w:val="18"/>
                <w:lang w:eastAsia="en-GB"/>
              </w:rPr>
              <w:t>Total</w:t>
            </w:r>
          </w:p>
        </w:tc>
        <w:tc>
          <w:tcPr>
            <w:tcW w:w="2396" w:type="dxa"/>
            <w:tcBorders>
              <w:top w:val="nil"/>
              <w:left w:val="nil"/>
              <w:bottom w:val="single" w:sz="4" w:space="0" w:color="auto"/>
              <w:right w:val="single" w:sz="4" w:space="0" w:color="auto"/>
            </w:tcBorders>
            <w:shd w:val="clear" w:color="000000" w:fill="BFBFBF"/>
            <w:noWrap/>
            <w:vAlign w:val="bottom"/>
            <w:hideMark/>
          </w:tcPr>
          <w:p w14:paraId="2778367A" w14:textId="77777777" w:rsidR="00D77A24" w:rsidRPr="005B74FC" w:rsidRDefault="00D77A24" w:rsidP="00F61D36">
            <w:pPr>
              <w:spacing w:after="0" w:line="240" w:lineRule="auto"/>
              <w:jc w:val="center"/>
              <w:rPr>
                <w:rFonts w:eastAsia="Times New Roman" w:cstheme="minorHAnsi"/>
                <w:b/>
                <w:bCs/>
                <w:color w:val="000000"/>
                <w:sz w:val="18"/>
                <w:szCs w:val="18"/>
                <w:lang w:eastAsia="en-GB"/>
              </w:rPr>
            </w:pPr>
            <w:r w:rsidRPr="005B74FC">
              <w:rPr>
                <w:rFonts w:eastAsia="Times New Roman" w:cstheme="minorHAnsi"/>
                <w:b/>
                <w:bCs/>
                <w:color w:val="000000"/>
                <w:sz w:val="18"/>
                <w:szCs w:val="18"/>
                <w:lang w:eastAsia="en-GB"/>
              </w:rPr>
              <w:t>1</w:t>
            </w:r>
            <w:r>
              <w:rPr>
                <w:rFonts w:eastAsia="Times New Roman" w:cstheme="minorHAnsi"/>
                <w:b/>
                <w:bCs/>
                <w:color w:val="000000"/>
                <w:sz w:val="18"/>
                <w:szCs w:val="18"/>
                <w:lang w:eastAsia="en-GB"/>
              </w:rPr>
              <w:t>,</w:t>
            </w:r>
            <w:r w:rsidRPr="005B74FC">
              <w:rPr>
                <w:rFonts w:eastAsia="Times New Roman" w:cstheme="minorHAnsi"/>
                <w:b/>
                <w:bCs/>
                <w:color w:val="000000"/>
                <w:sz w:val="18"/>
                <w:szCs w:val="18"/>
                <w:lang w:eastAsia="en-GB"/>
              </w:rPr>
              <w:t>046</w:t>
            </w:r>
          </w:p>
        </w:tc>
        <w:tc>
          <w:tcPr>
            <w:tcW w:w="2396" w:type="dxa"/>
            <w:tcBorders>
              <w:top w:val="nil"/>
              <w:left w:val="nil"/>
              <w:bottom w:val="single" w:sz="4" w:space="0" w:color="auto"/>
              <w:right w:val="single" w:sz="4" w:space="0" w:color="auto"/>
            </w:tcBorders>
            <w:shd w:val="clear" w:color="000000" w:fill="BFBFBF"/>
            <w:noWrap/>
            <w:vAlign w:val="bottom"/>
            <w:hideMark/>
          </w:tcPr>
          <w:p w14:paraId="49CEA57C" w14:textId="77777777" w:rsidR="00D77A24" w:rsidRPr="005B74FC" w:rsidRDefault="00D77A24" w:rsidP="00F61D36">
            <w:pPr>
              <w:spacing w:after="0" w:line="240" w:lineRule="auto"/>
              <w:jc w:val="center"/>
              <w:rPr>
                <w:rFonts w:eastAsia="Times New Roman" w:cstheme="minorHAnsi"/>
                <w:b/>
                <w:bCs/>
                <w:color w:val="000000"/>
                <w:sz w:val="18"/>
                <w:szCs w:val="18"/>
                <w:lang w:eastAsia="en-GB"/>
              </w:rPr>
            </w:pPr>
            <w:r w:rsidRPr="005B74FC">
              <w:rPr>
                <w:rFonts w:eastAsia="Times New Roman" w:cstheme="minorHAnsi"/>
                <w:b/>
                <w:bCs/>
                <w:color w:val="000000"/>
                <w:sz w:val="18"/>
                <w:szCs w:val="18"/>
                <w:lang w:eastAsia="en-GB"/>
              </w:rPr>
              <w:t>6</w:t>
            </w:r>
            <w:r>
              <w:rPr>
                <w:rFonts w:eastAsia="Times New Roman" w:cstheme="minorHAnsi"/>
                <w:b/>
                <w:bCs/>
                <w:color w:val="000000"/>
                <w:sz w:val="18"/>
                <w:szCs w:val="18"/>
                <w:lang w:eastAsia="en-GB"/>
              </w:rPr>
              <w:t>,</w:t>
            </w:r>
            <w:r w:rsidRPr="005B74FC">
              <w:rPr>
                <w:rFonts w:eastAsia="Times New Roman" w:cstheme="minorHAnsi"/>
                <w:b/>
                <w:bCs/>
                <w:color w:val="000000"/>
                <w:sz w:val="18"/>
                <w:szCs w:val="18"/>
                <w:lang w:eastAsia="en-GB"/>
              </w:rPr>
              <w:t>994</w:t>
            </w:r>
          </w:p>
        </w:tc>
      </w:tr>
    </w:tbl>
    <w:p w14:paraId="3C1742A1" w14:textId="52E27818" w:rsidR="004A5710" w:rsidRPr="003D793A" w:rsidRDefault="004A5710" w:rsidP="004A5710">
      <w:pPr>
        <w:tabs>
          <w:tab w:val="left" w:pos="0"/>
        </w:tabs>
        <w:spacing w:after="120"/>
        <w:jc w:val="both"/>
        <w:rPr>
          <w:rFonts w:ascii="Arial" w:hAnsi="Arial" w:cs="Arial"/>
          <w:sz w:val="24"/>
          <w:szCs w:val="24"/>
        </w:rPr>
      </w:pPr>
      <w:r w:rsidRPr="003D793A">
        <w:rPr>
          <w:rFonts w:ascii="Arial" w:hAnsi="Arial" w:cs="Arial"/>
          <w:sz w:val="24"/>
          <w:szCs w:val="24"/>
        </w:rPr>
        <w:lastRenderedPageBreak/>
        <w:t xml:space="preserve">Fife Council </w:t>
      </w:r>
      <w:r w:rsidRPr="00B47164">
        <w:rPr>
          <w:rFonts w:ascii="Arial" w:hAnsi="Arial" w:cs="Arial"/>
          <w:sz w:val="24"/>
          <w:szCs w:val="24"/>
        </w:rPr>
        <w:t>introduced a Fife-wide HMO overprovision policy on 30</w:t>
      </w:r>
      <w:r w:rsidRPr="00B47164">
        <w:rPr>
          <w:rFonts w:ascii="Arial" w:hAnsi="Arial" w:cs="Arial"/>
          <w:sz w:val="24"/>
          <w:szCs w:val="24"/>
          <w:vertAlign w:val="superscript"/>
        </w:rPr>
        <w:t>th</w:t>
      </w:r>
      <w:r w:rsidRPr="00B47164">
        <w:rPr>
          <w:rFonts w:ascii="Arial" w:hAnsi="Arial" w:cs="Arial"/>
          <w:sz w:val="24"/>
          <w:szCs w:val="24"/>
        </w:rPr>
        <w:t xml:space="preserve"> August 2018 </w:t>
      </w:r>
      <w:r w:rsidR="00D77A24">
        <w:rPr>
          <w:rFonts w:ascii="Arial" w:hAnsi="Arial" w:cs="Arial"/>
          <w:sz w:val="24"/>
          <w:szCs w:val="24"/>
        </w:rPr>
        <w:t>after considering the level of</w:t>
      </w:r>
      <w:r w:rsidRPr="00B47164">
        <w:rPr>
          <w:rFonts w:ascii="Arial" w:hAnsi="Arial" w:cs="Arial"/>
          <w:sz w:val="24"/>
          <w:szCs w:val="24"/>
        </w:rPr>
        <w:t xml:space="preserve"> housing need and demand, the operation of local housing markets, the HMO policy </w:t>
      </w:r>
      <w:proofErr w:type="gramStart"/>
      <w:r w:rsidRPr="00B47164">
        <w:rPr>
          <w:rFonts w:ascii="Arial" w:hAnsi="Arial" w:cs="Arial"/>
          <w:sz w:val="24"/>
          <w:szCs w:val="24"/>
        </w:rPr>
        <w:t>framework</w:t>
      </w:r>
      <w:proofErr w:type="gramEnd"/>
      <w:r w:rsidRPr="00B47164">
        <w:rPr>
          <w:rFonts w:ascii="Arial" w:hAnsi="Arial" w:cs="Arial"/>
          <w:sz w:val="24"/>
          <w:szCs w:val="24"/>
        </w:rPr>
        <w:t xml:space="preserve"> and the provision of HMO accommodation across Fife.  After detailed consultation with resident households</w:t>
      </w:r>
      <w:r>
        <w:rPr>
          <w:rFonts w:ascii="Arial" w:hAnsi="Arial" w:cs="Arial"/>
          <w:sz w:val="24"/>
          <w:szCs w:val="24"/>
        </w:rPr>
        <w:t xml:space="preserve"> (see ‘Consultation’ below)</w:t>
      </w:r>
      <w:r w:rsidRPr="00B47164">
        <w:rPr>
          <w:rFonts w:ascii="Arial" w:hAnsi="Arial" w:cs="Arial"/>
          <w:sz w:val="24"/>
          <w:szCs w:val="24"/>
        </w:rPr>
        <w:t>, organisations and students in St Andrews, it was agreed, in April 2019, to implement the HMO overprovision policy within St Andrews based on 0% increase in the number of HMOs, i.e. no further growth.</w:t>
      </w:r>
    </w:p>
    <w:p w14:paraId="6363E198" w14:textId="77777777" w:rsidR="004A5710" w:rsidRPr="003D793A" w:rsidRDefault="004A5710" w:rsidP="004A5710">
      <w:pPr>
        <w:tabs>
          <w:tab w:val="left" w:pos="0"/>
        </w:tabs>
        <w:spacing w:before="240" w:after="120"/>
        <w:jc w:val="both"/>
        <w:rPr>
          <w:rFonts w:ascii="Arial" w:hAnsi="Arial" w:cs="Arial"/>
          <w:sz w:val="24"/>
          <w:szCs w:val="24"/>
        </w:rPr>
      </w:pPr>
      <w:r w:rsidRPr="003D793A">
        <w:rPr>
          <w:rFonts w:ascii="Arial" w:hAnsi="Arial" w:cs="Arial"/>
          <w:color w:val="FF0000"/>
          <w:sz w:val="24"/>
          <w:szCs w:val="24"/>
        </w:rPr>
        <w:t>Locality</w:t>
      </w:r>
    </w:p>
    <w:p w14:paraId="09D26C86" w14:textId="77777777" w:rsidR="004A5710" w:rsidRPr="003D793A" w:rsidRDefault="004A5710" w:rsidP="004A5710">
      <w:pPr>
        <w:spacing w:after="120"/>
        <w:jc w:val="both"/>
        <w:rPr>
          <w:rStyle w:val="Bold"/>
          <w:rFonts w:ascii="Arial" w:hAnsi="Arial" w:cs="Arial"/>
          <w:b w:val="0"/>
        </w:rPr>
      </w:pPr>
      <w:r w:rsidRPr="003D793A">
        <w:rPr>
          <w:rStyle w:val="Bold"/>
          <w:rFonts w:ascii="Arial" w:hAnsi="Arial" w:cs="Arial"/>
          <w:b w:val="0"/>
          <w:sz w:val="24"/>
          <w:szCs w:val="24"/>
        </w:rPr>
        <w:t>The locality area for the purposes of the HMO overprovision policy is the ‘defined settlement envelope of St Andrews’ as mapped in Appendix 1.</w:t>
      </w:r>
      <w:r w:rsidRPr="003D793A">
        <w:rPr>
          <w:rStyle w:val="Bold"/>
          <w:rFonts w:ascii="Arial" w:hAnsi="Arial" w:cs="Arial"/>
          <w:b w:val="0"/>
        </w:rPr>
        <w:t xml:space="preserve">  </w:t>
      </w:r>
    </w:p>
    <w:p w14:paraId="6899FE29" w14:textId="77777777" w:rsidR="004A5710" w:rsidRDefault="004A5710" w:rsidP="002F125D">
      <w:pPr>
        <w:autoSpaceDE w:val="0"/>
        <w:autoSpaceDN w:val="0"/>
        <w:adjustRightInd w:val="0"/>
        <w:spacing w:after="0" w:line="240" w:lineRule="auto"/>
        <w:rPr>
          <w:rFonts w:ascii="Arial" w:hAnsi="Arial" w:cs="Arial"/>
          <w:color w:val="FF0000"/>
          <w:sz w:val="24"/>
          <w:szCs w:val="24"/>
        </w:rPr>
      </w:pPr>
    </w:p>
    <w:p w14:paraId="17AA4108" w14:textId="77777777" w:rsidR="002F125D" w:rsidRPr="004A5710" w:rsidRDefault="002F125D" w:rsidP="002F125D">
      <w:pPr>
        <w:autoSpaceDE w:val="0"/>
        <w:autoSpaceDN w:val="0"/>
        <w:adjustRightInd w:val="0"/>
        <w:spacing w:after="0" w:line="240" w:lineRule="auto"/>
        <w:rPr>
          <w:rFonts w:ascii="Arial" w:hAnsi="Arial" w:cs="Arial"/>
          <w:color w:val="FF0000"/>
          <w:sz w:val="24"/>
          <w:szCs w:val="24"/>
        </w:rPr>
      </w:pPr>
      <w:r w:rsidRPr="004A5710">
        <w:rPr>
          <w:rFonts w:ascii="Arial" w:hAnsi="Arial" w:cs="Arial"/>
          <w:color w:val="FF0000"/>
          <w:sz w:val="24"/>
          <w:szCs w:val="24"/>
        </w:rPr>
        <w:t xml:space="preserve">Consultation </w:t>
      </w:r>
    </w:p>
    <w:p w14:paraId="798D803B" w14:textId="77777777" w:rsidR="002F125D" w:rsidRPr="00F05FD8" w:rsidRDefault="002F125D" w:rsidP="002F125D">
      <w:pPr>
        <w:autoSpaceDE w:val="0"/>
        <w:autoSpaceDN w:val="0"/>
        <w:adjustRightInd w:val="0"/>
        <w:spacing w:after="0" w:line="240" w:lineRule="auto"/>
        <w:rPr>
          <w:rFonts w:ascii="Arial" w:hAnsi="Arial" w:cs="Arial"/>
          <w:sz w:val="24"/>
          <w:szCs w:val="24"/>
        </w:rPr>
      </w:pPr>
    </w:p>
    <w:p w14:paraId="447D5DB5" w14:textId="77777777" w:rsidR="002F125D" w:rsidRPr="00F05FD8" w:rsidRDefault="004A5710" w:rsidP="00B85FC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The</w:t>
      </w:r>
      <w:r w:rsidR="002F125D" w:rsidRPr="00F05FD8">
        <w:rPr>
          <w:rFonts w:ascii="Arial" w:hAnsi="Arial" w:cs="Arial"/>
          <w:sz w:val="24"/>
          <w:szCs w:val="24"/>
        </w:rPr>
        <w:t xml:space="preserve"> Community and Housing Services Committee on the 30th August</w:t>
      </w:r>
      <w:r w:rsidR="00B85FCA" w:rsidRPr="00F05FD8">
        <w:rPr>
          <w:rFonts w:ascii="Arial" w:hAnsi="Arial" w:cs="Arial"/>
          <w:sz w:val="24"/>
          <w:szCs w:val="24"/>
        </w:rPr>
        <w:t xml:space="preserve"> </w:t>
      </w:r>
      <w:r w:rsidR="002F125D" w:rsidRPr="00F05FD8">
        <w:rPr>
          <w:rFonts w:ascii="Arial" w:hAnsi="Arial" w:cs="Arial"/>
          <w:sz w:val="24"/>
          <w:szCs w:val="24"/>
        </w:rPr>
        <w:t>2018</w:t>
      </w:r>
      <w:r w:rsidR="00223C35">
        <w:rPr>
          <w:rFonts w:ascii="Arial" w:hAnsi="Arial" w:cs="Arial"/>
          <w:sz w:val="24"/>
          <w:szCs w:val="24"/>
        </w:rPr>
        <w:t xml:space="preserve"> </w:t>
      </w:r>
      <w:r w:rsidR="002F125D" w:rsidRPr="00F05FD8">
        <w:rPr>
          <w:rFonts w:ascii="Arial" w:hAnsi="Arial" w:cs="Arial"/>
          <w:sz w:val="24"/>
          <w:szCs w:val="24"/>
        </w:rPr>
        <w:t>agreed to form an elected members’ working group to oversee</w:t>
      </w:r>
      <w:r w:rsidR="00B85FCA" w:rsidRPr="00F05FD8">
        <w:rPr>
          <w:rFonts w:ascii="Arial" w:hAnsi="Arial" w:cs="Arial"/>
          <w:sz w:val="24"/>
          <w:szCs w:val="24"/>
        </w:rPr>
        <w:t xml:space="preserve"> </w:t>
      </w:r>
      <w:r w:rsidR="002F125D" w:rsidRPr="00F05FD8">
        <w:rPr>
          <w:rFonts w:ascii="Arial" w:hAnsi="Arial" w:cs="Arial"/>
          <w:sz w:val="24"/>
          <w:szCs w:val="24"/>
        </w:rPr>
        <w:t>consultation with residents, stakeholder groups and students in St Andrews –</w:t>
      </w:r>
      <w:r w:rsidR="00B85FCA" w:rsidRPr="00F05FD8">
        <w:rPr>
          <w:rFonts w:ascii="Arial" w:hAnsi="Arial" w:cs="Arial"/>
          <w:sz w:val="24"/>
          <w:szCs w:val="24"/>
        </w:rPr>
        <w:t xml:space="preserve"> </w:t>
      </w:r>
      <w:r w:rsidR="002F125D" w:rsidRPr="00F05FD8">
        <w:rPr>
          <w:rFonts w:ascii="Arial" w:hAnsi="Arial" w:cs="Arial"/>
          <w:sz w:val="24"/>
          <w:szCs w:val="24"/>
        </w:rPr>
        <w:t>including the Housing Convener, Vice-Convener, Chair of the North-East Fife Area</w:t>
      </w:r>
      <w:r w:rsidR="00B85FCA" w:rsidRPr="00F05FD8">
        <w:rPr>
          <w:rFonts w:ascii="Arial" w:hAnsi="Arial" w:cs="Arial"/>
          <w:sz w:val="24"/>
          <w:szCs w:val="24"/>
        </w:rPr>
        <w:t xml:space="preserve"> </w:t>
      </w:r>
      <w:r w:rsidR="002F125D" w:rsidRPr="00F05FD8">
        <w:rPr>
          <w:rFonts w:ascii="Arial" w:hAnsi="Arial" w:cs="Arial"/>
          <w:sz w:val="24"/>
          <w:szCs w:val="24"/>
        </w:rPr>
        <w:t>Committee and St Andrews’ Ward members. The Committee stated a preference</w:t>
      </w:r>
      <w:r w:rsidR="00B85FCA" w:rsidRPr="00F05FD8">
        <w:rPr>
          <w:rFonts w:ascii="Arial" w:hAnsi="Arial" w:cs="Arial"/>
          <w:sz w:val="24"/>
          <w:szCs w:val="24"/>
        </w:rPr>
        <w:t xml:space="preserve"> </w:t>
      </w:r>
      <w:r w:rsidR="002F125D" w:rsidRPr="00F05FD8">
        <w:rPr>
          <w:rFonts w:ascii="Arial" w:hAnsi="Arial" w:cs="Arial"/>
          <w:sz w:val="24"/>
          <w:szCs w:val="24"/>
        </w:rPr>
        <w:t>based on information at that time, for the HMO overprovision policy for Fife to be</w:t>
      </w:r>
      <w:r w:rsidR="00B85FCA" w:rsidRPr="00F05FD8">
        <w:rPr>
          <w:rFonts w:ascii="Arial" w:hAnsi="Arial" w:cs="Arial"/>
          <w:sz w:val="24"/>
          <w:szCs w:val="24"/>
        </w:rPr>
        <w:t xml:space="preserve"> </w:t>
      </w:r>
      <w:r w:rsidR="002F125D" w:rsidRPr="00F05FD8">
        <w:rPr>
          <w:rFonts w:ascii="Arial" w:hAnsi="Arial" w:cs="Arial"/>
          <w:sz w:val="24"/>
          <w:szCs w:val="24"/>
        </w:rPr>
        <w:t xml:space="preserve">implemented in St Andrews </w:t>
      </w:r>
      <w:r w:rsidRPr="00F05FD8">
        <w:rPr>
          <w:rFonts w:ascii="Arial" w:hAnsi="Arial" w:cs="Arial"/>
          <w:sz w:val="24"/>
          <w:szCs w:val="24"/>
        </w:rPr>
        <w:t>based on</w:t>
      </w:r>
      <w:r w:rsidR="002F125D" w:rsidRPr="00F05FD8">
        <w:rPr>
          <w:rFonts w:ascii="Arial" w:hAnsi="Arial" w:cs="Arial"/>
          <w:sz w:val="24"/>
          <w:szCs w:val="24"/>
        </w:rPr>
        <w:t xml:space="preserve"> no further growth.</w:t>
      </w:r>
    </w:p>
    <w:p w14:paraId="1880AF6A" w14:textId="77777777" w:rsidR="002F125D" w:rsidRPr="00F05FD8" w:rsidRDefault="002F125D" w:rsidP="002F125D">
      <w:pPr>
        <w:shd w:val="clear" w:color="auto" w:fill="FFFFFF"/>
        <w:spacing w:after="0" w:line="240" w:lineRule="auto"/>
        <w:rPr>
          <w:rFonts w:ascii="Arial" w:hAnsi="Arial" w:cs="Arial"/>
          <w:sz w:val="24"/>
          <w:szCs w:val="24"/>
          <w:lang w:val="en"/>
        </w:rPr>
      </w:pPr>
    </w:p>
    <w:p w14:paraId="1BD63400" w14:textId="77777777" w:rsidR="002F125D" w:rsidRPr="00F05FD8" w:rsidRDefault="002F125D" w:rsidP="00B85FCA">
      <w:pPr>
        <w:autoSpaceDE w:val="0"/>
        <w:autoSpaceDN w:val="0"/>
        <w:adjustRightInd w:val="0"/>
        <w:spacing w:after="0" w:line="240" w:lineRule="auto"/>
        <w:jc w:val="both"/>
        <w:rPr>
          <w:rFonts w:ascii="Arial" w:hAnsi="Arial" w:cs="Arial"/>
          <w:sz w:val="24"/>
          <w:szCs w:val="24"/>
        </w:rPr>
      </w:pPr>
      <w:r w:rsidRPr="00F05FD8">
        <w:rPr>
          <w:rFonts w:ascii="Arial" w:hAnsi="Arial" w:cs="Arial"/>
          <w:sz w:val="24"/>
          <w:szCs w:val="24"/>
        </w:rPr>
        <w:t>The HMO consultation was intended to collate the views of residents,</w:t>
      </w:r>
      <w:r w:rsidR="00B85FCA" w:rsidRPr="00F05FD8">
        <w:rPr>
          <w:rFonts w:ascii="Arial" w:hAnsi="Arial" w:cs="Arial"/>
          <w:sz w:val="24"/>
          <w:szCs w:val="24"/>
        </w:rPr>
        <w:t xml:space="preserve"> </w:t>
      </w:r>
      <w:r w:rsidRPr="00F05FD8">
        <w:rPr>
          <w:rFonts w:ascii="Arial" w:hAnsi="Arial" w:cs="Arial"/>
          <w:sz w:val="24"/>
          <w:szCs w:val="24"/>
        </w:rPr>
        <w:t>organisations/groups and students, to allow the Committee to finalise its decision on</w:t>
      </w:r>
      <w:r w:rsidR="00B85FCA" w:rsidRPr="00F05FD8">
        <w:rPr>
          <w:rFonts w:ascii="Arial" w:hAnsi="Arial" w:cs="Arial"/>
          <w:sz w:val="24"/>
          <w:szCs w:val="24"/>
        </w:rPr>
        <w:t xml:space="preserve"> </w:t>
      </w:r>
      <w:r w:rsidRPr="00F05FD8">
        <w:rPr>
          <w:rFonts w:ascii="Arial" w:hAnsi="Arial" w:cs="Arial"/>
          <w:sz w:val="24"/>
          <w:szCs w:val="24"/>
        </w:rPr>
        <w:t>an HMO overprovision policy. This approach was consistent with wider consultation</w:t>
      </w:r>
      <w:r w:rsidR="00B85FCA" w:rsidRPr="00F05FD8">
        <w:rPr>
          <w:rFonts w:ascii="Arial" w:hAnsi="Arial" w:cs="Arial"/>
          <w:sz w:val="24"/>
          <w:szCs w:val="24"/>
        </w:rPr>
        <w:t xml:space="preserve"> </w:t>
      </w:r>
      <w:r w:rsidRPr="00F05FD8">
        <w:rPr>
          <w:rFonts w:ascii="Arial" w:hAnsi="Arial" w:cs="Arial"/>
          <w:sz w:val="24"/>
          <w:szCs w:val="24"/>
        </w:rPr>
        <w:t>approaches undertaken by the Council in aiming to gauge the views of a broad</w:t>
      </w:r>
      <w:r w:rsidR="00B85FCA" w:rsidRPr="00F05FD8">
        <w:rPr>
          <w:rFonts w:ascii="Arial" w:hAnsi="Arial" w:cs="Arial"/>
          <w:sz w:val="24"/>
          <w:szCs w:val="24"/>
        </w:rPr>
        <w:t xml:space="preserve"> </w:t>
      </w:r>
      <w:r w:rsidRPr="00F05FD8">
        <w:rPr>
          <w:rFonts w:ascii="Arial" w:hAnsi="Arial" w:cs="Arial"/>
          <w:sz w:val="24"/>
          <w:szCs w:val="24"/>
        </w:rPr>
        <w:t>cross-section of the community.</w:t>
      </w:r>
    </w:p>
    <w:p w14:paraId="0395AA36" w14:textId="77777777" w:rsidR="002F125D" w:rsidRPr="00F05FD8" w:rsidRDefault="002F125D" w:rsidP="002F125D">
      <w:pPr>
        <w:autoSpaceDE w:val="0"/>
        <w:autoSpaceDN w:val="0"/>
        <w:adjustRightInd w:val="0"/>
        <w:spacing w:after="0" w:line="240" w:lineRule="auto"/>
        <w:rPr>
          <w:rFonts w:ascii="Arial" w:hAnsi="Arial" w:cs="Arial"/>
          <w:sz w:val="24"/>
          <w:szCs w:val="24"/>
        </w:rPr>
      </w:pPr>
    </w:p>
    <w:p w14:paraId="1FAF94AA" w14:textId="77777777" w:rsidR="002F125D" w:rsidRPr="00F05FD8" w:rsidRDefault="002F125D" w:rsidP="00B85FCA">
      <w:pPr>
        <w:autoSpaceDE w:val="0"/>
        <w:autoSpaceDN w:val="0"/>
        <w:adjustRightInd w:val="0"/>
        <w:spacing w:after="0" w:line="240" w:lineRule="auto"/>
        <w:jc w:val="both"/>
        <w:rPr>
          <w:rFonts w:ascii="Arial" w:hAnsi="Arial" w:cs="Arial"/>
          <w:sz w:val="24"/>
          <w:szCs w:val="24"/>
        </w:rPr>
      </w:pPr>
      <w:r w:rsidRPr="00F05FD8">
        <w:rPr>
          <w:rFonts w:ascii="Arial" w:hAnsi="Arial" w:cs="Arial"/>
          <w:sz w:val="24"/>
          <w:szCs w:val="24"/>
        </w:rPr>
        <w:t>Three separate consultations were carried out with St Andrews households,</w:t>
      </w:r>
      <w:r w:rsidR="00B85FCA" w:rsidRPr="00F05FD8">
        <w:rPr>
          <w:rFonts w:ascii="Arial" w:hAnsi="Arial" w:cs="Arial"/>
          <w:sz w:val="24"/>
          <w:szCs w:val="24"/>
        </w:rPr>
        <w:t xml:space="preserve"> </w:t>
      </w:r>
      <w:r w:rsidRPr="00F05FD8">
        <w:rPr>
          <w:rFonts w:ascii="Arial" w:hAnsi="Arial" w:cs="Arial"/>
          <w:sz w:val="24"/>
          <w:szCs w:val="24"/>
        </w:rPr>
        <w:t>organisations/groups, and students. The consultations took place from the 4th – 28th</w:t>
      </w:r>
    </w:p>
    <w:p w14:paraId="2DE6F655" w14:textId="77777777" w:rsidR="002F125D" w:rsidRPr="00F05FD8" w:rsidRDefault="002F125D" w:rsidP="00B85FCA">
      <w:pPr>
        <w:autoSpaceDE w:val="0"/>
        <w:autoSpaceDN w:val="0"/>
        <w:adjustRightInd w:val="0"/>
        <w:spacing w:after="0" w:line="240" w:lineRule="auto"/>
        <w:jc w:val="both"/>
        <w:rPr>
          <w:rFonts w:ascii="Arial" w:hAnsi="Arial" w:cs="Arial"/>
          <w:sz w:val="24"/>
          <w:szCs w:val="24"/>
        </w:rPr>
      </w:pPr>
      <w:r w:rsidRPr="00F05FD8">
        <w:rPr>
          <w:rFonts w:ascii="Arial" w:hAnsi="Arial" w:cs="Arial"/>
          <w:sz w:val="24"/>
          <w:szCs w:val="24"/>
        </w:rPr>
        <w:t>February 2019, and included a combination of online and paper-based responses.</w:t>
      </w:r>
      <w:r w:rsidR="00B85FCA" w:rsidRPr="00F05FD8">
        <w:rPr>
          <w:rFonts w:ascii="Arial" w:hAnsi="Arial" w:cs="Arial"/>
          <w:sz w:val="24"/>
          <w:szCs w:val="24"/>
        </w:rPr>
        <w:t xml:space="preserve"> </w:t>
      </w:r>
      <w:r w:rsidRPr="00F05FD8">
        <w:rPr>
          <w:rFonts w:ascii="Arial" w:hAnsi="Arial" w:cs="Arial"/>
          <w:sz w:val="24"/>
          <w:szCs w:val="24"/>
        </w:rPr>
        <w:t>Respondents were asked to answer the survey question:</w:t>
      </w:r>
    </w:p>
    <w:p w14:paraId="1084D3AE" w14:textId="77777777" w:rsidR="002F125D" w:rsidRPr="00F05FD8" w:rsidRDefault="002F125D" w:rsidP="00B85FCA">
      <w:pPr>
        <w:autoSpaceDE w:val="0"/>
        <w:autoSpaceDN w:val="0"/>
        <w:adjustRightInd w:val="0"/>
        <w:spacing w:after="0" w:line="240" w:lineRule="auto"/>
        <w:jc w:val="both"/>
        <w:rPr>
          <w:rFonts w:ascii="Arial" w:hAnsi="Arial" w:cs="Arial"/>
          <w:sz w:val="24"/>
          <w:szCs w:val="24"/>
        </w:rPr>
      </w:pPr>
    </w:p>
    <w:p w14:paraId="52B9618C" w14:textId="77777777" w:rsidR="002F125D" w:rsidRDefault="002F125D" w:rsidP="00B85FCA">
      <w:pPr>
        <w:autoSpaceDE w:val="0"/>
        <w:autoSpaceDN w:val="0"/>
        <w:adjustRightInd w:val="0"/>
        <w:spacing w:after="0" w:line="240" w:lineRule="auto"/>
        <w:jc w:val="both"/>
        <w:rPr>
          <w:rFonts w:ascii="Arial" w:hAnsi="Arial" w:cs="Arial"/>
          <w:sz w:val="24"/>
          <w:szCs w:val="24"/>
        </w:rPr>
      </w:pPr>
      <w:r w:rsidRPr="00F05FD8">
        <w:rPr>
          <w:rFonts w:ascii="Arial" w:hAnsi="Arial" w:cs="Arial"/>
          <w:sz w:val="24"/>
          <w:szCs w:val="24"/>
        </w:rPr>
        <w:t>An HMO over-provision policy for St Andrews should:</w:t>
      </w:r>
    </w:p>
    <w:p w14:paraId="2CE01F90" w14:textId="77777777" w:rsidR="004A5710" w:rsidRPr="00F05FD8" w:rsidRDefault="004A5710" w:rsidP="00B85FCA">
      <w:pPr>
        <w:autoSpaceDE w:val="0"/>
        <w:autoSpaceDN w:val="0"/>
        <w:adjustRightInd w:val="0"/>
        <w:spacing w:after="0" w:line="240" w:lineRule="auto"/>
        <w:jc w:val="both"/>
        <w:rPr>
          <w:rFonts w:ascii="Arial" w:hAnsi="Arial" w:cs="Arial"/>
          <w:sz w:val="24"/>
          <w:szCs w:val="24"/>
        </w:rPr>
      </w:pPr>
    </w:p>
    <w:p w14:paraId="2D2799C6" w14:textId="77777777" w:rsidR="00B85FCA" w:rsidRPr="00F05FD8" w:rsidRDefault="002F125D" w:rsidP="004A5710">
      <w:pPr>
        <w:autoSpaceDE w:val="0"/>
        <w:autoSpaceDN w:val="0"/>
        <w:adjustRightInd w:val="0"/>
        <w:spacing w:after="0" w:line="240" w:lineRule="auto"/>
        <w:ind w:left="709" w:hanging="709"/>
        <w:jc w:val="both"/>
        <w:rPr>
          <w:rFonts w:ascii="Arial" w:hAnsi="Arial" w:cs="Arial"/>
          <w:sz w:val="24"/>
          <w:szCs w:val="24"/>
        </w:rPr>
      </w:pPr>
      <w:r w:rsidRPr="00F05FD8">
        <w:rPr>
          <w:rFonts w:ascii="Arial" w:hAnsi="Arial" w:cs="Arial"/>
          <w:sz w:val="24"/>
          <w:szCs w:val="24"/>
        </w:rPr>
        <w:t xml:space="preserve">• </w:t>
      </w:r>
      <w:r w:rsidR="004A5710">
        <w:rPr>
          <w:rFonts w:ascii="Arial" w:hAnsi="Arial" w:cs="Arial"/>
          <w:sz w:val="24"/>
          <w:szCs w:val="24"/>
        </w:rPr>
        <w:tab/>
      </w:r>
      <w:r w:rsidRPr="00F05FD8">
        <w:rPr>
          <w:rFonts w:ascii="Arial" w:hAnsi="Arial" w:cs="Arial"/>
          <w:sz w:val="24"/>
          <w:szCs w:val="24"/>
        </w:rPr>
        <w:t>Option 1: Allow no growth in HMOs (0% or zero additional HMOs)</w:t>
      </w:r>
      <w:r w:rsidR="00B85FCA" w:rsidRPr="00F05FD8">
        <w:rPr>
          <w:rFonts w:ascii="Arial" w:hAnsi="Arial" w:cs="Arial"/>
          <w:sz w:val="24"/>
          <w:szCs w:val="24"/>
        </w:rPr>
        <w:t xml:space="preserve"> </w:t>
      </w:r>
    </w:p>
    <w:p w14:paraId="63431F30" w14:textId="77777777" w:rsidR="002F125D" w:rsidRPr="00F05FD8" w:rsidRDefault="002F125D" w:rsidP="004A5710">
      <w:pPr>
        <w:autoSpaceDE w:val="0"/>
        <w:autoSpaceDN w:val="0"/>
        <w:adjustRightInd w:val="0"/>
        <w:spacing w:after="0" w:line="240" w:lineRule="auto"/>
        <w:ind w:left="709" w:hanging="709"/>
        <w:jc w:val="both"/>
        <w:rPr>
          <w:rFonts w:ascii="Arial" w:hAnsi="Arial" w:cs="Arial"/>
          <w:sz w:val="24"/>
          <w:szCs w:val="24"/>
        </w:rPr>
      </w:pPr>
      <w:r w:rsidRPr="00F05FD8">
        <w:rPr>
          <w:rFonts w:ascii="Arial" w:hAnsi="Arial" w:cs="Arial"/>
          <w:sz w:val="24"/>
          <w:szCs w:val="24"/>
        </w:rPr>
        <w:t xml:space="preserve">• </w:t>
      </w:r>
      <w:r w:rsidR="004A5710">
        <w:rPr>
          <w:rFonts w:ascii="Arial" w:hAnsi="Arial" w:cs="Arial"/>
          <w:sz w:val="24"/>
          <w:szCs w:val="24"/>
        </w:rPr>
        <w:tab/>
      </w:r>
      <w:r w:rsidRPr="00F05FD8">
        <w:rPr>
          <w:rFonts w:ascii="Arial" w:hAnsi="Arial" w:cs="Arial"/>
          <w:sz w:val="24"/>
          <w:szCs w:val="24"/>
        </w:rPr>
        <w:t>Option 2: Allow growth in HMOs (up to 3% or 184 additional HMOs).</w:t>
      </w:r>
    </w:p>
    <w:p w14:paraId="2110619C" w14:textId="77777777" w:rsidR="002F125D" w:rsidRPr="00F05FD8" w:rsidRDefault="002F125D" w:rsidP="002F125D">
      <w:pPr>
        <w:autoSpaceDE w:val="0"/>
        <w:autoSpaceDN w:val="0"/>
        <w:adjustRightInd w:val="0"/>
        <w:spacing w:after="0" w:line="240" w:lineRule="auto"/>
        <w:rPr>
          <w:rFonts w:ascii="Arial" w:hAnsi="Arial" w:cs="Arial"/>
          <w:sz w:val="24"/>
          <w:szCs w:val="24"/>
        </w:rPr>
      </w:pPr>
    </w:p>
    <w:p w14:paraId="0C7D6A1A" w14:textId="77777777" w:rsidR="002F125D" w:rsidRPr="00F05FD8" w:rsidRDefault="002F125D" w:rsidP="00B85FCA">
      <w:pPr>
        <w:autoSpaceDE w:val="0"/>
        <w:autoSpaceDN w:val="0"/>
        <w:adjustRightInd w:val="0"/>
        <w:spacing w:after="0" w:line="240" w:lineRule="auto"/>
        <w:jc w:val="both"/>
        <w:rPr>
          <w:rFonts w:ascii="Arial" w:hAnsi="Arial" w:cs="Arial"/>
          <w:sz w:val="24"/>
          <w:szCs w:val="24"/>
        </w:rPr>
      </w:pPr>
      <w:r w:rsidRPr="00F05FD8">
        <w:rPr>
          <w:rFonts w:ascii="Arial" w:hAnsi="Arial" w:cs="Arial"/>
          <w:sz w:val="24"/>
          <w:szCs w:val="24"/>
        </w:rPr>
        <w:t>From the responses provided</w:t>
      </w:r>
      <w:r w:rsidR="004A5710">
        <w:rPr>
          <w:rFonts w:ascii="Arial" w:hAnsi="Arial" w:cs="Arial"/>
          <w:sz w:val="24"/>
          <w:szCs w:val="24"/>
        </w:rPr>
        <w:t>,</w:t>
      </w:r>
      <w:r w:rsidRPr="00F05FD8">
        <w:rPr>
          <w:rFonts w:ascii="Arial" w:hAnsi="Arial" w:cs="Arial"/>
          <w:sz w:val="24"/>
          <w:szCs w:val="24"/>
        </w:rPr>
        <w:t xml:space="preserve"> </w:t>
      </w:r>
      <w:r w:rsidR="004A5710" w:rsidRPr="00F05FD8">
        <w:rPr>
          <w:rFonts w:ascii="Arial" w:hAnsi="Arial" w:cs="Arial"/>
          <w:sz w:val="24"/>
          <w:szCs w:val="24"/>
        </w:rPr>
        <w:t>nearly</w:t>
      </w:r>
      <w:r w:rsidRPr="00F05FD8">
        <w:rPr>
          <w:rFonts w:ascii="Arial" w:hAnsi="Arial" w:cs="Arial"/>
          <w:sz w:val="24"/>
          <w:szCs w:val="24"/>
        </w:rPr>
        <w:t xml:space="preserve"> 8 in 10 households in St Andrews</w:t>
      </w:r>
      <w:r w:rsidR="00B85FCA" w:rsidRPr="00F05FD8">
        <w:rPr>
          <w:rFonts w:ascii="Arial" w:hAnsi="Arial" w:cs="Arial"/>
          <w:sz w:val="24"/>
          <w:szCs w:val="24"/>
        </w:rPr>
        <w:t xml:space="preserve"> </w:t>
      </w:r>
      <w:r w:rsidRPr="00F05FD8">
        <w:rPr>
          <w:rFonts w:ascii="Arial" w:hAnsi="Arial" w:cs="Arial"/>
          <w:sz w:val="24"/>
          <w:szCs w:val="24"/>
        </w:rPr>
        <w:t>favour</w:t>
      </w:r>
      <w:r w:rsidR="00223C35">
        <w:rPr>
          <w:rFonts w:ascii="Arial" w:hAnsi="Arial" w:cs="Arial"/>
          <w:sz w:val="24"/>
          <w:szCs w:val="24"/>
        </w:rPr>
        <w:t>ed</w:t>
      </w:r>
      <w:r w:rsidRPr="00F05FD8">
        <w:rPr>
          <w:rFonts w:ascii="Arial" w:hAnsi="Arial" w:cs="Arial"/>
          <w:sz w:val="24"/>
          <w:szCs w:val="24"/>
        </w:rPr>
        <w:t xml:space="preserve"> Option 1. However, around 8% of the responses for the household survey</w:t>
      </w:r>
      <w:r w:rsidR="00B85FCA" w:rsidRPr="00F05FD8">
        <w:rPr>
          <w:rFonts w:ascii="Arial" w:hAnsi="Arial" w:cs="Arial"/>
          <w:sz w:val="24"/>
          <w:szCs w:val="24"/>
        </w:rPr>
        <w:t xml:space="preserve"> </w:t>
      </w:r>
      <w:r w:rsidRPr="00F05FD8">
        <w:rPr>
          <w:rFonts w:ascii="Arial" w:hAnsi="Arial" w:cs="Arial"/>
          <w:sz w:val="24"/>
          <w:szCs w:val="24"/>
        </w:rPr>
        <w:t>were aged 16-24, and almost all of them preferred Option 2 allowing some growth in</w:t>
      </w:r>
      <w:r w:rsidR="00B85FCA" w:rsidRPr="00F05FD8">
        <w:rPr>
          <w:rFonts w:ascii="Arial" w:hAnsi="Arial" w:cs="Arial"/>
          <w:sz w:val="24"/>
          <w:szCs w:val="24"/>
        </w:rPr>
        <w:t xml:space="preserve"> </w:t>
      </w:r>
      <w:r w:rsidRPr="00F05FD8">
        <w:rPr>
          <w:rFonts w:ascii="Arial" w:hAnsi="Arial" w:cs="Arial"/>
          <w:sz w:val="24"/>
          <w:szCs w:val="24"/>
        </w:rPr>
        <w:t>HMOs. Organisations/groups</w:t>
      </w:r>
      <w:r w:rsidR="004A5710">
        <w:rPr>
          <w:rFonts w:ascii="Arial" w:hAnsi="Arial" w:cs="Arial"/>
          <w:sz w:val="24"/>
          <w:szCs w:val="24"/>
        </w:rPr>
        <w:t>’</w:t>
      </w:r>
      <w:r w:rsidRPr="00F05FD8">
        <w:rPr>
          <w:rFonts w:ascii="Arial" w:hAnsi="Arial" w:cs="Arial"/>
          <w:sz w:val="24"/>
          <w:szCs w:val="24"/>
        </w:rPr>
        <w:t xml:space="preserve"> responses show</w:t>
      </w:r>
      <w:r w:rsidR="00223C35">
        <w:rPr>
          <w:rFonts w:ascii="Arial" w:hAnsi="Arial" w:cs="Arial"/>
          <w:sz w:val="24"/>
          <w:szCs w:val="24"/>
        </w:rPr>
        <w:t>ed</w:t>
      </w:r>
      <w:r w:rsidRPr="00F05FD8">
        <w:rPr>
          <w:rFonts w:ascii="Arial" w:hAnsi="Arial" w:cs="Arial"/>
          <w:sz w:val="24"/>
          <w:szCs w:val="24"/>
        </w:rPr>
        <w:t xml:space="preserve"> a more mixed picture, with a slightly</w:t>
      </w:r>
      <w:r w:rsidR="00B85FCA" w:rsidRPr="00F05FD8">
        <w:rPr>
          <w:rFonts w:ascii="Arial" w:hAnsi="Arial" w:cs="Arial"/>
          <w:sz w:val="24"/>
          <w:szCs w:val="24"/>
        </w:rPr>
        <w:t xml:space="preserve"> </w:t>
      </w:r>
      <w:r w:rsidRPr="00F05FD8">
        <w:rPr>
          <w:rFonts w:ascii="Arial" w:hAnsi="Arial" w:cs="Arial"/>
          <w:sz w:val="24"/>
          <w:szCs w:val="24"/>
        </w:rPr>
        <w:t>higher proportion nearly 6 in 10 favouring Option 1. Students’ responses show</w:t>
      </w:r>
      <w:r w:rsidR="00223C35">
        <w:rPr>
          <w:rFonts w:ascii="Arial" w:hAnsi="Arial" w:cs="Arial"/>
          <w:sz w:val="24"/>
          <w:szCs w:val="24"/>
        </w:rPr>
        <w:t>ed</w:t>
      </w:r>
      <w:r w:rsidRPr="00F05FD8">
        <w:rPr>
          <w:rFonts w:ascii="Arial" w:hAnsi="Arial" w:cs="Arial"/>
          <w:sz w:val="24"/>
          <w:szCs w:val="24"/>
        </w:rPr>
        <w:t xml:space="preserve"> an</w:t>
      </w:r>
      <w:r w:rsidR="00B85FCA" w:rsidRPr="00F05FD8">
        <w:rPr>
          <w:rFonts w:ascii="Arial" w:hAnsi="Arial" w:cs="Arial"/>
          <w:sz w:val="24"/>
          <w:szCs w:val="24"/>
        </w:rPr>
        <w:t xml:space="preserve"> </w:t>
      </w:r>
      <w:r w:rsidRPr="00F05FD8">
        <w:rPr>
          <w:rFonts w:ascii="Arial" w:hAnsi="Arial" w:cs="Arial"/>
          <w:sz w:val="24"/>
          <w:szCs w:val="24"/>
        </w:rPr>
        <w:t>overwhelming 9 in 10 favouring Option 2.</w:t>
      </w:r>
    </w:p>
    <w:p w14:paraId="3266BF7B" w14:textId="77777777" w:rsidR="00D77A24" w:rsidRDefault="00D77A24" w:rsidP="005A6EAE">
      <w:pPr>
        <w:tabs>
          <w:tab w:val="left" w:pos="0"/>
        </w:tabs>
        <w:spacing w:before="240" w:after="120"/>
        <w:jc w:val="both"/>
        <w:rPr>
          <w:rFonts w:ascii="Arial" w:hAnsi="Arial" w:cs="Arial"/>
          <w:color w:val="FF0000"/>
          <w:sz w:val="24"/>
          <w:szCs w:val="24"/>
        </w:rPr>
      </w:pPr>
    </w:p>
    <w:p w14:paraId="06BADDED" w14:textId="77777777" w:rsidR="00D77A24" w:rsidRDefault="00D77A24" w:rsidP="005A6EAE">
      <w:pPr>
        <w:tabs>
          <w:tab w:val="left" w:pos="0"/>
        </w:tabs>
        <w:spacing w:before="240" w:after="120"/>
        <w:jc w:val="both"/>
        <w:rPr>
          <w:rFonts w:ascii="Arial" w:hAnsi="Arial" w:cs="Arial"/>
          <w:color w:val="FF0000"/>
          <w:sz w:val="24"/>
          <w:szCs w:val="24"/>
        </w:rPr>
      </w:pPr>
    </w:p>
    <w:p w14:paraId="425C2569" w14:textId="2ACC9D4A" w:rsidR="00547764" w:rsidRPr="003D793A" w:rsidRDefault="00547764" w:rsidP="005A6EAE">
      <w:pPr>
        <w:tabs>
          <w:tab w:val="left" w:pos="0"/>
        </w:tabs>
        <w:spacing w:before="240" w:after="120"/>
        <w:jc w:val="both"/>
        <w:rPr>
          <w:rFonts w:ascii="Arial" w:hAnsi="Arial" w:cs="Arial"/>
          <w:color w:val="FF0000"/>
          <w:sz w:val="24"/>
          <w:szCs w:val="24"/>
        </w:rPr>
      </w:pPr>
      <w:r w:rsidRPr="003D793A">
        <w:rPr>
          <w:rFonts w:ascii="Arial" w:hAnsi="Arial" w:cs="Arial"/>
          <w:color w:val="FF0000"/>
          <w:sz w:val="24"/>
          <w:szCs w:val="24"/>
        </w:rPr>
        <w:lastRenderedPageBreak/>
        <w:t>Timescale</w:t>
      </w:r>
    </w:p>
    <w:p w14:paraId="64140F4C" w14:textId="77777777" w:rsidR="00BD65D8" w:rsidRPr="00B47164" w:rsidRDefault="00547764" w:rsidP="00E8494E">
      <w:pPr>
        <w:tabs>
          <w:tab w:val="left" w:pos="0"/>
        </w:tabs>
        <w:spacing w:after="120"/>
        <w:jc w:val="both"/>
        <w:rPr>
          <w:rFonts w:ascii="Arial" w:hAnsi="Arial" w:cs="Arial"/>
          <w:sz w:val="24"/>
          <w:szCs w:val="24"/>
        </w:rPr>
      </w:pPr>
      <w:r w:rsidRPr="00B47164">
        <w:rPr>
          <w:rFonts w:ascii="Arial" w:hAnsi="Arial" w:cs="Arial"/>
          <w:sz w:val="24"/>
          <w:szCs w:val="24"/>
        </w:rPr>
        <w:t xml:space="preserve">The HMO overprovision policy </w:t>
      </w:r>
      <w:r w:rsidR="001D4357" w:rsidRPr="00B47164">
        <w:rPr>
          <w:rFonts w:ascii="Arial" w:hAnsi="Arial" w:cs="Arial"/>
          <w:sz w:val="24"/>
          <w:szCs w:val="24"/>
        </w:rPr>
        <w:t xml:space="preserve">for Fife </w:t>
      </w:r>
      <w:r w:rsidR="00CE26F5" w:rsidRPr="00B47164">
        <w:rPr>
          <w:rFonts w:ascii="Arial" w:hAnsi="Arial" w:cs="Arial"/>
          <w:sz w:val="24"/>
          <w:szCs w:val="24"/>
        </w:rPr>
        <w:t xml:space="preserve">was implemented </w:t>
      </w:r>
      <w:r w:rsidR="00600FAB" w:rsidRPr="00B47164">
        <w:rPr>
          <w:rFonts w:ascii="Arial" w:hAnsi="Arial" w:cs="Arial"/>
          <w:sz w:val="24"/>
          <w:szCs w:val="24"/>
        </w:rPr>
        <w:t>on</w:t>
      </w:r>
      <w:r w:rsidR="001D4357" w:rsidRPr="00B47164">
        <w:rPr>
          <w:rFonts w:ascii="Arial" w:hAnsi="Arial" w:cs="Arial"/>
          <w:sz w:val="24"/>
          <w:szCs w:val="24"/>
        </w:rPr>
        <w:t xml:space="preserve"> 30</w:t>
      </w:r>
      <w:r w:rsidR="001D4357" w:rsidRPr="00B47164">
        <w:rPr>
          <w:rFonts w:ascii="Arial" w:hAnsi="Arial" w:cs="Arial"/>
          <w:sz w:val="24"/>
          <w:szCs w:val="24"/>
          <w:vertAlign w:val="superscript"/>
        </w:rPr>
        <w:t>th</w:t>
      </w:r>
      <w:r w:rsidR="001D4357" w:rsidRPr="00B47164">
        <w:rPr>
          <w:rFonts w:ascii="Arial" w:hAnsi="Arial" w:cs="Arial"/>
          <w:sz w:val="24"/>
          <w:szCs w:val="24"/>
        </w:rPr>
        <w:t xml:space="preserve"> August 2018 and </w:t>
      </w:r>
      <w:r w:rsidR="00CE26F5" w:rsidRPr="00B47164">
        <w:rPr>
          <w:rFonts w:ascii="Arial" w:hAnsi="Arial" w:cs="Arial"/>
          <w:sz w:val="24"/>
          <w:szCs w:val="24"/>
        </w:rPr>
        <w:t>i</w:t>
      </w:r>
      <w:r w:rsidR="001D4357" w:rsidRPr="00B47164">
        <w:rPr>
          <w:rFonts w:ascii="Arial" w:hAnsi="Arial" w:cs="Arial"/>
          <w:sz w:val="24"/>
          <w:szCs w:val="24"/>
        </w:rPr>
        <w:t xml:space="preserve">n St Andrews </w:t>
      </w:r>
      <w:r w:rsidR="00600FAB" w:rsidRPr="00B47164">
        <w:rPr>
          <w:rFonts w:ascii="Arial" w:hAnsi="Arial" w:cs="Arial"/>
          <w:sz w:val="24"/>
          <w:szCs w:val="24"/>
        </w:rPr>
        <w:t>on</w:t>
      </w:r>
      <w:r w:rsidR="005676D4" w:rsidRPr="00B47164">
        <w:rPr>
          <w:rFonts w:ascii="Arial" w:hAnsi="Arial" w:cs="Arial"/>
          <w:sz w:val="24"/>
          <w:szCs w:val="24"/>
        </w:rPr>
        <w:t xml:space="preserve"> 11</w:t>
      </w:r>
      <w:r w:rsidR="005676D4" w:rsidRPr="00B47164">
        <w:rPr>
          <w:rFonts w:ascii="Arial" w:hAnsi="Arial" w:cs="Arial"/>
          <w:sz w:val="24"/>
          <w:szCs w:val="24"/>
          <w:vertAlign w:val="superscript"/>
        </w:rPr>
        <w:t>th</w:t>
      </w:r>
      <w:r w:rsidR="005676D4" w:rsidRPr="00B47164">
        <w:rPr>
          <w:rFonts w:ascii="Arial" w:hAnsi="Arial" w:cs="Arial"/>
          <w:sz w:val="24"/>
          <w:szCs w:val="24"/>
        </w:rPr>
        <w:t xml:space="preserve"> April 2019</w:t>
      </w:r>
      <w:r w:rsidRPr="00B47164">
        <w:rPr>
          <w:rFonts w:ascii="Arial" w:hAnsi="Arial" w:cs="Arial"/>
          <w:sz w:val="24"/>
          <w:szCs w:val="24"/>
        </w:rPr>
        <w:t xml:space="preserve">.  </w:t>
      </w:r>
      <w:r w:rsidR="001D4357" w:rsidRPr="00B47164">
        <w:rPr>
          <w:rFonts w:ascii="Arial" w:hAnsi="Arial" w:cs="Arial"/>
          <w:sz w:val="24"/>
          <w:szCs w:val="24"/>
        </w:rPr>
        <w:t>The</w:t>
      </w:r>
      <w:r w:rsidRPr="00B47164">
        <w:rPr>
          <w:rFonts w:ascii="Arial" w:hAnsi="Arial" w:cs="Arial"/>
          <w:sz w:val="24"/>
          <w:szCs w:val="24"/>
        </w:rPr>
        <w:t xml:space="preserve"> Council has agreed to monitor </w:t>
      </w:r>
      <w:r w:rsidR="00600FAB" w:rsidRPr="00B47164">
        <w:rPr>
          <w:rFonts w:ascii="Arial" w:hAnsi="Arial" w:cs="Arial"/>
          <w:sz w:val="24"/>
          <w:szCs w:val="24"/>
        </w:rPr>
        <w:t xml:space="preserve">the impact </w:t>
      </w:r>
      <w:r w:rsidRPr="00B47164">
        <w:rPr>
          <w:rFonts w:ascii="Arial" w:hAnsi="Arial" w:cs="Arial"/>
          <w:sz w:val="24"/>
          <w:szCs w:val="24"/>
        </w:rPr>
        <w:t>of the policy and conduct a review in 2022</w:t>
      </w:r>
      <w:r w:rsidR="001D4357" w:rsidRPr="00B47164">
        <w:rPr>
          <w:rFonts w:ascii="Arial" w:hAnsi="Arial" w:cs="Arial"/>
          <w:sz w:val="24"/>
          <w:szCs w:val="24"/>
        </w:rPr>
        <w:t xml:space="preserve"> after </w:t>
      </w:r>
      <w:r w:rsidRPr="00B47164">
        <w:rPr>
          <w:rFonts w:ascii="Arial" w:hAnsi="Arial" w:cs="Arial"/>
          <w:sz w:val="24"/>
          <w:szCs w:val="24"/>
        </w:rPr>
        <w:t xml:space="preserve">three-years </w:t>
      </w:r>
      <w:r w:rsidR="001D4357" w:rsidRPr="00B47164">
        <w:rPr>
          <w:rFonts w:ascii="Arial" w:hAnsi="Arial" w:cs="Arial"/>
          <w:sz w:val="24"/>
          <w:szCs w:val="24"/>
        </w:rPr>
        <w:t>of</w:t>
      </w:r>
      <w:r w:rsidRPr="00B47164">
        <w:rPr>
          <w:rFonts w:ascii="Arial" w:hAnsi="Arial" w:cs="Arial"/>
          <w:sz w:val="24"/>
          <w:szCs w:val="24"/>
        </w:rPr>
        <w:t xml:space="preserve"> implementation.</w:t>
      </w:r>
    </w:p>
    <w:p w14:paraId="709BD4DC" w14:textId="77777777" w:rsidR="001D4357" w:rsidRPr="003D793A" w:rsidRDefault="001D4357" w:rsidP="005A6EAE">
      <w:pPr>
        <w:tabs>
          <w:tab w:val="left" w:pos="0"/>
        </w:tabs>
        <w:spacing w:before="240" w:after="120"/>
        <w:jc w:val="both"/>
        <w:rPr>
          <w:rFonts w:ascii="Arial" w:hAnsi="Arial" w:cs="Arial"/>
          <w:color w:val="FF0000"/>
          <w:sz w:val="24"/>
          <w:szCs w:val="24"/>
        </w:rPr>
      </w:pPr>
      <w:r w:rsidRPr="003D793A">
        <w:rPr>
          <w:rFonts w:ascii="Arial" w:hAnsi="Arial" w:cs="Arial"/>
          <w:color w:val="FF0000"/>
          <w:sz w:val="24"/>
          <w:szCs w:val="24"/>
        </w:rPr>
        <w:t>Exemptions</w:t>
      </w:r>
    </w:p>
    <w:p w14:paraId="2541FE99" w14:textId="77777777" w:rsidR="00547764" w:rsidRPr="00B47164" w:rsidRDefault="00832B31" w:rsidP="00E8494E">
      <w:pPr>
        <w:spacing w:after="120"/>
        <w:jc w:val="both"/>
        <w:rPr>
          <w:rStyle w:val="Bold"/>
          <w:rFonts w:ascii="Arial" w:hAnsi="Arial" w:cs="Arial"/>
          <w:b w:val="0"/>
          <w:sz w:val="24"/>
          <w:szCs w:val="24"/>
        </w:rPr>
      </w:pPr>
      <w:r w:rsidRPr="003D793A">
        <w:rPr>
          <w:rStyle w:val="Bold"/>
          <w:rFonts w:ascii="Arial" w:hAnsi="Arial" w:cs="Arial"/>
          <w:b w:val="0"/>
          <w:sz w:val="24"/>
          <w:szCs w:val="24"/>
        </w:rPr>
        <w:t xml:space="preserve">Certain </w:t>
      </w:r>
      <w:r w:rsidR="005A6EAE" w:rsidRPr="003D793A">
        <w:rPr>
          <w:rStyle w:val="Bold"/>
          <w:rFonts w:ascii="Arial" w:hAnsi="Arial" w:cs="Arial"/>
          <w:b w:val="0"/>
          <w:sz w:val="24"/>
          <w:szCs w:val="24"/>
        </w:rPr>
        <w:t xml:space="preserve">types of </w:t>
      </w:r>
      <w:r w:rsidR="00CE26F5" w:rsidRPr="003D793A">
        <w:rPr>
          <w:rStyle w:val="Bold"/>
          <w:rFonts w:ascii="Arial" w:hAnsi="Arial" w:cs="Arial"/>
          <w:b w:val="0"/>
          <w:sz w:val="24"/>
          <w:szCs w:val="24"/>
        </w:rPr>
        <w:t xml:space="preserve">specialist </w:t>
      </w:r>
      <w:r w:rsidR="005A6EAE" w:rsidRPr="003D793A">
        <w:rPr>
          <w:rStyle w:val="Bold"/>
          <w:rFonts w:ascii="Arial" w:hAnsi="Arial" w:cs="Arial"/>
          <w:b w:val="0"/>
          <w:sz w:val="24"/>
          <w:szCs w:val="24"/>
        </w:rPr>
        <w:t>accommodation are exempted</w:t>
      </w:r>
      <w:r w:rsidRPr="003D793A">
        <w:rPr>
          <w:rStyle w:val="Bold"/>
          <w:rFonts w:ascii="Arial" w:hAnsi="Arial" w:cs="Arial"/>
          <w:b w:val="0"/>
          <w:sz w:val="24"/>
          <w:szCs w:val="24"/>
        </w:rPr>
        <w:t xml:space="preserve"> from HMO licensing requirements under Section 126 of the Housing (Scotland) Act 2006.  Further </w:t>
      </w:r>
      <w:r w:rsidRPr="00B47164">
        <w:rPr>
          <w:rStyle w:val="Bold"/>
          <w:rFonts w:ascii="Arial" w:hAnsi="Arial" w:cs="Arial"/>
          <w:b w:val="0"/>
          <w:sz w:val="24"/>
          <w:szCs w:val="24"/>
        </w:rPr>
        <w:t>exemptions</w:t>
      </w:r>
      <w:r w:rsidR="005A6EAE" w:rsidRPr="00B47164">
        <w:rPr>
          <w:rStyle w:val="Bold"/>
          <w:rFonts w:ascii="Arial" w:hAnsi="Arial" w:cs="Arial"/>
          <w:b w:val="0"/>
          <w:sz w:val="24"/>
          <w:szCs w:val="24"/>
        </w:rPr>
        <w:t xml:space="preserve"> </w:t>
      </w:r>
      <w:r w:rsidR="00CE26F5" w:rsidRPr="00B47164">
        <w:rPr>
          <w:rStyle w:val="Bold"/>
          <w:rFonts w:ascii="Arial" w:hAnsi="Arial" w:cs="Arial"/>
          <w:b w:val="0"/>
          <w:sz w:val="24"/>
          <w:szCs w:val="24"/>
        </w:rPr>
        <w:t xml:space="preserve">now </w:t>
      </w:r>
      <w:r w:rsidR="005A6EAE" w:rsidRPr="00B47164">
        <w:rPr>
          <w:rStyle w:val="Bold"/>
          <w:rFonts w:ascii="Arial" w:hAnsi="Arial" w:cs="Arial"/>
          <w:b w:val="0"/>
          <w:sz w:val="24"/>
          <w:szCs w:val="24"/>
        </w:rPr>
        <w:t>apply</w:t>
      </w:r>
      <w:r w:rsidRPr="00B47164">
        <w:rPr>
          <w:rStyle w:val="Bold"/>
          <w:rFonts w:ascii="Arial" w:hAnsi="Arial" w:cs="Arial"/>
          <w:b w:val="0"/>
          <w:sz w:val="24"/>
          <w:szCs w:val="24"/>
        </w:rPr>
        <w:t xml:space="preserve"> through HMO overprovision policy</w:t>
      </w:r>
      <w:r w:rsidR="00155F7A" w:rsidRPr="00B47164">
        <w:rPr>
          <w:rStyle w:val="Bold"/>
          <w:rFonts w:ascii="Arial" w:hAnsi="Arial" w:cs="Arial"/>
          <w:b w:val="0"/>
          <w:sz w:val="24"/>
          <w:szCs w:val="24"/>
        </w:rPr>
        <w:t xml:space="preserve"> as follows</w:t>
      </w:r>
      <w:r w:rsidRPr="00B47164">
        <w:rPr>
          <w:rStyle w:val="Bold"/>
          <w:rFonts w:ascii="Arial" w:hAnsi="Arial" w:cs="Arial"/>
          <w:b w:val="0"/>
          <w:sz w:val="24"/>
          <w:szCs w:val="24"/>
        </w:rPr>
        <w:t>:</w:t>
      </w:r>
    </w:p>
    <w:p w14:paraId="6FD10507" w14:textId="77777777" w:rsidR="007D25FF" w:rsidRPr="00B47164" w:rsidRDefault="00832B31" w:rsidP="00E8494E">
      <w:pPr>
        <w:numPr>
          <w:ilvl w:val="0"/>
          <w:numId w:val="6"/>
        </w:numPr>
        <w:spacing w:after="120" w:line="240" w:lineRule="auto"/>
        <w:ind w:left="709" w:hanging="709"/>
        <w:jc w:val="both"/>
        <w:rPr>
          <w:rStyle w:val="Bold"/>
          <w:rFonts w:ascii="Arial" w:hAnsi="Arial" w:cs="Arial"/>
          <w:b w:val="0"/>
          <w:sz w:val="24"/>
          <w:szCs w:val="24"/>
        </w:rPr>
      </w:pPr>
      <w:r w:rsidRPr="00B47164">
        <w:rPr>
          <w:rStyle w:val="Bold"/>
          <w:rFonts w:ascii="Arial" w:hAnsi="Arial" w:cs="Arial"/>
          <w:b w:val="0"/>
          <w:sz w:val="24"/>
          <w:szCs w:val="24"/>
        </w:rPr>
        <w:t>HMO a</w:t>
      </w:r>
      <w:r w:rsidR="007D25FF" w:rsidRPr="00B47164">
        <w:rPr>
          <w:rStyle w:val="Bold"/>
          <w:rFonts w:ascii="Arial" w:hAnsi="Arial" w:cs="Arial"/>
          <w:b w:val="0"/>
          <w:sz w:val="24"/>
          <w:szCs w:val="24"/>
        </w:rPr>
        <w:t>pplications already received and in the process of assessment at the date of implementation</w:t>
      </w:r>
      <w:r w:rsidR="00801475" w:rsidRPr="00B47164">
        <w:rPr>
          <w:rStyle w:val="Bold"/>
          <w:rFonts w:ascii="Arial" w:hAnsi="Arial" w:cs="Arial"/>
          <w:b w:val="0"/>
          <w:sz w:val="24"/>
          <w:szCs w:val="24"/>
        </w:rPr>
        <w:t>;</w:t>
      </w:r>
      <w:r w:rsidR="007D25FF" w:rsidRPr="00B47164">
        <w:rPr>
          <w:rStyle w:val="Bold"/>
          <w:rFonts w:ascii="Arial" w:hAnsi="Arial" w:cs="Arial"/>
          <w:b w:val="0"/>
          <w:sz w:val="24"/>
          <w:szCs w:val="24"/>
        </w:rPr>
        <w:t xml:space="preserve"> </w:t>
      </w:r>
    </w:p>
    <w:p w14:paraId="40BAC864" w14:textId="77777777" w:rsidR="007D25FF" w:rsidRPr="00B47164" w:rsidRDefault="007D25FF" w:rsidP="00E8494E">
      <w:pPr>
        <w:numPr>
          <w:ilvl w:val="0"/>
          <w:numId w:val="6"/>
        </w:numPr>
        <w:spacing w:after="120" w:line="240" w:lineRule="auto"/>
        <w:ind w:left="709" w:hanging="709"/>
        <w:jc w:val="both"/>
        <w:rPr>
          <w:rStyle w:val="Bold"/>
          <w:rFonts w:ascii="Arial" w:hAnsi="Arial" w:cs="Arial"/>
          <w:b w:val="0"/>
          <w:sz w:val="24"/>
          <w:szCs w:val="24"/>
        </w:rPr>
      </w:pPr>
      <w:r w:rsidRPr="00B47164">
        <w:rPr>
          <w:rStyle w:val="Bold"/>
          <w:rFonts w:ascii="Arial" w:hAnsi="Arial" w:cs="Arial"/>
          <w:b w:val="0"/>
          <w:sz w:val="24"/>
          <w:szCs w:val="24"/>
        </w:rPr>
        <w:t xml:space="preserve">Current licences while continuing to meet </w:t>
      </w:r>
      <w:r w:rsidR="00832B31" w:rsidRPr="00B47164">
        <w:rPr>
          <w:rStyle w:val="Bold"/>
          <w:rFonts w:ascii="Arial" w:hAnsi="Arial" w:cs="Arial"/>
          <w:b w:val="0"/>
          <w:sz w:val="24"/>
          <w:szCs w:val="24"/>
        </w:rPr>
        <w:t xml:space="preserve">HMO </w:t>
      </w:r>
      <w:r w:rsidRPr="00B47164">
        <w:rPr>
          <w:rStyle w:val="Bold"/>
          <w:rFonts w:ascii="Arial" w:hAnsi="Arial" w:cs="Arial"/>
          <w:b w:val="0"/>
          <w:sz w:val="24"/>
          <w:szCs w:val="24"/>
        </w:rPr>
        <w:t>licensing conditions</w:t>
      </w:r>
      <w:r w:rsidR="00801475" w:rsidRPr="00B47164">
        <w:rPr>
          <w:rStyle w:val="Bold"/>
          <w:rFonts w:ascii="Arial" w:hAnsi="Arial" w:cs="Arial"/>
          <w:b w:val="0"/>
          <w:sz w:val="24"/>
          <w:szCs w:val="24"/>
        </w:rPr>
        <w:t>;</w:t>
      </w:r>
    </w:p>
    <w:p w14:paraId="58A67F11" w14:textId="77777777" w:rsidR="007D25FF" w:rsidRPr="00B47164" w:rsidRDefault="007D25FF" w:rsidP="00E8494E">
      <w:pPr>
        <w:numPr>
          <w:ilvl w:val="0"/>
          <w:numId w:val="6"/>
        </w:numPr>
        <w:spacing w:after="120" w:line="240" w:lineRule="auto"/>
        <w:ind w:left="709" w:hanging="709"/>
        <w:jc w:val="both"/>
        <w:rPr>
          <w:rStyle w:val="Bold"/>
          <w:rFonts w:ascii="Arial" w:hAnsi="Arial" w:cs="Arial"/>
          <w:b w:val="0"/>
          <w:sz w:val="24"/>
          <w:szCs w:val="24"/>
        </w:rPr>
      </w:pPr>
      <w:r w:rsidRPr="00B47164">
        <w:rPr>
          <w:rStyle w:val="Bold"/>
          <w:rFonts w:ascii="Arial" w:hAnsi="Arial" w:cs="Arial"/>
          <w:b w:val="0"/>
          <w:sz w:val="24"/>
          <w:szCs w:val="24"/>
        </w:rPr>
        <w:t xml:space="preserve">Applications for </w:t>
      </w:r>
      <w:r w:rsidR="00155F7A" w:rsidRPr="00B47164">
        <w:rPr>
          <w:rStyle w:val="Bold"/>
          <w:rFonts w:ascii="Arial" w:hAnsi="Arial" w:cs="Arial"/>
          <w:b w:val="0"/>
          <w:sz w:val="24"/>
          <w:szCs w:val="24"/>
        </w:rPr>
        <w:t>existing</w:t>
      </w:r>
      <w:r w:rsidRPr="00B47164">
        <w:rPr>
          <w:rStyle w:val="Bold"/>
          <w:rFonts w:ascii="Arial" w:hAnsi="Arial" w:cs="Arial"/>
          <w:b w:val="0"/>
          <w:sz w:val="24"/>
          <w:szCs w:val="24"/>
        </w:rPr>
        <w:t xml:space="preserve"> HMO licences including where there has been a recent change of ownership</w:t>
      </w:r>
      <w:r w:rsidR="00C42867" w:rsidRPr="00B47164">
        <w:rPr>
          <w:rStyle w:val="Bold"/>
          <w:rFonts w:ascii="Arial" w:hAnsi="Arial" w:cs="Arial"/>
          <w:b w:val="0"/>
          <w:sz w:val="24"/>
          <w:szCs w:val="24"/>
        </w:rPr>
        <w:t xml:space="preserve"> as </w:t>
      </w:r>
      <w:r w:rsidR="00801475" w:rsidRPr="00B47164">
        <w:rPr>
          <w:rStyle w:val="Bold"/>
          <w:rFonts w:ascii="Arial" w:hAnsi="Arial" w:cs="Arial"/>
          <w:b w:val="0"/>
          <w:sz w:val="24"/>
          <w:szCs w:val="24"/>
        </w:rPr>
        <w:t>detailed</w:t>
      </w:r>
      <w:r w:rsidR="00C42867" w:rsidRPr="00B47164">
        <w:rPr>
          <w:rStyle w:val="Bold"/>
          <w:rFonts w:ascii="Arial" w:hAnsi="Arial" w:cs="Arial"/>
          <w:b w:val="0"/>
          <w:sz w:val="24"/>
          <w:szCs w:val="24"/>
        </w:rPr>
        <w:t xml:space="preserve"> in Section 136 of the Housing (Scotland) Act 2006</w:t>
      </w:r>
      <w:r w:rsidR="00801475" w:rsidRPr="00B47164">
        <w:rPr>
          <w:rStyle w:val="Bold"/>
          <w:rFonts w:ascii="Arial" w:hAnsi="Arial" w:cs="Arial"/>
          <w:b w:val="0"/>
          <w:sz w:val="24"/>
          <w:szCs w:val="24"/>
        </w:rPr>
        <w:t xml:space="preserve">; </w:t>
      </w:r>
      <w:r w:rsidRPr="00B47164">
        <w:rPr>
          <w:rStyle w:val="Bold"/>
          <w:rFonts w:ascii="Arial" w:hAnsi="Arial" w:cs="Arial"/>
          <w:b w:val="0"/>
          <w:sz w:val="24"/>
          <w:szCs w:val="24"/>
        </w:rPr>
        <w:t xml:space="preserve"> </w:t>
      </w:r>
    </w:p>
    <w:p w14:paraId="066587BF" w14:textId="77777777" w:rsidR="00FC0E80" w:rsidRPr="00B47164" w:rsidRDefault="00FC0E80" w:rsidP="00FC0E80">
      <w:pPr>
        <w:numPr>
          <w:ilvl w:val="0"/>
          <w:numId w:val="6"/>
        </w:numPr>
        <w:spacing w:after="120" w:line="240" w:lineRule="auto"/>
        <w:ind w:left="709" w:hanging="709"/>
        <w:jc w:val="both"/>
        <w:rPr>
          <w:rStyle w:val="Bold"/>
          <w:rFonts w:ascii="Arial" w:hAnsi="Arial" w:cs="Arial"/>
          <w:b w:val="0"/>
          <w:sz w:val="24"/>
          <w:szCs w:val="24"/>
        </w:rPr>
      </w:pPr>
      <w:r w:rsidRPr="00B47164">
        <w:rPr>
          <w:rFonts w:ascii="Arial" w:hAnsi="Arial" w:cs="Arial"/>
          <w:sz w:val="24"/>
          <w:szCs w:val="24"/>
        </w:rPr>
        <w:t>Death of licence holder as detailed in Section 137 of the Housing (Scotland) Act 2006</w:t>
      </w:r>
      <w:r w:rsidR="00B47164" w:rsidRPr="00B47164">
        <w:rPr>
          <w:rFonts w:ascii="Arial" w:hAnsi="Arial" w:cs="Arial"/>
          <w:sz w:val="24"/>
          <w:szCs w:val="24"/>
        </w:rPr>
        <w:t>, and</w:t>
      </w:r>
    </w:p>
    <w:p w14:paraId="00155254" w14:textId="77777777" w:rsidR="00FC0E80" w:rsidRPr="00B47164" w:rsidRDefault="007D25FF" w:rsidP="00E8494E">
      <w:pPr>
        <w:numPr>
          <w:ilvl w:val="0"/>
          <w:numId w:val="6"/>
        </w:numPr>
        <w:spacing w:after="120" w:line="240" w:lineRule="auto"/>
        <w:ind w:left="709" w:hanging="709"/>
        <w:jc w:val="both"/>
        <w:rPr>
          <w:rFonts w:ascii="Arial" w:hAnsi="Arial" w:cs="Arial"/>
          <w:sz w:val="24"/>
          <w:szCs w:val="24"/>
        </w:rPr>
      </w:pPr>
      <w:r w:rsidRPr="00B47164">
        <w:rPr>
          <w:rFonts w:ascii="Arial" w:hAnsi="Arial" w:cs="Arial"/>
          <w:sz w:val="24"/>
          <w:szCs w:val="24"/>
        </w:rPr>
        <w:t xml:space="preserve">Purpose-built student </w:t>
      </w:r>
      <w:r w:rsidR="00155F7A" w:rsidRPr="00B47164">
        <w:rPr>
          <w:rFonts w:ascii="Arial" w:hAnsi="Arial" w:cs="Arial"/>
          <w:sz w:val="24"/>
          <w:szCs w:val="24"/>
        </w:rPr>
        <w:t xml:space="preserve">halls </w:t>
      </w:r>
      <w:r w:rsidR="00801475" w:rsidRPr="00B47164">
        <w:rPr>
          <w:rFonts w:ascii="Arial" w:hAnsi="Arial" w:cs="Arial"/>
          <w:sz w:val="24"/>
          <w:szCs w:val="24"/>
        </w:rPr>
        <w:t>and other supported housing</w:t>
      </w:r>
      <w:r w:rsidR="00155F7A" w:rsidRPr="00B47164">
        <w:rPr>
          <w:rFonts w:ascii="Arial" w:hAnsi="Arial" w:cs="Arial"/>
          <w:sz w:val="24"/>
          <w:szCs w:val="24"/>
        </w:rPr>
        <w:t xml:space="preserve"> dedicated to specific client groups</w:t>
      </w:r>
      <w:r w:rsidR="00B47164" w:rsidRPr="00B47164">
        <w:rPr>
          <w:rFonts w:ascii="Arial" w:hAnsi="Arial" w:cs="Arial"/>
          <w:sz w:val="24"/>
          <w:szCs w:val="24"/>
        </w:rPr>
        <w:t>.</w:t>
      </w:r>
      <w:r w:rsidR="00FC0E80" w:rsidRPr="00B47164">
        <w:rPr>
          <w:rFonts w:ascii="Arial" w:hAnsi="Arial" w:cs="Arial"/>
          <w:sz w:val="24"/>
          <w:szCs w:val="24"/>
        </w:rPr>
        <w:t xml:space="preserve"> </w:t>
      </w:r>
    </w:p>
    <w:p w14:paraId="4D040CDF" w14:textId="77777777" w:rsidR="00E8494E" w:rsidRPr="003D793A" w:rsidRDefault="00B371DD" w:rsidP="00B55687">
      <w:pPr>
        <w:spacing w:before="240" w:after="120" w:line="240" w:lineRule="auto"/>
        <w:jc w:val="both"/>
        <w:rPr>
          <w:rStyle w:val="Bold"/>
          <w:rFonts w:ascii="Arial" w:hAnsi="Arial" w:cs="Arial"/>
          <w:b w:val="0"/>
          <w:color w:val="FF0000"/>
          <w:sz w:val="24"/>
          <w:szCs w:val="24"/>
        </w:rPr>
      </w:pPr>
      <w:r>
        <w:rPr>
          <w:rStyle w:val="Bold"/>
          <w:rFonts w:ascii="Arial" w:hAnsi="Arial" w:cs="Arial"/>
          <w:b w:val="0"/>
          <w:color w:val="FF0000"/>
          <w:sz w:val="24"/>
          <w:szCs w:val="24"/>
        </w:rPr>
        <w:t>A</w:t>
      </w:r>
      <w:r w:rsidR="005A6EAE" w:rsidRPr="003D793A">
        <w:rPr>
          <w:rStyle w:val="Bold"/>
          <w:rFonts w:ascii="Arial" w:hAnsi="Arial" w:cs="Arial"/>
          <w:b w:val="0"/>
          <w:color w:val="FF0000"/>
          <w:sz w:val="24"/>
          <w:szCs w:val="24"/>
        </w:rPr>
        <w:t xml:space="preserve">pplications </w:t>
      </w:r>
    </w:p>
    <w:p w14:paraId="2F6EB53C" w14:textId="77777777" w:rsidR="00B85FCA" w:rsidRDefault="00B85FCA" w:rsidP="00B85FCA">
      <w:pPr>
        <w:spacing w:after="120" w:line="240" w:lineRule="auto"/>
        <w:jc w:val="both"/>
        <w:rPr>
          <w:rStyle w:val="Bold"/>
          <w:rFonts w:ascii="Arial" w:hAnsi="Arial" w:cs="Arial"/>
          <w:b w:val="0"/>
          <w:sz w:val="24"/>
          <w:szCs w:val="24"/>
        </w:rPr>
      </w:pPr>
      <w:r w:rsidRPr="00B47164">
        <w:rPr>
          <w:rStyle w:val="Bold"/>
          <w:rFonts w:ascii="Arial" w:hAnsi="Arial" w:cs="Arial"/>
          <w:b w:val="0"/>
          <w:sz w:val="24"/>
          <w:szCs w:val="24"/>
        </w:rPr>
        <w:t xml:space="preserve">The Council, in implementing the HMO overprovision policy in St Andrews, will consider every new application for an HMO in St Andrews on its own merits irrespective of the overall policy for no further growth in HMOs in that area.  </w:t>
      </w:r>
    </w:p>
    <w:p w14:paraId="452B8754" w14:textId="77777777" w:rsidR="00B85FCA" w:rsidRDefault="00B85FCA" w:rsidP="00223C35">
      <w:pPr>
        <w:spacing w:after="120" w:line="240" w:lineRule="auto"/>
        <w:jc w:val="both"/>
        <w:rPr>
          <w:rFonts w:ascii="Arial" w:hAnsi="Arial" w:cs="Arial"/>
          <w:sz w:val="24"/>
          <w:szCs w:val="24"/>
        </w:rPr>
      </w:pPr>
      <w:r w:rsidRPr="00B47164">
        <w:rPr>
          <w:rStyle w:val="Bold"/>
          <w:rFonts w:ascii="Arial" w:hAnsi="Arial" w:cs="Arial"/>
          <w:b w:val="0"/>
          <w:sz w:val="24"/>
          <w:szCs w:val="24"/>
        </w:rPr>
        <w:t xml:space="preserve">These applications will be considered by a Hearing Panel or a Committee of the Council. Up to date information on </w:t>
      </w:r>
      <w:r w:rsidRPr="00B47164">
        <w:rPr>
          <w:rFonts w:ascii="Arial" w:hAnsi="Arial" w:cs="Arial"/>
          <w:sz w:val="24"/>
          <w:szCs w:val="24"/>
        </w:rPr>
        <w:t>the number and capacity of licensed HMOs in the locality will be made available at each meeting.</w:t>
      </w:r>
    </w:p>
    <w:p w14:paraId="31F374C3" w14:textId="77777777" w:rsidR="00B85FCA" w:rsidRDefault="00B85FCA" w:rsidP="00223C35">
      <w:pPr>
        <w:spacing w:line="240" w:lineRule="auto"/>
        <w:jc w:val="both"/>
        <w:rPr>
          <w:rFonts w:ascii="Arial" w:eastAsia="Calibri" w:hAnsi="Arial" w:cs="Arial"/>
          <w:sz w:val="24"/>
          <w:szCs w:val="24"/>
        </w:rPr>
      </w:pPr>
      <w:r>
        <w:rPr>
          <w:rFonts w:ascii="Arial" w:eastAsia="Calibri" w:hAnsi="Arial" w:cs="Arial"/>
          <w:sz w:val="24"/>
          <w:szCs w:val="24"/>
        </w:rPr>
        <w:t>It is for the application to persuade the Council, that their application should be granted. Where an application falls within the boundaries of the</w:t>
      </w:r>
      <w:r w:rsidRPr="00B47164">
        <w:rPr>
          <w:rStyle w:val="Bold"/>
          <w:rFonts w:ascii="Arial" w:hAnsi="Arial" w:cs="Arial"/>
          <w:b w:val="0"/>
          <w:sz w:val="24"/>
          <w:szCs w:val="24"/>
        </w:rPr>
        <w:t xml:space="preserve"> HMO overprovision policy in St Andrews</w:t>
      </w:r>
      <w:r w:rsidRPr="00733DE7">
        <w:rPr>
          <w:rFonts w:ascii="Arial" w:eastAsia="Calibri" w:hAnsi="Arial" w:cs="Arial"/>
          <w:sz w:val="24"/>
          <w:szCs w:val="24"/>
        </w:rPr>
        <w:t xml:space="preserve"> there is a presumption that </w:t>
      </w:r>
      <w:r>
        <w:rPr>
          <w:rFonts w:ascii="Arial" w:eastAsia="Calibri" w:hAnsi="Arial" w:cs="Arial"/>
          <w:sz w:val="24"/>
          <w:szCs w:val="24"/>
        </w:rPr>
        <w:t xml:space="preserve">it should not be granted. </w:t>
      </w:r>
    </w:p>
    <w:p w14:paraId="63D32F1C" w14:textId="77777777" w:rsidR="00F05FD8" w:rsidRDefault="00F05FD8" w:rsidP="001F249A">
      <w:pPr>
        <w:tabs>
          <w:tab w:val="left" w:pos="720"/>
          <w:tab w:val="left" w:pos="1440"/>
        </w:tabs>
        <w:jc w:val="both"/>
        <w:rPr>
          <w:rFonts w:ascii="Arial" w:hAnsi="Arial" w:cs="Arial"/>
          <w:b/>
          <w:color w:val="FF0000"/>
          <w:sz w:val="24"/>
          <w:szCs w:val="24"/>
        </w:rPr>
      </w:pPr>
    </w:p>
    <w:p w14:paraId="37C32FF2" w14:textId="77777777" w:rsidR="00FC0E80" w:rsidRPr="003D793A" w:rsidRDefault="00FC0E80" w:rsidP="001F249A">
      <w:pPr>
        <w:tabs>
          <w:tab w:val="left" w:pos="720"/>
          <w:tab w:val="left" w:pos="1440"/>
        </w:tabs>
        <w:jc w:val="both"/>
        <w:rPr>
          <w:rFonts w:ascii="Arial" w:hAnsi="Arial" w:cs="Arial"/>
          <w:b/>
          <w:color w:val="FF0000"/>
          <w:sz w:val="24"/>
          <w:szCs w:val="24"/>
        </w:rPr>
      </w:pPr>
      <w:r w:rsidRPr="003D793A">
        <w:rPr>
          <w:rFonts w:ascii="Arial" w:hAnsi="Arial" w:cs="Arial"/>
          <w:b/>
          <w:color w:val="FF0000"/>
          <w:sz w:val="24"/>
          <w:szCs w:val="24"/>
        </w:rPr>
        <w:t>For further information on the HMO licensing process, see Fife Council’s HMO Guidance document.</w:t>
      </w:r>
      <w:r w:rsidR="00A31E05">
        <w:rPr>
          <w:rFonts w:ascii="Arial" w:hAnsi="Arial" w:cs="Arial"/>
          <w:b/>
          <w:color w:val="FF0000"/>
          <w:sz w:val="24"/>
          <w:szCs w:val="24"/>
        </w:rPr>
        <w:t xml:space="preserve">  </w:t>
      </w:r>
    </w:p>
    <w:p w14:paraId="56132A88" w14:textId="77777777" w:rsidR="00F35017" w:rsidRPr="003D793A" w:rsidRDefault="00F35017" w:rsidP="007D4714">
      <w:pPr>
        <w:spacing w:before="240" w:after="120"/>
        <w:rPr>
          <w:rStyle w:val="Bold"/>
          <w:rFonts w:ascii="Arial" w:hAnsi="Arial" w:cs="Arial"/>
          <w:b w:val="0"/>
          <w:color w:val="FF0000"/>
          <w:sz w:val="24"/>
          <w:szCs w:val="24"/>
        </w:rPr>
      </w:pPr>
    </w:p>
    <w:p w14:paraId="38539885" w14:textId="77777777" w:rsidR="00A90D4C" w:rsidRPr="003D793A" w:rsidRDefault="00A90D4C" w:rsidP="007D4714">
      <w:pPr>
        <w:spacing w:before="240" w:after="120"/>
        <w:rPr>
          <w:rStyle w:val="Bold"/>
          <w:rFonts w:ascii="Arial" w:hAnsi="Arial" w:cs="Arial"/>
          <w:b w:val="0"/>
          <w:color w:val="FF0000"/>
          <w:sz w:val="24"/>
          <w:szCs w:val="24"/>
        </w:rPr>
      </w:pPr>
      <w:r w:rsidRPr="003D793A">
        <w:rPr>
          <w:rStyle w:val="Bold"/>
          <w:rFonts w:ascii="Arial" w:hAnsi="Arial" w:cs="Arial"/>
          <w:b w:val="0"/>
          <w:sz w:val="24"/>
          <w:szCs w:val="24"/>
        </w:rPr>
        <w:br w:type="page"/>
      </w:r>
    </w:p>
    <w:p w14:paraId="7A0EFC7B" w14:textId="77777777" w:rsidR="00A90D4C" w:rsidRPr="003D793A" w:rsidRDefault="00A90D4C" w:rsidP="00740674">
      <w:pPr>
        <w:autoSpaceDE w:val="0"/>
        <w:autoSpaceDN w:val="0"/>
        <w:adjustRightInd w:val="0"/>
        <w:spacing w:before="120" w:after="22" w:line="240" w:lineRule="auto"/>
        <w:jc w:val="both"/>
        <w:rPr>
          <w:rStyle w:val="Bold"/>
          <w:rFonts w:ascii="Arial" w:hAnsi="Arial" w:cs="Arial"/>
          <w:b w:val="0"/>
        </w:rPr>
        <w:sectPr w:rsidR="00A90D4C" w:rsidRPr="003D793A">
          <w:footerReference w:type="default" r:id="rId10"/>
          <w:pgSz w:w="11906" w:h="16838"/>
          <w:pgMar w:top="1440" w:right="1440" w:bottom="1440" w:left="1440" w:header="708" w:footer="708" w:gutter="0"/>
          <w:cols w:space="708"/>
          <w:docGrid w:linePitch="360"/>
        </w:sectPr>
      </w:pPr>
    </w:p>
    <w:p w14:paraId="2BF8F68B" w14:textId="77777777" w:rsidR="00740674" w:rsidRDefault="00A90D4C" w:rsidP="00740674">
      <w:pPr>
        <w:autoSpaceDE w:val="0"/>
        <w:autoSpaceDN w:val="0"/>
        <w:adjustRightInd w:val="0"/>
        <w:spacing w:before="120" w:after="22" w:line="240" w:lineRule="auto"/>
        <w:jc w:val="both"/>
        <w:rPr>
          <w:rStyle w:val="Bold"/>
          <w:b w:val="0"/>
        </w:rPr>
      </w:pPr>
      <w:r>
        <w:rPr>
          <w:rStyle w:val="Bold"/>
          <w:b w:val="0"/>
        </w:rPr>
        <w:lastRenderedPageBreak/>
        <w:t>Appendix 1 HMO Overprovision Locality / Defined Settlement Envelope</w:t>
      </w:r>
    </w:p>
    <w:p w14:paraId="0916EFB7" w14:textId="77777777" w:rsidR="00AD7C39" w:rsidRPr="00A90D4C" w:rsidRDefault="00A90D4C" w:rsidP="00A90D4C">
      <w:pPr>
        <w:autoSpaceDE w:val="0"/>
        <w:autoSpaceDN w:val="0"/>
        <w:adjustRightInd w:val="0"/>
        <w:spacing w:before="120" w:after="22" w:line="240" w:lineRule="auto"/>
        <w:jc w:val="both"/>
      </w:pPr>
      <w:r>
        <w:rPr>
          <w:noProof/>
          <w:lang w:eastAsia="en-GB"/>
        </w:rPr>
        <w:drawing>
          <wp:inline distT="0" distB="0" distL="0" distR="0" wp14:anchorId="4C45FBD3" wp14:editId="33DA9BF4">
            <wp:extent cx="7524750" cy="5320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72029" cy="5424392"/>
                    </a:xfrm>
                    <a:prstGeom prst="rect">
                      <a:avLst/>
                    </a:prstGeom>
                    <a:noFill/>
                    <a:ln>
                      <a:noFill/>
                    </a:ln>
                  </pic:spPr>
                </pic:pic>
              </a:graphicData>
            </a:graphic>
          </wp:inline>
        </w:drawing>
      </w:r>
    </w:p>
    <w:sectPr w:rsidR="00AD7C39" w:rsidRPr="00A90D4C" w:rsidSect="00A90D4C">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F67D61" w14:textId="77777777" w:rsidR="00630906" w:rsidRDefault="00630906" w:rsidP="00D61035">
      <w:pPr>
        <w:spacing w:after="0" w:line="240" w:lineRule="auto"/>
      </w:pPr>
      <w:r>
        <w:separator/>
      </w:r>
    </w:p>
  </w:endnote>
  <w:endnote w:type="continuationSeparator" w:id="0">
    <w:p w14:paraId="54A791D6" w14:textId="77777777" w:rsidR="00630906" w:rsidRDefault="00630906" w:rsidP="00D61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5EBFD" w14:textId="2DC72ED3" w:rsidR="00D61035" w:rsidRDefault="00D61035">
    <w:pPr>
      <w:pStyle w:val="Footer"/>
    </w:pPr>
    <w:r>
      <w:t>V1</w:t>
    </w:r>
    <w:r w:rsidR="00D77A24">
      <w:t>.1 08.09.21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1F261C" w14:textId="77777777" w:rsidR="00630906" w:rsidRDefault="00630906" w:rsidP="00D61035">
      <w:pPr>
        <w:spacing w:after="0" w:line="240" w:lineRule="auto"/>
      </w:pPr>
      <w:r>
        <w:separator/>
      </w:r>
    </w:p>
  </w:footnote>
  <w:footnote w:type="continuationSeparator" w:id="0">
    <w:p w14:paraId="3AD9C7A2" w14:textId="77777777" w:rsidR="00630906" w:rsidRDefault="00630906" w:rsidP="00D610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9167B"/>
    <w:multiLevelType w:val="hybridMultilevel"/>
    <w:tmpl w:val="22963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21473"/>
    <w:multiLevelType w:val="hybridMultilevel"/>
    <w:tmpl w:val="6E507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171AC8"/>
    <w:multiLevelType w:val="multilevel"/>
    <w:tmpl w:val="2D684EB4"/>
    <w:lvl w:ilvl="0">
      <w:start w:val="5"/>
      <w:numFmt w:val="decimal"/>
      <w:lvlText w:val="%1"/>
      <w:lvlJc w:val="left"/>
      <w:pPr>
        <w:ind w:left="360" w:hanging="360"/>
      </w:pPr>
      <w:rPr>
        <w:rFonts w:cs="Calibri" w:hint="default"/>
      </w:rPr>
    </w:lvl>
    <w:lvl w:ilvl="1">
      <w:start w:val="4"/>
      <w:numFmt w:val="decimal"/>
      <w:lvlText w:val="%1.%2"/>
      <w:lvlJc w:val="left"/>
      <w:pPr>
        <w:ind w:left="360" w:hanging="36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1080" w:hanging="108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440" w:hanging="144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800" w:hanging="1800"/>
      </w:pPr>
      <w:rPr>
        <w:rFonts w:cs="Calibri" w:hint="default"/>
      </w:rPr>
    </w:lvl>
    <w:lvl w:ilvl="8">
      <w:start w:val="1"/>
      <w:numFmt w:val="decimal"/>
      <w:lvlText w:val="%1.%2.%3.%4.%5.%6.%7.%8.%9"/>
      <w:lvlJc w:val="left"/>
      <w:pPr>
        <w:ind w:left="1800" w:hanging="1800"/>
      </w:pPr>
      <w:rPr>
        <w:rFonts w:cs="Calibri" w:hint="default"/>
      </w:rPr>
    </w:lvl>
  </w:abstractNum>
  <w:abstractNum w:abstractNumId="3" w15:restartNumberingAfterBreak="0">
    <w:nsid w:val="1FA11DB8"/>
    <w:multiLevelType w:val="hybridMultilevel"/>
    <w:tmpl w:val="BF129382"/>
    <w:lvl w:ilvl="0" w:tplc="AAEA45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3E55A3"/>
    <w:multiLevelType w:val="multilevel"/>
    <w:tmpl w:val="5004FB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69A5FD1"/>
    <w:multiLevelType w:val="hybridMultilevel"/>
    <w:tmpl w:val="FDAAE7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4D239B"/>
    <w:multiLevelType w:val="hybridMultilevel"/>
    <w:tmpl w:val="67FA7B0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5B505C26"/>
    <w:multiLevelType w:val="hybridMultilevel"/>
    <w:tmpl w:val="BA92F6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1358A2"/>
    <w:multiLevelType w:val="hybridMultilevel"/>
    <w:tmpl w:val="23D4D09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FB7B4C"/>
    <w:multiLevelType w:val="hybridMultilevel"/>
    <w:tmpl w:val="ECF29A42"/>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6B9B7461"/>
    <w:multiLevelType w:val="hybridMultilevel"/>
    <w:tmpl w:val="E9202F9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6F240F3F"/>
    <w:multiLevelType w:val="hybridMultilevel"/>
    <w:tmpl w:val="45620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94149D"/>
    <w:multiLevelType w:val="hybridMultilevel"/>
    <w:tmpl w:val="E27A0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D8716F"/>
    <w:multiLevelType w:val="hybridMultilevel"/>
    <w:tmpl w:val="1B642D7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4"/>
  </w:num>
  <w:num w:numId="4">
    <w:abstractNumId w:val="0"/>
  </w:num>
  <w:num w:numId="5">
    <w:abstractNumId w:val="13"/>
  </w:num>
  <w:num w:numId="6">
    <w:abstractNumId w:val="12"/>
  </w:num>
  <w:num w:numId="7">
    <w:abstractNumId w:val="2"/>
  </w:num>
  <w:num w:numId="8">
    <w:abstractNumId w:val="10"/>
  </w:num>
  <w:num w:numId="9">
    <w:abstractNumId w:val="9"/>
  </w:num>
  <w:num w:numId="10">
    <w:abstractNumId w:val="6"/>
  </w:num>
  <w:num w:numId="11">
    <w:abstractNumId w:val="7"/>
  </w:num>
  <w:num w:numId="12">
    <w:abstractNumId w:val="11"/>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3D6"/>
    <w:rsid w:val="0004604F"/>
    <w:rsid w:val="00073112"/>
    <w:rsid w:val="000F3B53"/>
    <w:rsid w:val="000F7827"/>
    <w:rsid w:val="00155F7A"/>
    <w:rsid w:val="001561DF"/>
    <w:rsid w:val="001837A1"/>
    <w:rsid w:val="001D4357"/>
    <w:rsid w:val="001F249A"/>
    <w:rsid w:val="002122A1"/>
    <w:rsid w:val="002167FF"/>
    <w:rsid w:val="00223C35"/>
    <w:rsid w:val="002A4471"/>
    <w:rsid w:val="002F125D"/>
    <w:rsid w:val="002F43D6"/>
    <w:rsid w:val="00306051"/>
    <w:rsid w:val="003266DC"/>
    <w:rsid w:val="003B121E"/>
    <w:rsid w:val="003D02AC"/>
    <w:rsid w:val="003D3C1E"/>
    <w:rsid w:val="003D793A"/>
    <w:rsid w:val="00424C51"/>
    <w:rsid w:val="00426B5E"/>
    <w:rsid w:val="00435DB5"/>
    <w:rsid w:val="004927F3"/>
    <w:rsid w:val="00497EB6"/>
    <w:rsid w:val="004A5710"/>
    <w:rsid w:val="004B298B"/>
    <w:rsid w:val="004B45FC"/>
    <w:rsid w:val="00547764"/>
    <w:rsid w:val="005676D4"/>
    <w:rsid w:val="005A6EAE"/>
    <w:rsid w:val="005C2E57"/>
    <w:rsid w:val="005E4C93"/>
    <w:rsid w:val="00600FAB"/>
    <w:rsid w:val="00602C2A"/>
    <w:rsid w:val="00630906"/>
    <w:rsid w:val="006316FA"/>
    <w:rsid w:val="00680B31"/>
    <w:rsid w:val="00687437"/>
    <w:rsid w:val="00701E35"/>
    <w:rsid w:val="00740674"/>
    <w:rsid w:val="007D25FF"/>
    <w:rsid w:val="007D4714"/>
    <w:rsid w:val="007D78C7"/>
    <w:rsid w:val="00801475"/>
    <w:rsid w:val="00805843"/>
    <w:rsid w:val="00832B31"/>
    <w:rsid w:val="00843E88"/>
    <w:rsid w:val="00850648"/>
    <w:rsid w:val="008B0207"/>
    <w:rsid w:val="008F7C79"/>
    <w:rsid w:val="00904E56"/>
    <w:rsid w:val="009414C1"/>
    <w:rsid w:val="009647DC"/>
    <w:rsid w:val="00973E56"/>
    <w:rsid w:val="009835E7"/>
    <w:rsid w:val="009D3809"/>
    <w:rsid w:val="00A26985"/>
    <w:rsid w:val="00A31E05"/>
    <w:rsid w:val="00A6435D"/>
    <w:rsid w:val="00A90D4C"/>
    <w:rsid w:val="00AD7C39"/>
    <w:rsid w:val="00B371DD"/>
    <w:rsid w:val="00B47164"/>
    <w:rsid w:val="00B55687"/>
    <w:rsid w:val="00B84B13"/>
    <w:rsid w:val="00B85FCA"/>
    <w:rsid w:val="00BD59EB"/>
    <w:rsid w:val="00BD65D8"/>
    <w:rsid w:val="00BF440F"/>
    <w:rsid w:val="00C02542"/>
    <w:rsid w:val="00C41AE4"/>
    <w:rsid w:val="00C42867"/>
    <w:rsid w:val="00C45668"/>
    <w:rsid w:val="00CD00FA"/>
    <w:rsid w:val="00CE26F5"/>
    <w:rsid w:val="00D053B4"/>
    <w:rsid w:val="00D173CC"/>
    <w:rsid w:val="00D36D56"/>
    <w:rsid w:val="00D61035"/>
    <w:rsid w:val="00D77A24"/>
    <w:rsid w:val="00E35017"/>
    <w:rsid w:val="00E8494E"/>
    <w:rsid w:val="00EB4B3E"/>
    <w:rsid w:val="00EB7AE2"/>
    <w:rsid w:val="00F05FD8"/>
    <w:rsid w:val="00F35017"/>
    <w:rsid w:val="00F52CB5"/>
    <w:rsid w:val="00FC0E80"/>
    <w:rsid w:val="00FC6B25"/>
    <w:rsid w:val="00FD5516"/>
    <w:rsid w:val="00FF2F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E2D54"/>
  <w15:chartTrackingRefBased/>
  <w15:docId w15:val="{FD23BC40-2037-404C-B9CC-6739622BF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rhs1">
    <w:name w:val="legrhs1"/>
    <w:basedOn w:val="Normal"/>
    <w:rsid w:val="002F43D6"/>
    <w:pPr>
      <w:shd w:val="clear" w:color="auto" w:fill="FFFFFF"/>
      <w:spacing w:after="120" w:line="360" w:lineRule="atLeast"/>
      <w:jc w:val="both"/>
    </w:pPr>
    <w:rPr>
      <w:rFonts w:ascii="Times New Roman" w:eastAsia="Times New Roman" w:hAnsi="Times New Roman" w:cs="Times New Roman"/>
      <w:color w:val="000000"/>
      <w:sz w:val="19"/>
      <w:szCs w:val="19"/>
      <w:lang w:eastAsia="en-GB"/>
    </w:rPr>
  </w:style>
  <w:style w:type="character" w:customStyle="1" w:styleId="legamendquote1">
    <w:name w:val="legamendquote1"/>
    <w:basedOn w:val="DefaultParagraphFont"/>
    <w:rsid w:val="002F43D6"/>
    <w:rPr>
      <w:b w:val="0"/>
      <w:bCs w:val="0"/>
      <w:i w:val="0"/>
      <w:iCs w:val="0"/>
    </w:rPr>
  </w:style>
  <w:style w:type="character" w:customStyle="1" w:styleId="legpartno4">
    <w:name w:val="legpartno4"/>
    <w:basedOn w:val="DefaultParagraphFont"/>
    <w:rsid w:val="002F43D6"/>
    <w:rPr>
      <w:b/>
      <w:bCs/>
      <w:smallCaps/>
      <w:vanish w:val="0"/>
      <w:webHidden w:val="0"/>
      <w:sz w:val="22"/>
      <w:szCs w:val="22"/>
      <w:specVanish w:val="0"/>
    </w:rPr>
  </w:style>
  <w:style w:type="character" w:customStyle="1" w:styleId="legextentrestriction7">
    <w:name w:val="legextentrestriction7"/>
    <w:basedOn w:val="DefaultParagraphFont"/>
    <w:rsid w:val="002F43D6"/>
    <w:rPr>
      <w:b/>
      <w:bCs/>
      <w:i w:val="0"/>
      <w:iCs w:val="0"/>
      <w:vanish/>
      <w:webHidden w:val="0"/>
      <w:color w:val="FFFFFF"/>
      <w:sz w:val="22"/>
      <w:szCs w:val="22"/>
      <w:shd w:val="clear" w:color="auto" w:fill="660066"/>
      <w:specVanish w:val="0"/>
    </w:rPr>
  </w:style>
  <w:style w:type="character" w:customStyle="1" w:styleId="legparttitle2">
    <w:name w:val="legparttitle2"/>
    <w:basedOn w:val="DefaultParagraphFont"/>
    <w:rsid w:val="002F43D6"/>
    <w:rPr>
      <w:b w:val="0"/>
      <w:bCs w:val="0"/>
      <w:smallCaps/>
      <w:vanish w:val="0"/>
      <w:webHidden w:val="0"/>
      <w:sz w:val="22"/>
      <w:szCs w:val="22"/>
      <w:specVanish w:val="0"/>
    </w:rPr>
  </w:style>
  <w:style w:type="character" w:customStyle="1" w:styleId="legds2">
    <w:name w:val="legds2"/>
    <w:basedOn w:val="DefaultParagraphFont"/>
    <w:rsid w:val="002F43D6"/>
    <w:rPr>
      <w:vanish w:val="0"/>
      <w:webHidden w:val="0"/>
      <w:specVanish w:val="0"/>
    </w:rPr>
  </w:style>
  <w:style w:type="paragraph" w:customStyle="1" w:styleId="legclearfix2">
    <w:name w:val="legclearfix2"/>
    <w:basedOn w:val="Normal"/>
    <w:rsid w:val="002F43D6"/>
    <w:pPr>
      <w:shd w:val="clear" w:color="auto" w:fill="FFFFFF"/>
      <w:spacing w:after="120" w:line="360" w:lineRule="atLeast"/>
    </w:pPr>
    <w:rPr>
      <w:rFonts w:ascii="Times New Roman" w:eastAsia="Times New Roman" w:hAnsi="Times New Roman" w:cs="Times New Roman"/>
      <w:color w:val="000000"/>
      <w:sz w:val="19"/>
      <w:szCs w:val="19"/>
      <w:lang w:eastAsia="en-GB"/>
    </w:rPr>
  </w:style>
  <w:style w:type="character" w:customStyle="1" w:styleId="legamendingtext">
    <w:name w:val="legamendingtext"/>
    <w:basedOn w:val="DefaultParagraphFont"/>
    <w:rsid w:val="002F43D6"/>
  </w:style>
  <w:style w:type="character" w:customStyle="1" w:styleId="legterm">
    <w:name w:val="legterm"/>
    <w:basedOn w:val="DefaultParagraphFont"/>
    <w:rsid w:val="002F43D6"/>
  </w:style>
  <w:style w:type="table" w:styleId="TableGrid">
    <w:name w:val="Table Grid"/>
    <w:basedOn w:val="TableNormal"/>
    <w:uiPriority w:val="39"/>
    <w:rsid w:val="002F43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mmarydetails">
    <w:name w:val="summary details"/>
    <w:basedOn w:val="Normal"/>
    <w:qFormat/>
    <w:rsid w:val="00EB4B3E"/>
    <w:pPr>
      <w:spacing w:before="60" w:after="60" w:line="240" w:lineRule="auto"/>
      <w:ind w:left="720"/>
    </w:pPr>
    <w:rPr>
      <w:rFonts w:ascii="Arial" w:eastAsia="Times" w:hAnsi="Arial" w:cs="Times New Roman"/>
      <w:sz w:val="24"/>
      <w:szCs w:val="20"/>
      <w:lang w:eastAsia="en-GB"/>
    </w:rPr>
  </w:style>
  <w:style w:type="character" w:styleId="Hyperlink">
    <w:name w:val="Hyperlink"/>
    <w:basedOn w:val="DefaultParagraphFont"/>
    <w:uiPriority w:val="99"/>
    <w:unhideWhenUsed/>
    <w:rsid w:val="00306051"/>
    <w:rPr>
      <w:color w:val="0563C1" w:themeColor="hyperlink"/>
      <w:u w:val="single"/>
    </w:rPr>
  </w:style>
  <w:style w:type="character" w:customStyle="1" w:styleId="UnresolvedMention1">
    <w:name w:val="Unresolved Mention1"/>
    <w:basedOn w:val="DefaultParagraphFont"/>
    <w:uiPriority w:val="99"/>
    <w:semiHidden/>
    <w:unhideWhenUsed/>
    <w:rsid w:val="00306051"/>
    <w:rPr>
      <w:color w:val="605E5C"/>
      <w:shd w:val="clear" w:color="auto" w:fill="E1DFDD"/>
    </w:rPr>
  </w:style>
  <w:style w:type="character" w:customStyle="1" w:styleId="Bold">
    <w:name w:val="Bold"/>
    <w:rsid w:val="007D25FF"/>
    <w:rPr>
      <w:b/>
    </w:rPr>
  </w:style>
  <w:style w:type="paragraph" w:styleId="ListParagraph">
    <w:name w:val="List Paragraph"/>
    <w:basedOn w:val="Normal"/>
    <w:uiPriority w:val="34"/>
    <w:qFormat/>
    <w:rsid w:val="005A6EAE"/>
    <w:pPr>
      <w:ind w:left="720"/>
      <w:contextualSpacing/>
    </w:pPr>
  </w:style>
  <w:style w:type="character" w:styleId="FollowedHyperlink">
    <w:name w:val="FollowedHyperlink"/>
    <w:basedOn w:val="DefaultParagraphFont"/>
    <w:uiPriority w:val="99"/>
    <w:semiHidden/>
    <w:unhideWhenUsed/>
    <w:rsid w:val="00D053B4"/>
    <w:rPr>
      <w:color w:val="954F72" w:themeColor="followedHyperlink"/>
      <w:u w:val="single"/>
    </w:rPr>
  </w:style>
  <w:style w:type="character" w:styleId="Strong">
    <w:name w:val="Strong"/>
    <w:basedOn w:val="DefaultParagraphFont"/>
    <w:uiPriority w:val="22"/>
    <w:qFormat/>
    <w:rsid w:val="00D173CC"/>
    <w:rPr>
      <w:b/>
      <w:bCs/>
    </w:rPr>
  </w:style>
  <w:style w:type="paragraph" w:customStyle="1" w:styleId="legcommentarypara1">
    <w:name w:val="legcommentarypara1"/>
    <w:basedOn w:val="Normal"/>
    <w:rsid w:val="00D173CC"/>
    <w:pPr>
      <w:shd w:val="clear" w:color="auto" w:fill="FFFFFF"/>
      <w:spacing w:after="0" w:line="360" w:lineRule="atLeast"/>
    </w:pPr>
    <w:rPr>
      <w:rFonts w:ascii="Times New Roman" w:eastAsia="Times New Roman" w:hAnsi="Times New Roman" w:cs="Times New Roman"/>
      <w:color w:val="000000"/>
      <w:sz w:val="17"/>
      <w:szCs w:val="17"/>
      <w:lang w:eastAsia="en-GB"/>
    </w:rPr>
  </w:style>
  <w:style w:type="paragraph" w:customStyle="1" w:styleId="legannotationsgroupheading1">
    <w:name w:val="legannotationsgroupheading1"/>
    <w:basedOn w:val="Normal"/>
    <w:rsid w:val="00D173CC"/>
    <w:pPr>
      <w:shd w:val="clear" w:color="auto" w:fill="FFFFFF"/>
      <w:spacing w:before="120" w:after="0" w:line="360" w:lineRule="atLeast"/>
    </w:pPr>
    <w:rPr>
      <w:rFonts w:ascii="Times New Roman" w:eastAsia="Times New Roman" w:hAnsi="Times New Roman" w:cs="Times New Roman"/>
      <w:b/>
      <w:bCs/>
      <w:color w:val="333333"/>
      <w:sz w:val="19"/>
      <w:szCs w:val="19"/>
      <w:lang w:eastAsia="en-GB"/>
    </w:rPr>
  </w:style>
  <w:style w:type="character" w:customStyle="1" w:styleId="legpblocktitle2">
    <w:name w:val="legpblocktitle2"/>
    <w:basedOn w:val="DefaultParagraphFont"/>
    <w:rsid w:val="00D173CC"/>
    <w:rPr>
      <w:b w:val="0"/>
      <w:bCs w:val="0"/>
      <w:i/>
      <w:iCs/>
      <w:vanish w:val="0"/>
      <w:webHidden w:val="0"/>
      <w:sz w:val="19"/>
      <w:szCs w:val="19"/>
      <w:specVanish w:val="0"/>
    </w:rPr>
  </w:style>
  <w:style w:type="character" w:customStyle="1" w:styleId="legcommentarytype2">
    <w:name w:val="legcommentarytype2"/>
    <w:basedOn w:val="DefaultParagraphFont"/>
    <w:rsid w:val="00D173CC"/>
    <w:rPr>
      <w:b/>
      <w:bCs/>
      <w:color w:val="666666"/>
      <w:sz w:val="24"/>
      <w:szCs w:val="24"/>
    </w:rPr>
  </w:style>
  <w:style w:type="character" w:customStyle="1" w:styleId="legcommentarytext3">
    <w:name w:val="legcommentarytext3"/>
    <w:basedOn w:val="DefaultParagraphFont"/>
    <w:rsid w:val="00D173CC"/>
    <w:rPr>
      <w:vanish w:val="0"/>
      <w:webHidden w:val="0"/>
      <w:specVanish w:val="0"/>
    </w:rPr>
  </w:style>
  <w:style w:type="paragraph" w:styleId="Header">
    <w:name w:val="header"/>
    <w:basedOn w:val="Normal"/>
    <w:link w:val="HeaderChar"/>
    <w:uiPriority w:val="99"/>
    <w:unhideWhenUsed/>
    <w:rsid w:val="00D610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1035"/>
  </w:style>
  <w:style w:type="paragraph" w:styleId="Footer">
    <w:name w:val="footer"/>
    <w:basedOn w:val="Normal"/>
    <w:link w:val="FooterChar"/>
    <w:uiPriority w:val="99"/>
    <w:unhideWhenUsed/>
    <w:rsid w:val="00D610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1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5303194">
      <w:bodyDiv w:val="1"/>
      <w:marLeft w:val="0"/>
      <w:marRight w:val="0"/>
      <w:marTop w:val="0"/>
      <w:marBottom w:val="0"/>
      <w:divBdr>
        <w:top w:val="none" w:sz="0" w:space="0" w:color="auto"/>
        <w:left w:val="none" w:sz="0" w:space="0" w:color="auto"/>
        <w:bottom w:val="none" w:sz="0" w:space="0" w:color="auto"/>
        <w:right w:val="none" w:sz="0" w:space="0" w:color="auto"/>
      </w:divBdr>
      <w:divsChild>
        <w:div w:id="859052148">
          <w:marLeft w:val="0"/>
          <w:marRight w:val="0"/>
          <w:marTop w:val="0"/>
          <w:marBottom w:val="0"/>
          <w:divBdr>
            <w:top w:val="none" w:sz="0" w:space="0" w:color="auto"/>
            <w:left w:val="none" w:sz="0" w:space="0" w:color="auto"/>
            <w:bottom w:val="none" w:sz="0" w:space="0" w:color="auto"/>
            <w:right w:val="none" w:sz="0" w:space="0" w:color="auto"/>
          </w:divBdr>
          <w:divsChild>
            <w:div w:id="1873807855">
              <w:marLeft w:val="0"/>
              <w:marRight w:val="0"/>
              <w:marTop w:val="0"/>
              <w:marBottom w:val="0"/>
              <w:divBdr>
                <w:top w:val="single" w:sz="2" w:space="0" w:color="FFFFFF"/>
                <w:left w:val="single" w:sz="6" w:space="0" w:color="FFFFFF"/>
                <w:bottom w:val="single" w:sz="6" w:space="0" w:color="FFFFFF"/>
                <w:right w:val="single" w:sz="6" w:space="0" w:color="FFFFFF"/>
              </w:divBdr>
              <w:divsChild>
                <w:div w:id="103429400">
                  <w:marLeft w:val="0"/>
                  <w:marRight w:val="0"/>
                  <w:marTop w:val="0"/>
                  <w:marBottom w:val="0"/>
                  <w:divBdr>
                    <w:top w:val="single" w:sz="6" w:space="1" w:color="D3D3D3"/>
                    <w:left w:val="none" w:sz="0" w:space="0" w:color="auto"/>
                    <w:bottom w:val="none" w:sz="0" w:space="0" w:color="auto"/>
                    <w:right w:val="none" w:sz="0" w:space="0" w:color="auto"/>
                  </w:divBdr>
                  <w:divsChild>
                    <w:div w:id="66008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694766">
      <w:bodyDiv w:val="1"/>
      <w:marLeft w:val="0"/>
      <w:marRight w:val="0"/>
      <w:marTop w:val="0"/>
      <w:marBottom w:val="0"/>
      <w:divBdr>
        <w:top w:val="none" w:sz="0" w:space="0" w:color="auto"/>
        <w:left w:val="none" w:sz="0" w:space="0" w:color="auto"/>
        <w:bottom w:val="none" w:sz="0" w:space="0" w:color="auto"/>
        <w:right w:val="none" w:sz="0" w:space="0" w:color="auto"/>
      </w:divBdr>
      <w:divsChild>
        <w:div w:id="315304283">
          <w:marLeft w:val="0"/>
          <w:marRight w:val="0"/>
          <w:marTop w:val="0"/>
          <w:marBottom w:val="0"/>
          <w:divBdr>
            <w:top w:val="none" w:sz="0" w:space="0" w:color="auto"/>
            <w:left w:val="none" w:sz="0" w:space="0" w:color="auto"/>
            <w:bottom w:val="none" w:sz="0" w:space="0" w:color="auto"/>
            <w:right w:val="none" w:sz="0" w:space="0" w:color="auto"/>
          </w:divBdr>
          <w:divsChild>
            <w:div w:id="1308978241">
              <w:marLeft w:val="0"/>
              <w:marRight w:val="0"/>
              <w:marTop w:val="0"/>
              <w:marBottom w:val="0"/>
              <w:divBdr>
                <w:top w:val="single" w:sz="2" w:space="0" w:color="FFFFFF"/>
                <w:left w:val="single" w:sz="6" w:space="0" w:color="FFFFFF"/>
                <w:bottom w:val="single" w:sz="6" w:space="0" w:color="FFFFFF"/>
                <w:right w:val="single" w:sz="6" w:space="0" w:color="FFFFFF"/>
              </w:divBdr>
              <w:divsChild>
                <w:div w:id="1536235473">
                  <w:marLeft w:val="0"/>
                  <w:marRight w:val="0"/>
                  <w:marTop w:val="0"/>
                  <w:marBottom w:val="0"/>
                  <w:divBdr>
                    <w:top w:val="single" w:sz="6" w:space="1" w:color="D3D3D3"/>
                    <w:left w:val="none" w:sz="0" w:space="0" w:color="auto"/>
                    <w:bottom w:val="none" w:sz="0" w:space="0" w:color="auto"/>
                    <w:right w:val="none" w:sz="0" w:space="0" w:color="auto"/>
                  </w:divBdr>
                  <w:divsChild>
                    <w:div w:id="1765958195">
                      <w:marLeft w:val="0"/>
                      <w:marRight w:val="0"/>
                      <w:marTop w:val="0"/>
                      <w:marBottom w:val="0"/>
                      <w:divBdr>
                        <w:top w:val="none" w:sz="0" w:space="0" w:color="auto"/>
                        <w:left w:val="none" w:sz="0" w:space="0" w:color="auto"/>
                        <w:bottom w:val="none" w:sz="0" w:space="0" w:color="auto"/>
                        <w:right w:val="none" w:sz="0" w:space="0" w:color="auto"/>
                      </w:divBdr>
                      <w:divsChild>
                        <w:div w:id="626351498">
                          <w:marLeft w:val="0"/>
                          <w:marRight w:val="0"/>
                          <w:marTop w:val="0"/>
                          <w:marBottom w:val="240"/>
                          <w:divBdr>
                            <w:top w:val="single" w:sz="6" w:space="5" w:color="C2C2C2"/>
                            <w:left w:val="single" w:sz="6" w:space="5" w:color="C2C2C2"/>
                            <w:bottom w:val="single" w:sz="24" w:space="5" w:color="C2C2C2"/>
                            <w:right w:val="single" w:sz="6" w:space="5" w:color="C2C2C2"/>
                          </w:divBdr>
                          <w:divsChild>
                            <w:div w:id="311300955">
                              <w:marLeft w:val="240"/>
                              <w:marRight w:val="0"/>
                              <w:marTop w:val="0"/>
                              <w:marBottom w:val="0"/>
                              <w:divBdr>
                                <w:top w:val="none" w:sz="0" w:space="0" w:color="auto"/>
                                <w:left w:val="none" w:sz="0" w:space="0" w:color="auto"/>
                                <w:bottom w:val="none" w:sz="0" w:space="0" w:color="auto"/>
                                <w:right w:val="none" w:sz="0" w:space="0" w:color="auto"/>
                              </w:divBdr>
                            </w:div>
                          </w:divsChild>
                        </w:div>
                        <w:div w:id="1990669545">
                          <w:marLeft w:val="0"/>
                          <w:marRight w:val="0"/>
                          <w:marTop w:val="0"/>
                          <w:marBottom w:val="240"/>
                          <w:divBdr>
                            <w:top w:val="single" w:sz="6" w:space="5" w:color="C2C2C2"/>
                            <w:left w:val="single" w:sz="6" w:space="5" w:color="C2C2C2"/>
                            <w:bottom w:val="single" w:sz="24" w:space="5" w:color="C2C2C2"/>
                            <w:right w:val="single" w:sz="6" w:space="5" w:color="C2C2C2"/>
                          </w:divBdr>
                          <w:divsChild>
                            <w:div w:id="259333045">
                              <w:marLeft w:val="240"/>
                              <w:marRight w:val="0"/>
                              <w:marTop w:val="0"/>
                              <w:marBottom w:val="0"/>
                              <w:divBdr>
                                <w:top w:val="none" w:sz="0" w:space="0" w:color="auto"/>
                                <w:left w:val="none" w:sz="0" w:space="0" w:color="auto"/>
                                <w:bottom w:val="none" w:sz="0" w:space="0" w:color="auto"/>
                                <w:right w:val="none" w:sz="0" w:space="0" w:color="auto"/>
                              </w:divBdr>
                            </w:div>
                          </w:divsChild>
                        </w:div>
                        <w:div w:id="537592569">
                          <w:marLeft w:val="0"/>
                          <w:marRight w:val="0"/>
                          <w:marTop w:val="0"/>
                          <w:marBottom w:val="240"/>
                          <w:divBdr>
                            <w:top w:val="single" w:sz="6" w:space="5" w:color="C2C2C2"/>
                            <w:left w:val="single" w:sz="6" w:space="5" w:color="C2C2C2"/>
                            <w:bottom w:val="single" w:sz="24" w:space="5" w:color="C2C2C2"/>
                            <w:right w:val="single" w:sz="6" w:space="5" w:color="C2C2C2"/>
                          </w:divBdr>
                          <w:divsChild>
                            <w:div w:id="1708752205">
                              <w:marLeft w:val="240"/>
                              <w:marRight w:val="0"/>
                              <w:marTop w:val="0"/>
                              <w:marBottom w:val="0"/>
                              <w:divBdr>
                                <w:top w:val="none" w:sz="0" w:space="0" w:color="auto"/>
                                <w:left w:val="none" w:sz="0" w:space="0" w:color="auto"/>
                                <w:bottom w:val="none" w:sz="0" w:space="0" w:color="auto"/>
                                <w:right w:val="none" w:sz="0" w:space="0" w:color="auto"/>
                              </w:divBdr>
                            </w:div>
                          </w:divsChild>
                        </w:div>
                        <w:div w:id="699553635">
                          <w:marLeft w:val="0"/>
                          <w:marRight w:val="0"/>
                          <w:marTop w:val="0"/>
                          <w:marBottom w:val="240"/>
                          <w:divBdr>
                            <w:top w:val="single" w:sz="6" w:space="5" w:color="C2C2C2"/>
                            <w:left w:val="single" w:sz="6" w:space="5" w:color="C2C2C2"/>
                            <w:bottom w:val="single" w:sz="24" w:space="5" w:color="C2C2C2"/>
                            <w:right w:val="single" w:sz="6" w:space="5" w:color="C2C2C2"/>
                          </w:divBdr>
                          <w:divsChild>
                            <w:div w:id="352809526">
                              <w:marLeft w:val="240"/>
                              <w:marRight w:val="0"/>
                              <w:marTop w:val="0"/>
                              <w:marBottom w:val="0"/>
                              <w:divBdr>
                                <w:top w:val="none" w:sz="0" w:space="0" w:color="auto"/>
                                <w:left w:val="none" w:sz="0" w:space="0" w:color="auto"/>
                                <w:bottom w:val="none" w:sz="0" w:space="0" w:color="auto"/>
                                <w:right w:val="none" w:sz="0" w:space="0" w:color="auto"/>
                              </w:divBdr>
                            </w:div>
                          </w:divsChild>
                        </w:div>
                        <w:div w:id="339696812">
                          <w:marLeft w:val="0"/>
                          <w:marRight w:val="0"/>
                          <w:marTop w:val="0"/>
                          <w:marBottom w:val="240"/>
                          <w:divBdr>
                            <w:top w:val="single" w:sz="6" w:space="5" w:color="C2C2C2"/>
                            <w:left w:val="single" w:sz="6" w:space="5" w:color="C2C2C2"/>
                            <w:bottom w:val="single" w:sz="24" w:space="5" w:color="C2C2C2"/>
                            <w:right w:val="single" w:sz="6" w:space="5" w:color="C2C2C2"/>
                          </w:divBdr>
                          <w:divsChild>
                            <w:div w:id="52266818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775116">
      <w:bodyDiv w:val="1"/>
      <w:marLeft w:val="0"/>
      <w:marRight w:val="0"/>
      <w:marTop w:val="0"/>
      <w:marBottom w:val="0"/>
      <w:divBdr>
        <w:top w:val="none" w:sz="0" w:space="0" w:color="auto"/>
        <w:left w:val="none" w:sz="0" w:space="0" w:color="auto"/>
        <w:bottom w:val="none" w:sz="0" w:space="0" w:color="auto"/>
        <w:right w:val="none" w:sz="0" w:space="0" w:color="auto"/>
      </w:divBdr>
      <w:divsChild>
        <w:div w:id="1052468">
          <w:marLeft w:val="0"/>
          <w:marRight w:val="0"/>
          <w:marTop w:val="0"/>
          <w:marBottom w:val="0"/>
          <w:divBdr>
            <w:top w:val="none" w:sz="0" w:space="0" w:color="auto"/>
            <w:left w:val="none" w:sz="0" w:space="0" w:color="auto"/>
            <w:bottom w:val="none" w:sz="0" w:space="0" w:color="auto"/>
            <w:right w:val="none" w:sz="0" w:space="0" w:color="auto"/>
          </w:divBdr>
          <w:divsChild>
            <w:div w:id="1268925098">
              <w:marLeft w:val="0"/>
              <w:marRight w:val="0"/>
              <w:marTop w:val="0"/>
              <w:marBottom w:val="0"/>
              <w:divBdr>
                <w:top w:val="single" w:sz="2" w:space="0" w:color="FFFFFF"/>
                <w:left w:val="single" w:sz="6" w:space="0" w:color="FFFFFF"/>
                <w:bottom w:val="single" w:sz="6" w:space="0" w:color="FFFFFF"/>
                <w:right w:val="single" w:sz="6" w:space="0" w:color="FFFFFF"/>
              </w:divBdr>
              <w:divsChild>
                <w:div w:id="633751993">
                  <w:marLeft w:val="0"/>
                  <w:marRight w:val="0"/>
                  <w:marTop w:val="0"/>
                  <w:marBottom w:val="0"/>
                  <w:divBdr>
                    <w:top w:val="single" w:sz="6" w:space="1" w:color="D3D3D3"/>
                    <w:left w:val="none" w:sz="0" w:space="0" w:color="auto"/>
                    <w:bottom w:val="none" w:sz="0" w:space="0" w:color="auto"/>
                    <w:right w:val="none" w:sz="0" w:space="0" w:color="auto"/>
                  </w:divBdr>
                  <w:divsChild>
                    <w:div w:id="1042361251">
                      <w:marLeft w:val="0"/>
                      <w:marRight w:val="0"/>
                      <w:marTop w:val="0"/>
                      <w:marBottom w:val="0"/>
                      <w:divBdr>
                        <w:top w:val="none" w:sz="0" w:space="0" w:color="auto"/>
                        <w:left w:val="none" w:sz="0" w:space="0" w:color="auto"/>
                        <w:bottom w:val="none" w:sz="0" w:space="0" w:color="auto"/>
                        <w:right w:val="none" w:sz="0" w:space="0" w:color="auto"/>
                      </w:divBdr>
                      <w:divsChild>
                        <w:div w:id="1585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asp/2006/1/cont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egislation.gov.uk/asp/2011/14/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1200</Words>
  <Characters>6843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Fife Council</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Love</dc:creator>
  <cp:keywords/>
  <dc:description/>
  <cp:lastModifiedBy>Vania Kennedy</cp:lastModifiedBy>
  <cp:revision>3</cp:revision>
  <dcterms:created xsi:type="dcterms:W3CDTF">2021-09-08T12:22:00Z</dcterms:created>
  <dcterms:modified xsi:type="dcterms:W3CDTF">2021-09-08T12:28:00Z</dcterms:modified>
</cp:coreProperties>
</file>